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1.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12.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13.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14.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15.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16.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7.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8.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9.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20.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21.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3DC39" w14:textId="38D2EBE8" w:rsidR="00580E17" w:rsidRPr="00B139C3" w:rsidRDefault="00580E17" w:rsidP="00B139C3">
      <w:pPr>
        <w:jc w:val="center"/>
        <w:rPr>
          <w:b/>
          <w:bCs/>
          <w:lang w:val="fr-FR" w:eastAsia="fr-FR"/>
        </w:rPr>
      </w:pPr>
      <w:r w:rsidRPr="00B139C3">
        <w:rPr>
          <w:b/>
          <w:bCs/>
          <w:lang w:val="fr-FR" w:eastAsia="fr-FR"/>
        </w:rPr>
        <w:t>République Algérienne Démocratique et Populaire</w:t>
      </w:r>
    </w:p>
    <w:p w14:paraId="3FC425EA" w14:textId="3A47323F" w:rsidR="00580E17" w:rsidRPr="00B139C3" w:rsidRDefault="00580E17" w:rsidP="00B139C3">
      <w:pPr>
        <w:jc w:val="center"/>
        <w:rPr>
          <w:b/>
          <w:bCs/>
          <w:lang w:val="fr-FR" w:eastAsia="fr-FR"/>
        </w:rPr>
      </w:pPr>
      <w:r w:rsidRPr="00B139C3">
        <w:rPr>
          <w:b/>
          <w:bCs/>
          <w:lang w:val="fr-FR" w:eastAsia="fr-FR"/>
        </w:rPr>
        <w:t>Ministère de l’Enseignem</w:t>
      </w:r>
      <w:r w:rsidR="00F568F0">
        <w:rPr>
          <w:b/>
          <w:bCs/>
          <w:lang w:val="fr-FR" w:eastAsia="fr-FR"/>
        </w:rPr>
        <w:t>e</w:t>
      </w:r>
      <w:r w:rsidRPr="00B139C3">
        <w:rPr>
          <w:b/>
          <w:bCs/>
          <w:lang w:val="fr-FR" w:eastAsia="fr-FR"/>
        </w:rPr>
        <w:t>nt Supérieur et de la Recherche Scientifique</w:t>
      </w:r>
    </w:p>
    <w:p w14:paraId="62EF461E" w14:textId="7AA8C981" w:rsidR="00580E17" w:rsidRPr="00B139C3" w:rsidRDefault="00580E17" w:rsidP="00B139C3">
      <w:pPr>
        <w:jc w:val="center"/>
        <w:rPr>
          <w:b/>
          <w:bCs/>
          <w:lang w:val="fr-FR" w:eastAsia="fr-FR"/>
        </w:rPr>
      </w:pPr>
      <w:r w:rsidRPr="00B139C3">
        <w:rPr>
          <w:b/>
          <w:bCs/>
          <w:lang w:val="fr-FR" w:eastAsia="fr-FR"/>
        </w:rPr>
        <w:t>Université Amar Thelidji-Laghouat-</w:t>
      </w:r>
    </w:p>
    <w:p w14:paraId="1061CB03" w14:textId="38474E87" w:rsidR="00580E17" w:rsidRPr="00B139C3" w:rsidRDefault="00580E17" w:rsidP="00B139C3">
      <w:pPr>
        <w:jc w:val="center"/>
        <w:rPr>
          <w:b/>
          <w:bCs/>
          <w:lang w:val="fr-FR" w:eastAsia="fr-FR"/>
        </w:rPr>
      </w:pPr>
      <w:r w:rsidRPr="00B139C3">
        <w:rPr>
          <w:b/>
          <w:bCs/>
          <w:lang w:val="fr-FR" w:eastAsia="fr-FR"/>
        </w:rPr>
        <w:t>Faculté de Médecine</w:t>
      </w:r>
    </w:p>
    <w:p w14:paraId="12B5EAF7" w14:textId="229C63D7" w:rsidR="00580E17" w:rsidRPr="00B139C3" w:rsidRDefault="00580E17" w:rsidP="00B139C3">
      <w:pPr>
        <w:jc w:val="center"/>
        <w:rPr>
          <w:b/>
          <w:bCs/>
          <w:lang w:val="fr-FR" w:eastAsia="fr-FR"/>
        </w:rPr>
      </w:pPr>
      <w:r w:rsidRPr="00B139C3">
        <w:rPr>
          <w:b/>
          <w:bCs/>
          <w:lang w:val="fr-FR" w:eastAsia="fr-FR"/>
        </w:rPr>
        <w:t>Département de Médecine</w:t>
      </w:r>
    </w:p>
    <w:p w14:paraId="6803B409" w14:textId="7DF70AA8" w:rsidR="00580E17" w:rsidRPr="00B139C3" w:rsidRDefault="00580E17" w:rsidP="00B139C3">
      <w:pPr>
        <w:jc w:val="center"/>
        <w:rPr>
          <w:b/>
          <w:bCs/>
          <w:lang w:val="fr-FR" w:eastAsia="fr-FR"/>
        </w:rPr>
      </w:pPr>
      <w:r w:rsidRPr="00B139C3">
        <w:rPr>
          <w:b/>
          <w:bCs/>
          <w:noProof/>
          <w:lang w:val="fr-FR" w:eastAsia="fr-FR"/>
        </w:rPr>
        <w:drawing>
          <wp:inline distT="0" distB="0" distL="0" distR="0" wp14:anchorId="0960DA07" wp14:editId="6398EFEB">
            <wp:extent cx="1923793" cy="1722120"/>
            <wp:effectExtent l="0" t="0" r="635" b="0"/>
            <wp:docPr id="17544731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73191" name=""/>
                    <pic:cNvPicPr/>
                  </pic:nvPicPr>
                  <pic:blipFill>
                    <a:blip r:embed="rId8"/>
                    <a:stretch>
                      <a:fillRect/>
                    </a:stretch>
                  </pic:blipFill>
                  <pic:spPr>
                    <a:xfrm>
                      <a:off x="0" y="0"/>
                      <a:ext cx="1941124" cy="1737635"/>
                    </a:xfrm>
                    <a:prstGeom prst="rect">
                      <a:avLst/>
                    </a:prstGeom>
                  </pic:spPr>
                </pic:pic>
              </a:graphicData>
            </a:graphic>
          </wp:inline>
        </w:drawing>
      </w:r>
    </w:p>
    <w:p w14:paraId="7BD74CBF" w14:textId="4E5EBF70" w:rsidR="00580E17" w:rsidRPr="00B139C3" w:rsidRDefault="00580E17" w:rsidP="00B139C3">
      <w:pPr>
        <w:jc w:val="center"/>
        <w:rPr>
          <w:b/>
          <w:bCs/>
          <w:lang w:val="fr-FR" w:eastAsia="fr-FR"/>
        </w:rPr>
      </w:pPr>
      <w:r w:rsidRPr="00B139C3">
        <w:rPr>
          <w:b/>
          <w:bCs/>
          <w:lang w:val="fr-FR" w:eastAsia="fr-FR"/>
        </w:rPr>
        <w:t>Mémoire de fin d’étude pour l’obtention du diplôme de docteur en médecine</w:t>
      </w:r>
    </w:p>
    <w:p w14:paraId="63C3CF90" w14:textId="719F89BC" w:rsidR="006F25EE" w:rsidRPr="007C4445" w:rsidRDefault="006F25EE" w:rsidP="00B139C3">
      <w:pPr>
        <w:rPr>
          <w:lang w:val="fr-FR" w:eastAsia="fr-FR"/>
        </w:rPr>
      </w:pPr>
    </w:p>
    <w:p w14:paraId="38ABD300" w14:textId="77777777" w:rsidR="007C4445" w:rsidRDefault="00580E17" w:rsidP="00B139C3">
      <w:pPr>
        <w:rPr>
          <w:lang w:val="fr-FR" w:eastAsia="fr-FR"/>
        </w:rPr>
      </w:pPr>
      <w:r>
        <w:rPr>
          <w:noProof/>
          <w:lang w:val="fr-FR" w:eastAsia="fr-FR"/>
        </w:rPr>
        <mc:AlternateContent>
          <mc:Choice Requires="wps">
            <w:drawing>
              <wp:anchor distT="0" distB="0" distL="114300" distR="114300" simplePos="0" relativeHeight="251659264" behindDoc="0" locked="0" layoutInCell="1" allowOverlap="1" wp14:anchorId="5BD5756C" wp14:editId="16F518AE">
                <wp:simplePos x="0" y="0"/>
                <wp:positionH relativeFrom="margin">
                  <wp:align>left</wp:align>
                </wp:positionH>
                <wp:positionV relativeFrom="paragraph">
                  <wp:posOffset>123313</wp:posOffset>
                </wp:positionV>
                <wp:extent cx="5697770" cy="1842448"/>
                <wp:effectExtent l="0" t="0" r="17780" b="24765"/>
                <wp:wrapNone/>
                <wp:docPr id="39" name="Rounded Rectangle 39"/>
                <wp:cNvGraphicFramePr/>
                <a:graphic xmlns:a="http://schemas.openxmlformats.org/drawingml/2006/main">
                  <a:graphicData uri="http://schemas.microsoft.com/office/word/2010/wordprocessingShape">
                    <wps:wsp>
                      <wps:cNvSpPr/>
                      <wps:spPr>
                        <a:xfrm>
                          <a:off x="0" y="0"/>
                          <a:ext cx="5697770" cy="1842448"/>
                        </a:xfrm>
                        <a:prstGeom prst="roundRect">
                          <a:avLst/>
                        </a:prstGeom>
                        <a:solidFill>
                          <a:schemeClr val="accent1">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39E1B9B7" w14:textId="3BB6CE81" w:rsidR="00F568F0" w:rsidRPr="007C4445" w:rsidRDefault="00F568F0" w:rsidP="007C4445">
                            <w:pPr>
                              <w:jc w:val="center"/>
                              <w:rPr>
                                <w:rFonts w:cstheme="majorBidi"/>
                                <w:sz w:val="56"/>
                                <w:szCs w:val="56"/>
                                <w:lang w:val="fr-FR"/>
                              </w:rPr>
                            </w:pPr>
                            <w:r w:rsidRPr="007C4445">
                              <w:rPr>
                                <w:rFonts w:cstheme="majorBidi"/>
                                <w:sz w:val="56"/>
                                <w:szCs w:val="56"/>
                                <w:lang w:val="fr-FR"/>
                              </w:rPr>
                              <w:t>L'usage des plantes médicinales chez les patients atteints de diabète de type 2 dans la région de Laghouat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BD5756C" id="Rounded Rectangle 39" o:spid="_x0000_s1026" style="position:absolute;margin-left:0;margin-top:9.7pt;width:448.65pt;height:145.05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" fillcolor="#deeaf6 [660]" strokecolor="black [3200]" strokeweight="1pt">
                <v:stroke joinstyle="miter"/>
                <v:textbox>
                  <w:txbxContent>
                    <w:p w14:paraId="39E1B9B7" w14:textId="3BB6CE81" w:rsidR="00F568F0" w:rsidRPr="007C4445" w:rsidRDefault="00F568F0" w:rsidP="007C4445">
                      <w:pPr>
                        <w:jc w:val="center"/>
                        <w:rPr>
                          <w:rFonts w:cstheme="majorBidi"/>
                          <w:sz w:val="56"/>
                          <w:szCs w:val="56"/>
                          <w:lang w:val="fr-FR"/>
                        </w:rPr>
                      </w:pPr>
                      <w:r w:rsidRPr="007C4445">
                        <w:rPr>
                          <w:rFonts w:cstheme="majorBidi"/>
                          <w:sz w:val="56"/>
                          <w:szCs w:val="56"/>
                          <w:lang w:val="fr-FR"/>
                        </w:rPr>
                        <w:t>L'usage des plantes médicinales chez les patients atteints de diabète de type 2 dans la région de Laghouat</w:t>
                      </w:r>
                    </w:p>
                  </w:txbxContent>
                </v:textbox>
                <w10:wrap anchorx="margin"/>
              </v:roundrect>
            </w:pict>
          </mc:Fallback>
        </mc:AlternateContent>
      </w:r>
    </w:p>
    <w:p w14:paraId="1B64C4CF" w14:textId="77777777" w:rsidR="007C4445" w:rsidRDefault="007C4445" w:rsidP="006F25EE">
      <w:pPr>
        <w:outlineLvl w:val="0"/>
        <w:rPr>
          <w:lang w:val="fr-FR" w:eastAsia="fr-FR"/>
        </w:rPr>
      </w:pPr>
    </w:p>
    <w:p w14:paraId="1CB13D6C" w14:textId="5CE45C77" w:rsidR="007C4445" w:rsidRDefault="006F25EE" w:rsidP="006F25EE">
      <w:pPr>
        <w:outlineLvl w:val="0"/>
        <w:rPr>
          <w:lang w:val="fr-FR" w:eastAsia="fr-FR"/>
        </w:rPr>
      </w:pPr>
      <w:r>
        <w:rPr>
          <w:lang w:val="fr-FR" w:eastAsia="fr-FR"/>
        </w:rPr>
        <w:t xml:space="preserve">  </w:t>
      </w:r>
      <w:bookmarkStart w:id="0" w:name="_Toc229618747"/>
      <w:r>
        <w:rPr>
          <w:lang w:val="fr-FR" w:eastAsia="fr-FR"/>
        </w:rPr>
        <w:t>Page de garde</w:t>
      </w:r>
      <w:bookmarkEnd w:id="0"/>
    </w:p>
    <w:p w14:paraId="2718809A" w14:textId="77777777" w:rsidR="007C4445" w:rsidRDefault="007C4445" w:rsidP="006F25EE">
      <w:pPr>
        <w:outlineLvl w:val="0"/>
        <w:rPr>
          <w:lang w:val="fr-FR" w:eastAsia="fr-FR"/>
        </w:rPr>
      </w:pPr>
    </w:p>
    <w:p w14:paraId="1502EB1E" w14:textId="77777777" w:rsidR="007C4445" w:rsidRDefault="007C4445" w:rsidP="006F25EE">
      <w:pPr>
        <w:outlineLvl w:val="0"/>
        <w:rPr>
          <w:lang w:val="fr-FR" w:eastAsia="fr-FR"/>
        </w:rPr>
      </w:pPr>
    </w:p>
    <w:p w14:paraId="7A8CD62A" w14:textId="77777777" w:rsidR="007C4445" w:rsidRDefault="007C4445" w:rsidP="006F25EE">
      <w:pPr>
        <w:outlineLvl w:val="0"/>
        <w:rPr>
          <w:lang w:val="fr-FR" w:eastAsia="fr-FR"/>
        </w:rPr>
      </w:pPr>
    </w:p>
    <w:p w14:paraId="2828A465" w14:textId="77777777" w:rsidR="007C4445" w:rsidRDefault="007C4445" w:rsidP="006F25EE">
      <w:pPr>
        <w:outlineLvl w:val="0"/>
        <w:rPr>
          <w:lang w:val="fr-FR" w:eastAsia="fr-FR"/>
        </w:rPr>
      </w:pPr>
    </w:p>
    <w:p w14:paraId="3EC0F7DE" w14:textId="77777777" w:rsidR="007C4445" w:rsidRDefault="007C4445" w:rsidP="00B139C3">
      <w:pPr>
        <w:rPr>
          <w:lang w:val="fr-FR" w:eastAsia="fr-FR"/>
        </w:rPr>
      </w:pPr>
    </w:p>
    <w:p w14:paraId="57540C0A" w14:textId="77777777" w:rsidR="007C4445" w:rsidRDefault="007C4445" w:rsidP="00B139C3">
      <w:pPr>
        <w:rPr>
          <w:lang w:val="fr-FR" w:eastAsia="fr-FR"/>
        </w:rPr>
      </w:pPr>
    </w:p>
    <w:p w14:paraId="256918FC" w14:textId="03571432" w:rsidR="007C4445" w:rsidRPr="00B139C3" w:rsidRDefault="007C4445" w:rsidP="00B139C3">
      <w:pPr>
        <w:rPr>
          <w:b/>
          <w:bCs/>
          <w:lang w:val="fr-FR" w:eastAsia="fr-FR"/>
        </w:rPr>
      </w:pPr>
      <w:r w:rsidRPr="00B139C3">
        <w:rPr>
          <w:b/>
          <w:bCs/>
          <w:lang w:val="fr-FR" w:eastAsia="fr-FR"/>
        </w:rPr>
        <w:t xml:space="preserve">Examiné par : Dr.  KHELIFI.A                                       </w:t>
      </w:r>
      <w:r w:rsidR="006F25EE">
        <w:rPr>
          <w:b/>
          <w:bCs/>
          <w:lang w:val="fr-FR" w:eastAsia="fr-FR"/>
        </w:rPr>
        <w:t xml:space="preserve">             </w:t>
      </w:r>
      <w:r w:rsidRPr="00B139C3">
        <w:rPr>
          <w:b/>
          <w:bCs/>
          <w:lang w:val="fr-FR" w:eastAsia="fr-FR"/>
        </w:rPr>
        <w:t xml:space="preserve">Présenté par : </w:t>
      </w:r>
    </w:p>
    <w:p w14:paraId="4BF031DF" w14:textId="72CDF10B" w:rsidR="007C4445" w:rsidRPr="00B139C3" w:rsidRDefault="007C4445" w:rsidP="00B139C3">
      <w:pPr>
        <w:rPr>
          <w:b/>
          <w:bCs/>
          <w:lang w:val="fr-FR" w:eastAsia="fr-FR"/>
        </w:rPr>
      </w:pPr>
      <w:r w:rsidRPr="00B139C3">
        <w:rPr>
          <w:b/>
          <w:bCs/>
          <w:lang w:val="fr-FR" w:eastAsia="fr-FR"/>
        </w:rPr>
        <w:t xml:space="preserve">Encadré par : Dr. BOUDINA.H                                      </w:t>
      </w:r>
      <w:r w:rsidR="006F25EE">
        <w:rPr>
          <w:b/>
          <w:bCs/>
          <w:lang w:val="fr-FR" w:eastAsia="fr-FR"/>
        </w:rPr>
        <w:t xml:space="preserve">              LOUAIL Maria Ichrak</w:t>
      </w:r>
    </w:p>
    <w:p w14:paraId="58B605F0" w14:textId="0153D7F5" w:rsidR="007C4445" w:rsidRPr="00B139C3" w:rsidRDefault="007C4445" w:rsidP="00B139C3">
      <w:pPr>
        <w:rPr>
          <w:b/>
          <w:bCs/>
          <w:lang w:val="fr-FR" w:eastAsia="fr-FR"/>
        </w:rPr>
      </w:pPr>
      <w:r w:rsidRPr="00B139C3">
        <w:rPr>
          <w:b/>
          <w:bCs/>
          <w:lang w:val="fr-FR" w:eastAsia="fr-FR"/>
        </w:rPr>
        <w:t xml:space="preserve">Présidé par :                                                                 </w:t>
      </w:r>
      <w:r w:rsidR="006F25EE">
        <w:rPr>
          <w:b/>
          <w:bCs/>
          <w:lang w:val="fr-FR" w:eastAsia="fr-FR"/>
        </w:rPr>
        <w:t xml:space="preserve">                   SEDDIKI Halima Saadia</w:t>
      </w:r>
    </w:p>
    <w:p w14:paraId="5A0E9E6E" w14:textId="77777777" w:rsidR="007C4445" w:rsidRPr="00B139C3" w:rsidRDefault="007C4445" w:rsidP="00B139C3">
      <w:pPr>
        <w:rPr>
          <w:b/>
          <w:bCs/>
          <w:lang w:val="fr-FR" w:eastAsia="fr-FR"/>
        </w:rPr>
      </w:pPr>
      <w:r w:rsidRPr="00B139C3">
        <w:rPr>
          <w:b/>
          <w:bCs/>
          <w:lang w:val="fr-FR" w:eastAsia="fr-FR"/>
        </w:rPr>
        <w:t xml:space="preserve"> </w:t>
      </w:r>
    </w:p>
    <w:p w14:paraId="7DE0BE6B" w14:textId="77777777" w:rsidR="007C4445" w:rsidRPr="00B139C3" w:rsidRDefault="007C4445" w:rsidP="00B139C3">
      <w:pPr>
        <w:rPr>
          <w:b/>
          <w:bCs/>
          <w:lang w:val="fr-FR" w:eastAsia="fr-FR"/>
        </w:rPr>
      </w:pPr>
      <w:r w:rsidRPr="00B139C3">
        <w:rPr>
          <w:b/>
          <w:bCs/>
          <w:lang w:val="fr-FR" w:eastAsia="fr-FR"/>
        </w:rPr>
        <w:t xml:space="preserve"> </w:t>
      </w:r>
    </w:p>
    <w:p w14:paraId="31F6149F" w14:textId="77777777" w:rsidR="007C4445" w:rsidRPr="00B139C3" w:rsidRDefault="007C4445" w:rsidP="00B139C3">
      <w:pPr>
        <w:rPr>
          <w:b/>
          <w:bCs/>
          <w:lang w:val="fr-FR" w:eastAsia="fr-FR"/>
        </w:rPr>
      </w:pPr>
      <w:r w:rsidRPr="00B139C3">
        <w:rPr>
          <w:b/>
          <w:bCs/>
          <w:lang w:val="fr-FR" w:eastAsia="fr-FR"/>
        </w:rPr>
        <w:t xml:space="preserve"> </w:t>
      </w:r>
    </w:p>
    <w:p w14:paraId="7F2C7489" w14:textId="2A9313EF" w:rsidR="007C4445" w:rsidRDefault="007C4445" w:rsidP="00B139C3">
      <w:pPr>
        <w:jc w:val="center"/>
        <w:rPr>
          <w:lang w:val="fr-FR" w:eastAsia="fr-FR"/>
        </w:rPr>
      </w:pPr>
      <w:r w:rsidRPr="00B139C3">
        <w:rPr>
          <w:b/>
          <w:bCs/>
          <w:lang w:val="fr-FR" w:eastAsia="fr-FR"/>
        </w:rPr>
        <w:t>Année universitaire : 2025-2026</w:t>
      </w:r>
      <w:r>
        <w:rPr>
          <w:lang w:val="fr-FR" w:eastAsia="fr-FR"/>
        </w:rPr>
        <w:br w:type="page"/>
      </w:r>
    </w:p>
    <w:p w14:paraId="79FC49BA" w14:textId="0C44BD6B" w:rsidR="008920C8" w:rsidRPr="0086407A" w:rsidRDefault="008920C8" w:rsidP="003F4230">
      <w:pPr>
        <w:jc w:val="center"/>
        <w:outlineLvl w:val="0"/>
        <w:rPr>
          <w:rFonts w:eastAsia="Times New Roman"/>
          <w:b/>
          <w:bCs/>
          <w:i/>
          <w:iCs/>
          <w:sz w:val="32"/>
          <w:szCs w:val="28"/>
          <w:lang w:val="fr-FR" w:eastAsia="fr-FR"/>
        </w:rPr>
      </w:pPr>
      <w:bookmarkStart w:id="1" w:name="_Toc229618748"/>
      <w:r w:rsidRPr="008920C8">
        <w:rPr>
          <w:rFonts w:eastAsia="Times New Roman"/>
          <w:b/>
          <w:bCs/>
          <w:i/>
          <w:iCs/>
          <w:sz w:val="32"/>
          <w:szCs w:val="28"/>
          <w:lang w:val="fr-FR" w:eastAsia="fr-FR"/>
        </w:rPr>
        <w:lastRenderedPageBreak/>
        <w:t>Remerciements</w:t>
      </w:r>
      <w:bookmarkEnd w:id="1"/>
    </w:p>
    <w:p w14:paraId="5EA55E67" w14:textId="173FB935" w:rsidR="008920C8" w:rsidRPr="0086407A" w:rsidRDefault="008920C8" w:rsidP="008920C8">
      <w:pPr>
        <w:jc w:val="center"/>
        <w:rPr>
          <w:rFonts w:ascii="Gabriola" w:eastAsia="Times New Roman" w:hAnsi="Gabriola"/>
          <w:sz w:val="28"/>
          <w:szCs w:val="24"/>
          <w:lang w:val="fr-FR" w:eastAsia="fr-FR"/>
        </w:rPr>
      </w:pPr>
      <w:r w:rsidRPr="0086407A">
        <w:rPr>
          <w:rFonts w:ascii="Gabriola" w:eastAsia="Times New Roman" w:hAnsi="Gabriola"/>
          <w:sz w:val="28"/>
          <w:szCs w:val="24"/>
          <w:lang w:val="fr-FR" w:eastAsia="fr-FR"/>
        </w:rPr>
        <w:t xml:space="preserve">Nous remercions </w:t>
      </w:r>
      <w:r w:rsidRPr="0086407A">
        <w:rPr>
          <w:rFonts w:ascii="Gabriola" w:eastAsia="Times New Roman" w:hAnsi="Gabriola"/>
          <w:b/>
          <w:bCs/>
          <w:sz w:val="28"/>
          <w:szCs w:val="24"/>
          <w:lang w:val="fr-FR" w:eastAsia="fr-FR"/>
        </w:rPr>
        <w:t>ALLAH</w:t>
      </w:r>
      <w:r w:rsidRPr="0086407A">
        <w:rPr>
          <w:rFonts w:ascii="Gabriola" w:eastAsia="Times New Roman" w:hAnsi="Gabriola"/>
          <w:sz w:val="28"/>
          <w:szCs w:val="24"/>
          <w:lang w:val="fr-FR" w:eastAsia="fr-FR"/>
        </w:rPr>
        <w:t>, Le Tout-Puissant, pour nous avoir donné la force, la</w:t>
      </w:r>
    </w:p>
    <w:p w14:paraId="09237CBF" w14:textId="02B0E3D9" w:rsidR="008920C8" w:rsidRPr="0086407A" w:rsidRDefault="008920C8" w:rsidP="008920C8">
      <w:pPr>
        <w:jc w:val="center"/>
        <w:rPr>
          <w:rFonts w:ascii="Gabriola" w:eastAsia="Times New Roman" w:hAnsi="Gabriola"/>
          <w:sz w:val="28"/>
          <w:szCs w:val="24"/>
          <w:lang w:val="fr-FR" w:eastAsia="fr-FR"/>
        </w:rPr>
      </w:pPr>
      <w:proofErr w:type="gramStart"/>
      <w:r w:rsidRPr="0086407A">
        <w:rPr>
          <w:rFonts w:ascii="Gabriola" w:eastAsia="Times New Roman" w:hAnsi="Gabriola"/>
          <w:sz w:val="28"/>
          <w:szCs w:val="24"/>
          <w:lang w:val="fr-FR" w:eastAsia="fr-FR"/>
        </w:rPr>
        <w:t>patience</w:t>
      </w:r>
      <w:proofErr w:type="gramEnd"/>
      <w:r w:rsidRPr="0086407A">
        <w:rPr>
          <w:rFonts w:ascii="Gabriola" w:eastAsia="Times New Roman" w:hAnsi="Gabriola"/>
          <w:sz w:val="28"/>
          <w:szCs w:val="24"/>
          <w:lang w:val="fr-FR" w:eastAsia="fr-FR"/>
        </w:rPr>
        <w:t xml:space="preserve"> et la santé pour réaliser ce mémoire. Sans Sa volonté et Son aide, nous</w:t>
      </w:r>
    </w:p>
    <w:p w14:paraId="3175715F" w14:textId="5721BB25" w:rsidR="008920C8" w:rsidRPr="0086407A" w:rsidRDefault="008920C8" w:rsidP="008920C8">
      <w:pPr>
        <w:jc w:val="center"/>
        <w:rPr>
          <w:rFonts w:ascii="Gabriola" w:eastAsia="Times New Roman" w:hAnsi="Gabriola"/>
          <w:sz w:val="28"/>
          <w:szCs w:val="24"/>
          <w:lang w:val="fr-FR" w:eastAsia="fr-FR"/>
        </w:rPr>
      </w:pPr>
      <w:proofErr w:type="gramStart"/>
      <w:r w:rsidRPr="0086407A">
        <w:rPr>
          <w:rFonts w:ascii="Gabriola" w:eastAsia="Times New Roman" w:hAnsi="Gabriola"/>
          <w:sz w:val="28"/>
          <w:szCs w:val="24"/>
          <w:lang w:val="fr-FR" w:eastAsia="fr-FR"/>
        </w:rPr>
        <w:t>n’aurions</w:t>
      </w:r>
      <w:proofErr w:type="gramEnd"/>
      <w:r w:rsidRPr="0086407A">
        <w:rPr>
          <w:rFonts w:ascii="Gabriola" w:eastAsia="Times New Roman" w:hAnsi="Gabriola"/>
          <w:sz w:val="28"/>
          <w:szCs w:val="24"/>
          <w:lang w:val="fr-FR" w:eastAsia="fr-FR"/>
        </w:rPr>
        <w:t xml:space="preserve"> pas pu arriver jusqu’ici. Qu’Il soit loué pour tous Ses bienfaits.</w:t>
      </w:r>
    </w:p>
    <w:p w14:paraId="018B1605" w14:textId="441566F1" w:rsidR="008920C8" w:rsidRPr="0086407A" w:rsidRDefault="008920C8" w:rsidP="008920C8">
      <w:pPr>
        <w:jc w:val="center"/>
        <w:rPr>
          <w:rFonts w:ascii="Gabriola" w:eastAsia="Times New Roman" w:hAnsi="Gabriola"/>
          <w:sz w:val="28"/>
          <w:szCs w:val="24"/>
          <w:lang w:val="fr-FR" w:eastAsia="fr-FR"/>
        </w:rPr>
      </w:pPr>
      <w:r w:rsidRPr="0086407A">
        <w:rPr>
          <w:rFonts w:ascii="Gabriola" w:eastAsia="Times New Roman" w:hAnsi="Gabriola"/>
          <w:sz w:val="28"/>
          <w:szCs w:val="24"/>
          <w:lang w:val="fr-FR" w:eastAsia="fr-FR"/>
        </w:rPr>
        <w:t xml:space="preserve">On tient à remercier sincèrement notre encadrante docteur </w:t>
      </w:r>
      <w:r w:rsidRPr="0086407A">
        <w:rPr>
          <w:rFonts w:ascii="Gabriola" w:eastAsia="Times New Roman" w:hAnsi="Gabriola"/>
          <w:b/>
          <w:bCs/>
          <w:sz w:val="28"/>
          <w:szCs w:val="24"/>
          <w:lang w:val="fr-FR" w:eastAsia="fr-FR"/>
        </w:rPr>
        <w:t xml:space="preserve">BOUDINA.H </w:t>
      </w:r>
      <w:r w:rsidRPr="0086407A">
        <w:rPr>
          <w:rFonts w:ascii="Gabriola" w:eastAsia="Times New Roman" w:hAnsi="Gabriola"/>
          <w:sz w:val="28"/>
          <w:szCs w:val="24"/>
          <w:lang w:val="fr-FR" w:eastAsia="fr-FR"/>
        </w:rPr>
        <w:t>pour son</w:t>
      </w:r>
    </w:p>
    <w:p w14:paraId="4FD85C63" w14:textId="041AF6A2" w:rsidR="008920C8" w:rsidRPr="0086407A" w:rsidRDefault="008920C8" w:rsidP="008920C8">
      <w:pPr>
        <w:jc w:val="center"/>
        <w:rPr>
          <w:rFonts w:ascii="Gabriola" w:eastAsia="Times New Roman" w:hAnsi="Gabriola"/>
          <w:sz w:val="28"/>
          <w:szCs w:val="24"/>
          <w:lang w:val="fr-FR" w:eastAsia="fr-FR"/>
        </w:rPr>
      </w:pPr>
      <w:proofErr w:type="gramStart"/>
      <w:r w:rsidRPr="0086407A">
        <w:rPr>
          <w:rFonts w:ascii="Gabriola" w:eastAsia="Times New Roman" w:hAnsi="Gabriola"/>
          <w:sz w:val="28"/>
          <w:szCs w:val="24"/>
          <w:lang w:val="fr-FR" w:eastAsia="fr-FR"/>
        </w:rPr>
        <w:t>accompagnement</w:t>
      </w:r>
      <w:proofErr w:type="gramEnd"/>
      <w:r w:rsidRPr="0086407A">
        <w:rPr>
          <w:rFonts w:ascii="Gabriola" w:eastAsia="Times New Roman" w:hAnsi="Gabriola"/>
          <w:sz w:val="28"/>
          <w:szCs w:val="24"/>
          <w:lang w:val="fr-FR" w:eastAsia="fr-FR"/>
        </w:rPr>
        <w:t>, ses conseils précieux. Sa bienveillance et son soutien nous ont</w:t>
      </w:r>
    </w:p>
    <w:p w14:paraId="3A5D2000" w14:textId="1974587B" w:rsidR="008920C8" w:rsidRPr="0086407A" w:rsidRDefault="008920C8" w:rsidP="008920C8">
      <w:pPr>
        <w:jc w:val="center"/>
        <w:rPr>
          <w:rFonts w:ascii="Gabriola" w:eastAsia="Times New Roman" w:hAnsi="Gabriola"/>
          <w:sz w:val="28"/>
          <w:szCs w:val="24"/>
          <w:lang w:val="fr-FR" w:eastAsia="fr-FR"/>
        </w:rPr>
      </w:pPr>
      <w:proofErr w:type="gramStart"/>
      <w:r w:rsidRPr="0086407A">
        <w:rPr>
          <w:rFonts w:ascii="Gabriola" w:eastAsia="Times New Roman" w:hAnsi="Gabriola"/>
          <w:sz w:val="28"/>
          <w:szCs w:val="24"/>
          <w:lang w:val="fr-FR" w:eastAsia="fr-FR"/>
        </w:rPr>
        <w:t>beaucoup</w:t>
      </w:r>
      <w:proofErr w:type="gramEnd"/>
      <w:r w:rsidRPr="0086407A">
        <w:rPr>
          <w:rFonts w:ascii="Gabriola" w:eastAsia="Times New Roman" w:hAnsi="Gabriola"/>
          <w:sz w:val="28"/>
          <w:szCs w:val="24"/>
          <w:lang w:val="fr-FR" w:eastAsia="fr-FR"/>
        </w:rPr>
        <w:t xml:space="preserve"> aidées à avancer et à mener ce mémoire à bien.</w:t>
      </w:r>
    </w:p>
    <w:p w14:paraId="21A183BB" w14:textId="77777777" w:rsidR="008920C8" w:rsidRPr="0086407A" w:rsidRDefault="008920C8" w:rsidP="008920C8">
      <w:pPr>
        <w:jc w:val="center"/>
        <w:rPr>
          <w:rFonts w:ascii="Gabriola" w:eastAsia="Times New Roman" w:hAnsi="Gabriola"/>
          <w:sz w:val="28"/>
          <w:szCs w:val="24"/>
          <w:lang w:val="fr-FR" w:eastAsia="fr-FR"/>
        </w:rPr>
      </w:pPr>
    </w:p>
    <w:p w14:paraId="4C476DB5" w14:textId="1F731FEE" w:rsidR="008920C8" w:rsidRPr="0086407A" w:rsidRDefault="008920C8" w:rsidP="008920C8">
      <w:pPr>
        <w:jc w:val="center"/>
        <w:rPr>
          <w:rFonts w:ascii="Gabriola" w:eastAsia="Times New Roman" w:hAnsi="Gabriola"/>
          <w:sz w:val="28"/>
          <w:szCs w:val="24"/>
          <w:lang w:val="fr-FR" w:eastAsia="fr-FR"/>
        </w:rPr>
      </w:pPr>
      <w:r w:rsidRPr="0086407A">
        <w:rPr>
          <w:rFonts w:ascii="Gabriola" w:eastAsia="Times New Roman" w:hAnsi="Gabriola"/>
          <w:sz w:val="28"/>
          <w:szCs w:val="24"/>
          <w:lang w:val="fr-FR" w:eastAsia="fr-FR"/>
        </w:rPr>
        <w:t>On tient à exprimer notre profonde gratitude aux membres du jury</w:t>
      </w:r>
    </w:p>
    <w:p w14:paraId="6B488B3F" w14:textId="1E9CBE9C" w:rsidR="008920C8" w:rsidRPr="0086407A" w:rsidRDefault="008920C8" w:rsidP="008920C8">
      <w:pPr>
        <w:jc w:val="center"/>
        <w:rPr>
          <w:rFonts w:ascii="Gabriola" w:eastAsia="Times New Roman" w:hAnsi="Gabriola"/>
          <w:sz w:val="28"/>
          <w:szCs w:val="24"/>
          <w:lang w:val="fr-FR" w:eastAsia="fr-FR"/>
        </w:rPr>
      </w:pPr>
      <w:proofErr w:type="gramStart"/>
      <w:r w:rsidRPr="0086407A">
        <w:rPr>
          <w:rFonts w:ascii="Gabriola" w:eastAsia="Times New Roman" w:hAnsi="Gabriola"/>
          <w:sz w:val="28"/>
          <w:szCs w:val="24"/>
          <w:lang w:val="fr-FR" w:eastAsia="fr-FR"/>
        </w:rPr>
        <w:t>docteur</w:t>
      </w:r>
      <w:proofErr w:type="gramEnd"/>
      <w:r w:rsidRPr="0086407A">
        <w:rPr>
          <w:rFonts w:ascii="Gabriola" w:eastAsia="Times New Roman" w:hAnsi="Gabriola"/>
          <w:sz w:val="28"/>
          <w:szCs w:val="24"/>
          <w:lang w:val="fr-FR" w:eastAsia="fr-FR"/>
        </w:rPr>
        <w:t xml:space="preserve"> </w:t>
      </w:r>
      <w:r w:rsidRPr="0086407A">
        <w:rPr>
          <w:rFonts w:ascii="Gabriola" w:eastAsia="Times New Roman" w:hAnsi="Gabriola"/>
          <w:b/>
          <w:bCs/>
          <w:sz w:val="28"/>
          <w:szCs w:val="24"/>
          <w:lang w:val="fr-FR" w:eastAsia="fr-FR"/>
        </w:rPr>
        <w:t xml:space="preserve">KHELLIFI .A </w:t>
      </w:r>
      <w:r w:rsidRPr="0086407A">
        <w:rPr>
          <w:rFonts w:ascii="Gabriola" w:eastAsia="Times New Roman" w:hAnsi="Gabriola"/>
          <w:sz w:val="28"/>
          <w:szCs w:val="24"/>
          <w:lang w:val="fr-FR" w:eastAsia="fr-FR"/>
        </w:rPr>
        <w:t>pour avoir accepté d’évaluer notre travail. On</w:t>
      </w:r>
    </w:p>
    <w:p w14:paraId="5912EF90" w14:textId="7E4935A5" w:rsidR="008920C8" w:rsidRPr="0086407A" w:rsidRDefault="008920C8" w:rsidP="008920C8">
      <w:pPr>
        <w:jc w:val="center"/>
        <w:rPr>
          <w:rFonts w:ascii="Gabriola" w:eastAsia="Times New Roman" w:hAnsi="Gabriola"/>
          <w:sz w:val="28"/>
          <w:szCs w:val="24"/>
          <w:lang w:val="fr-FR" w:eastAsia="fr-FR"/>
        </w:rPr>
      </w:pPr>
      <w:proofErr w:type="gramStart"/>
      <w:r w:rsidRPr="0086407A">
        <w:rPr>
          <w:rFonts w:ascii="Gabriola" w:eastAsia="Times New Roman" w:hAnsi="Gabriola"/>
          <w:sz w:val="28"/>
          <w:szCs w:val="24"/>
          <w:lang w:val="fr-FR" w:eastAsia="fr-FR"/>
        </w:rPr>
        <w:t>vous</w:t>
      </w:r>
      <w:proofErr w:type="gramEnd"/>
      <w:r w:rsidRPr="0086407A">
        <w:rPr>
          <w:rFonts w:ascii="Gabriola" w:eastAsia="Times New Roman" w:hAnsi="Gabriola"/>
          <w:sz w:val="28"/>
          <w:szCs w:val="24"/>
          <w:lang w:val="fr-FR" w:eastAsia="fr-FR"/>
        </w:rPr>
        <w:t xml:space="preserve"> en est sincèrement reconnaissantes. Vos remarques et suggestions seront pour </w:t>
      </w:r>
      <w:proofErr w:type="gramStart"/>
      <w:r w:rsidRPr="0086407A">
        <w:rPr>
          <w:rFonts w:ascii="Gabriola" w:eastAsia="Times New Roman" w:hAnsi="Gabriola"/>
          <w:sz w:val="28"/>
          <w:szCs w:val="24"/>
          <w:lang w:val="fr-FR" w:eastAsia="fr-FR"/>
        </w:rPr>
        <w:t>nous  une</w:t>
      </w:r>
      <w:proofErr w:type="gramEnd"/>
      <w:r w:rsidRPr="0086407A">
        <w:rPr>
          <w:rFonts w:ascii="Gabriola" w:eastAsia="Times New Roman" w:hAnsi="Gabriola"/>
          <w:sz w:val="28"/>
          <w:szCs w:val="24"/>
          <w:lang w:val="fr-FR" w:eastAsia="fr-FR"/>
        </w:rPr>
        <w:t xml:space="preserve"> source précieuse d’enrichissement et d’amélioration.</w:t>
      </w:r>
    </w:p>
    <w:p w14:paraId="513024B2" w14:textId="192D8DA1" w:rsidR="008920C8" w:rsidRPr="0086407A" w:rsidRDefault="008920C8" w:rsidP="0086407A">
      <w:pPr>
        <w:rPr>
          <w:rFonts w:ascii="Gabriola" w:eastAsia="Times New Roman" w:hAnsi="Gabriola"/>
          <w:sz w:val="28"/>
          <w:szCs w:val="24"/>
          <w:lang w:val="fr-FR" w:eastAsia="fr-FR"/>
        </w:rPr>
      </w:pPr>
    </w:p>
    <w:p w14:paraId="3EFCB2A1" w14:textId="4CD3F0A8" w:rsidR="008920C8" w:rsidRPr="0086407A" w:rsidRDefault="008920C8" w:rsidP="008920C8">
      <w:pPr>
        <w:jc w:val="center"/>
        <w:rPr>
          <w:rFonts w:ascii="Gabriola" w:eastAsia="Times New Roman" w:hAnsi="Gabriola"/>
          <w:sz w:val="28"/>
          <w:szCs w:val="24"/>
          <w:lang w:val="fr-FR" w:eastAsia="fr-FR"/>
        </w:rPr>
      </w:pPr>
      <w:r w:rsidRPr="0086407A">
        <w:rPr>
          <w:rFonts w:ascii="Gabriola" w:eastAsia="Times New Roman" w:hAnsi="Gabriola"/>
          <w:sz w:val="28"/>
          <w:szCs w:val="24"/>
          <w:lang w:val="fr-FR" w:eastAsia="fr-FR"/>
        </w:rPr>
        <w:t>Nous exprimons nos sincères remerciements aux tous les membres et les médecins de</w:t>
      </w:r>
    </w:p>
    <w:p w14:paraId="480B49F4" w14:textId="1BD465F0" w:rsidR="008920C8" w:rsidRPr="0086407A" w:rsidRDefault="008920C8" w:rsidP="0086407A">
      <w:pPr>
        <w:jc w:val="center"/>
        <w:rPr>
          <w:rFonts w:ascii="Gabriola" w:eastAsia="Times New Roman" w:hAnsi="Gabriola"/>
          <w:sz w:val="28"/>
          <w:szCs w:val="24"/>
          <w:lang w:val="fr-FR" w:eastAsia="fr-FR"/>
        </w:rPr>
      </w:pPr>
      <w:proofErr w:type="gramStart"/>
      <w:r w:rsidRPr="0086407A">
        <w:rPr>
          <w:rFonts w:ascii="Gabriola" w:eastAsia="Times New Roman" w:hAnsi="Gabriola"/>
          <w:sz w:val="28"/>
          <w:szCs w:val="24"/>
          <w:lang w:val="fr-FR" w:eastAsia="fr-FR"/>
        </w:rPr>
        <w:t>polyclinique</w:t>
      </w:r>
      <w:proofErr w:type="gramEnd"/>
      <w:r w:rsidRPr="0086407A">
        <w:rPr>
          <w:rFonts w:ascii="Gabriola" w:eastAsia="Times New Roman" w:hAnsi="Gabriola"/>
          <w:sz w:val="28"/>
          <w:szCs w:val="24"/>
          <w:lang w:val="fr-FR" w:eastAsia="fr-FR"/>
        </w:rPr>
        <w:t xml:space="preserve"> : </w:t>
      </w:r>
      <w:r w:rsidRPr="0086407A">
        <w:rPr>
          <w:rFonts w:ascii="Gabriola" w:eastAsia="Times New Roman" w:hAnsi="Gabriola"/>
          <w:b/>
          <w:bCs/>
          <w:sz w:val="28"/>
          <w:szCs w:val="24"/>
          <w:lang w:val="fr-FR" w:eastAsia="fr-FR"/>
        </w:rPr>
        <w:t>DJOUDI AHMED</w:t>
      </w:r>
      <w:r w:rsidRPr="0086407A">
        <w:rPr>
          <w:rFonts w:ascii="Gabriola" w:eastAsia="Times New Roman" w:hAnsi="Gabriola"/>
          <w:sz w:val="28"/>
          <w:szCs w:val="24"/>
          <w:lang w:val="fr-FR" w:eastAsia="fr-FR"/>
        </w:rPr>
        <w:t xml:space="preserve"> ; pour leur accueil chaleureux et leur disponibilité qui nous ont aidé à réaliser ce travail dans les meilleurs conditions.</w:t>
      </w:r>
    </w:p>
    <w:p w14:paraId="2BAF6CDE" w14:textId="380C35CD" w:rsidR="008920C8" w:rsidRPr="0086407A" w:rsidRDefault="008920C8" w:rsidP="008920C8">
      <w:pPr>
        <w:jc w:val="center"/>
        <w:rPr>
          <w:rFonts w:ascii="Gabriola" w:eastAsia="Times New Roman" w:hAnsi="Gabriola"/>
          <w:sz w:val="28"/>
          <w:szCs w:val="24"/>
          <w:lang w:val="fr-FR" w:eastAsia="fr-FR"/>
        </w:rPr>
      </w:pPr>
      <w:r w:rsidRPr="0086407A">
        <w:rPr>
          <w:rFonts w:ascii="Gabriola" w:eastAsia="Times New Roman" w:hAnsi="Gabriola"/>
          <w:sz w:val="28"/>
          <w:szCs w:val="24"/>
          <w:lang w:val="fr-FR" w:eastAsia="fr-FR"/>
        </w:rPr>
        <w:t>On tient à remercier profondément et sincèrement tous ceux qui ont participé de près ou de loin à la réalisation de ce travail.</w:t>
      </w:r>
    </w:p>
    <w:p w14:paraId="4778D81B" w14:textId="77777777" w:rsidR="008920C8" w:rsidRPr="0086407A" w:rsidRDefault="008920C8" w:rsidP="008920C8">
      <w:pPr>
        <w:jc w:val="center"/>
        <w:rPr>
          <w:rFonts w:ascii="Gabriola" w:eastAsia="Times New Roman" w:hAnsi="Gabriola"/>
          <w:sz w:val="28"/>
          <w:szCs w:val="24"/>
          <w:lang w:val="fr-FR" w:eastAsia="fr-FR"/>
        </w:rPr>
      </w:pPr>
    </w:p>
    <w:p w14:paraId="3798A24F" w14:textId="54628ABF" w:rsidR="008920C8" w:rsidRPr="00CB543A" w:rsidRDefault="008920C8" w:rsidP="008920C8">
      <w:pPr>
        <w:jc w:val="right"/>
        <w:rPr>
          <w:rFonts w:ascii="Gabriola" w:eastAsia="Times New Roman" w:hAnsi="Gabriola"/>
          <w:sz w:val="28"/>
          <w:szCs w:val="24"/>
          <w:lang w:eastAsia="fr-FR"/>
        </w:rPr>
      </w:pPr>
      <w:r w:rsidRPr="00CB543A">
        <w:rPr>
          <w:rFonts w:ascii="Gabriola" w:eastAsia="Times New Roman" w:hAnsi="Gabriola"/>
          <w:sz w:val="28"/>
          <w:szCs w:val="24"/>
          <w:lang w:eastAsia="fr-FR"/>
        </w:rPr>
        <w:t>LOUAIL Maria Ichrak</w:t>
      </w:r>
    </w:p>
    <w:p w14:paraId="63719827" w14:textId="0B5431EE" w:rsidR="008920C8" w:rsidRPr="00CB543A" w:rsidRDefault="008920C8" w:rsidP="008920C8">
      <w:pPr>
        <w:jc w:val="right"/>
        <w:rPr>
          <w:rFonts w:ascii="Gabriola" w:eastAsia="Times New Roman" w:hAnsi="Gabriola"/>
          <w:sz w:val="28"/>
          <w:szCs w:val="24"/>
          <w:lang w:eastAsia="fr-FR"/>
        </w:rPr>
      </w:pPr>
      <w:r w:rsidRPr="00CB543A">
        <w:rPr>
          <w:rFonts w:ascii="Gabriola" w:eastAsia="Times New Roman" w:hAnsi="Gabriola"/>
          <w:sz w:val="28"/>
          <w:szCs w:val="24"/>
          <w:lang w:eastAsia="fr-FR"/>
        </w:rPr>
        <w:t>SEDDIKI Halima Saadia</w:t>
      </w:r>
    </w:p>
    <w:p w14:paraId="5133F1B4" w14:textId="241A01C2" w:rsidR="008920C8" w:rsidRPr="0086407A" w:rsidRDefault="00B139C3" w:rsidP="0086407A">
      <w:pPr>
        <w:jc w:val="center"/>
        <w:rPr>
          <w:rFonts w:ascii="Gabriola" w:eastAsia="Times New Roman" w:hAnsi="Gabriola"/>
          <w:lang w:val="fr-FR" w:eastAsia="fr-FR"/>
        </w:rPr>
      </w:pPr>
      <w:r w:rsidRPr="0086407A">
        <w:rPr>
          <w:rFonts w:ascii="Gabriola" w:eastAsia="Times New Roman" w:hAnsi="Gabriola"/>
          <w:lang w:val="fr-FR" w:eastAsia="fr-FR"/>
        </w:rPr>
        <w:t> </w:t>
      </w:r>
    </w:p>
    <w:p w14:paraId="59E6AEA0" w14:textId="2B2787BB" w:rsidR="0086407A" w:rsidRDefault="0086407A" w:rsidP="003F4230">
      <w:pPr>
        <w:spacing w:before="100" w:beforeAutospacing="1" w:after="100" w:afterAutospacing="1" w:line="240" w:lineRule="auto"/>
        <w:jc w:val="center"/>
        <w:outlineLvl w:val="0"/>
        <w:rPr>
          <w:rFonts w:ascii="Brush Script MT" w:eastAsia="Calibri" w:hAnsi="Brush Script MT" w:cs="Arial"/>
          <w:sz w:val="44"/>
          <w:szCs w:val="44"/>
          <w:lang w:val="fr-FR"/>
        </w:rPr>
      </w:pPr>
      <w:bookmarkStart w:id="2" w:name="_Toc229618749"/>
      <w:r w:rsidRPr="008920C8">
        <w:rPr>
          <w:rFonts w:ascii="Brush Script MT" w:eastAsia="Calibri" w:hAnsi="Brush Script MT" w:cs="Arial"/>
          <w:sz w:val="44"/>
          <w:szCs w:val="44"/>
          <w:lang w:val="fr-FR"/>
        </w:rPr>
        <w:lastRenderedPageBreak/>
        <w:t>Dédicace</w:t>
      </w:r>
      <w:bookmarkEnd w:id="2"/>
    </w:p>
    <w:p w14:paraId="268ECC94" w14:textId="21BB19B8" w:rsidR="0086407A" w:rsidRPr="0086407A" w:rsidRDefault="0086407A" w:rsidP="0086407A">
      <w:pPr>
        <w:spacing w:before="100" w:beforeAutospacing="1" w:after="100" w:afterAutospacing="1" w:line="240" w:lineRule="auto"/>
        <w:jc w:val="center"/>
        <w:rPr>
          <w:rFonts w:ascii="Gabriola" w:eastAsia="Times New Roman" w:hAnsi="Gabriola" w:cs="Times New Roman"/>
          <w:sz w:val="26"/>
          <w:szCs w:val="26"/>
          <w:lang w:val="fr-FR" w:eastAsia="fr-FR"/>
        </w:rPr>
      </w:pPr>
      <w:r>
        <w:rPr>
          <w:rFonts w:ascii="Gabriola" w:eastAsia="Times New Roman" w:hAnsi="Gabriola" w:cs="Times New Roman"/>
          <w:sz w:val="26"/>
          <w:szCs w:val="26"/>
          <w:lang w:val="fr-FR" w:eastAsia="fr-FR"/>
        </w:rPr>
        <w:t xml:space="preserve">Je </w:t>
      </w:r>
      <w:r w:rsidRPr="008920C8">
        <w:rPr>
          <w:rFonts w:ascii="Gabriola" w:eastAsia="Times New Roman" w:hAnsi="Gabriola" w:cs="Times New Roman"/>
          <w:sz w:val="26"/>
          <w:szCs w:val="26"/>
          <w:lang w:val="fr-FR" w:eastAsia="fr-FR"/>
        </w:rPr>
        <w:t>dédie humblement ce modeste travail</w:t>
      </w:r>
    </w:p>
    <w:p w14:paraId="5AAD2C72" w14:textId="08A0E02C" w:rsidR="00B139C3" w:rsidRPr="0086407A" w:rsidRDefault="00B139C3" w:rsidP="0086407A">
      <w:pPr>
        <w:spacing w:line="240" w:lineRule="auto"/>
        <w:jc w:val="center"/>
        <w:rPr>
          <w:rFonts w:ascii="Gabriola" w:eastAsia="Times New Roman" w:hAnsi="Gabriola"/>
          <w:sz w:val="26"/>
          <w:szCs w:val="26"/>
          <w:lang w:val="fr-FR" w:eastAsia="fr-FR"/>
        </w:rPr>
      </w:pPr>
      <w:r w:rsidRPr="0086407A">
        <w:rPr>
          <w:rFonts w:ascii="Gabriola" w:eastAsia="Times New Roman" w:hAnsi="Gabriola"/>
          <w:b/>
          <w:bCs/>
          <w:sz w:val="26"/>
          <w:szCs w:val="26"/>
          <w:lang w:val="fr-FR" w:eastAsia="fr-FR"/>
        </w:rPr>
        <w:t>À ma très chère Mère</w:t>
      </w:r>
      <w:r w:rsidRPr="0086407A">
        <w:rPr>
          <w:rFonts w:ascii="Gabriola" w:eastAsia="Times New Roman" w:hAnsi="Gabriola"/>
          <w:sz w:val="26"/>
          <w:szCs w:val="26"/>
          <w:lang w:val="fr-FR" w:eastAsia="fr-FR"/>
        </w:rPr>
        <w:t>, mon ange au ciel</w:t>
      </w:r>
      <w:r w:rsidR="0086407A" w:rsidRPr="0086407A">
        <w:rPr>
          <w:rFonts w:ascii="Gabriola" w:eastAsia="Times New Roman" w:hAnsi="Gabriola"/>
          <w:sz w:val="26"/>
          <w:szCs w:val="26"/>
          <w:lang w:val="fr-FR" w:eastAsia="fr-FR"/>
        </w:rPr>
        <w:t xml:space="preserve">, </w:t>
      </w:r>
      <w:r w:rsidRPr="0086407A">
        <w:rPr>
          <w:rFonts w:ascii="Gabriola" w:eastAsia="Times New Roman" w:hAnsi="Gabriola"/>
          <w:sz w:val="26"/>
          <w:szCs w:val="26"/>
          <w:lang w:val="fr-FR" w:eastAsia="fr-FR"/>
        </w:rPr>
        <w:t>celle qui est mon paradis, ton absence n'a jamais été un vide, mais une présence silencieuse qui m'a dicté la voie du succès. Tu es la source de ma persévérance et la lumière qui continue d'éclairer mon chemin, c'est ton souvenir qui m'a donné la force d'avancer chaque jour. Tu as porté mes rêves avant même que je ne sache les formuler. Ce travail est l'accomplissement de tes vœux et de ton amour inconditionnel. Repose en paix, maman : ton rêve est devenu réalité, ta fille est enfin devenue médecin. Que Dieu, dans Sa grande miséricorde, t'accueille dans Son vaste paradis.</w:t>
      </w:r>
    </w:p>
    <w:p w14:paraId="4679678F" w14:textId="4C6C0A3A" w:rsidR="00B139C3" w:rsidRPr="0086407A" w:rsidRDefault="00B139C3" w:rsidP="0086407A">
      <w:pPr>
        <w:spacing w:line="240" w:lineRule="auto"/>
        <w:jc w:val="center"/>
        <w:rPr>
          <w:rFonts w:ascii="Gabriola" w:eastAsia="Times New Roman" w:hAnsi="Gabriola"/>
          <w:sz w:val="26"/>
          <w:szCs w:val="26"/>
          <w:lang w:val="fr-FR" w:eastAsia="fr-FR"/>
        </w:rPr>
      </w:pPr>
      <w:r w:rsidRPr="0086407A">
        <w:rPr>
          <w:rFonts w:ascii="Gabriola" w:eastAsia="Times New Roman" w:hAnsi="Gabriola"/>
          <w:b/>
          <w:bCs/>
          <w:sz w:val="26"/>
          <w:szCs w:val="26"/>
          <w:lang w:val="fr-FR" w:eastAsia="fr-FR"/>
        </w:rPr>
        <w:t>À mon très ch</w:t>
      </w:r>
      <w:r w:rsidR="0086407A" w:rsidRPr="0086407A">
        <w:rPr>
          <w:rFonts w:ascii="Gabriola" w:eastAsia="Times New Roman" w:hAnsi="Gabriola"/>
          <w:b/>
          <w:bCs/>
          <w:sz w:val="26"/>
          <w:szCs w:val="26"/>
          <w:lang w:val="fr-FR" w:eastAsia="fr-FR"/>
        </w:rPr>
        <w:t>er Père</w:t>
      </w:r>
      <w:r w:rsidR="0086407A" w:rsidRPr="0086407A">
        <w:rPr>
          <w:rFonts w:ascii="Gabriola" w:eastAsia="Times New Roman" w:hAnsi="Gabriola"/>
          <w:sz w:val="26"/>
          <w:szCs w:val="26"/>
          <w:lang w:val="fr-FR" w:eastAsia="fr-FR"/>
        </w:rPr>
        <w:t xml:space="preserve">, mon pilier et ma force, </w:t>
      </w:r>
      <w:r w:rsidRPr="0086407A">
        <w:rPr>
          <w:rFonts w:ascii="Gabriola" w:eastAsia="Times New Roman" w:hAnsi="Gabriola"/>
          <w:sz w:val="26"/>
          <w:szCs w:val="26"/>
          <w:lang w:val="fr-FR" w:eastAsia="fr-FR"/>
        </w:rPr>
        <w:t>celui dont je porte le nom avec une immense fierté. Ce travail est le fruit de tes sacrifices et de ton soutien infaillible. Tu as été mon guide et mon protecteur, m'offrant la confiance nécessaire pour franchir chaque obstacle. Que Dieu te protège, te donne longue vie et t’enveloppe de Ses bénédictions.</w:t>
      </w:r>
    </w:p>
    <w:p w14:paraId="5ED5E669" w14:textId="18DC907D" w:rsidR="00B139C3" w:rsidRPr="0086407A" w:rsidRDefault="00B139C3" w:rsidP="0086407A">
      <w:pPr>
        <w:spacing w:line="240" w:lineRule="auto"/>
        <w:jc w:val="center"/>
        <w:rPr>
          <w:rFonts w:ascii="Gabriola" w:eastAsia="Times New Roman" w:hAnsi="Gabriola"/>
          <w:sz w:val="26"/>
          <w:szCs w:val="26"/>
          <w:lang w:val="fr-FR" w:eastAsia="fr-FR"/>
        </w:rPr>
      </w:pPr>
      <w:r w:rsidRPr="0086407A">
        <w:rPr>
          <w:rFonts w:ascii="Gabriola" w:eastAsia="Times New Roman" w:hAnsi="Gabriola"/>
          <w:b/>
          <w:bCs/>
          <w:sz w:val="26"/>
          <w:szCs w:val="26"/>
          <w:lang w:val="fr-FR" w:eastAsia="fr-FR"/>
        </w:rPr>
        <w:t>À mon grand frère</w:t>
      </w:r>
      <w:r w:rsidR="0086407A" w:rsidRPr="0086407A">
        <w:rPr>
          <w:rFonts w:ascii="Gabriola" w:eastAsia="Times New Roman" w:hAnsi="Gabriola"/>
          <w:b/>
          <w:bCs/>
          <w:sz w:val="26"/>
          <w:szCs w:val="26"/>
          <w:lang w:val="fr-FR" w:eastAsia="fr-FR"/>
        </w:rPr>
        <w:t xml:space="preserve"> Khalil</w:t>
      </w:r>
      <w:r w:rsidR="0086407A" w:rsidRPr="0086407A">
        <w:rPr>
          <w:rFonts w:ascii="Gabriola" w:eastAsia="Times New Roman" w:hAnsi="Gabriola"/>
          <w:sz w:val="26"/>
          <w:szCs w:val="26"/>
          <w:lang w:val="fr-FR" w:eastAsia="fr-FR"/>
        </w:rPr>
        <w:t xml:space="preserve">, mon Allié indéfectible, à </w:t>
      </w:r>
      <w:r w:rsidRPr="0086407A">
        <w:rPr>
          <w:rFonts w:ascii="Gabriola" w:eastAsia="Times New Roman" w:hAnsi="Gabriola"/>
          <w:sz w:val="26"/>
          <w:szCs w:val="26"/>
          <w:lang w:val="fr-FR" w:eastAsia="fr-FR"/>
        </w:rPr>
        <w:t>celui qui a été ma force quand je n'en avais plus. Tu as toujours été là pour m'encourager et me soutenir dans les moments les plus difficiles de ce parcours. Merci d'avoir été ce pilier inébranlable ; ce succès est aussi le tien. Que Dieu te protège et te garde à mes côtés.</w:t>
      </w:r>
    </w:p>
    <w:p w14:paraId="32631351" w14:textId="09E9399E" w:rsidR="00B139C3" w:rsidRPr="0086407A" w:rsidRDefault="00B139C3" w:rsidP="0086407A">
      <w:pPr>
        <w:spacing w:line="240" w:lineRule="auto"/>
        <w:jc w:val="center"/>
        <w:rPr>
          <w:rFonts w:ascii="Gabriola" w:eastAsia="Times New Roman" w:hAnsi="Gabriola"/>
          <w:sz w:val="26"/>
          <w:szCs w:val="26"/>
          <w:lang w:val="fr-FR" w:eastAsia="fr-FR"/>
        </w:rPr>
      </w:pPr>
      <w:r w:rsidRPr="0086407A">
        <w:rPr>
          <w:rFonts w:ascii="Gabriola" w:eastAsia="Times New Roman" w:hAnsi="Gabriola"/>
          <w:b/>
          <w:bCs/>
          <w:sz w:val="26"/>
          <w:szCs w:val="26"/>
          <w:lang w:val="fr-FR" w:eastAsia="fr-FR"/>
        </w:rPr>
        <w:t>À ma deuxième Mère</w:t>
      </w:r>
      <w:r w:rsidRPr="0086407A">
        <w:rPr>
          <w:rFonts w:ascii="Gabriola" w:eastAsia="Times New Roman" w:hAnsi="Gabriola"/>
          <w:sz w:val="26"/>
          <w:szCs w:val="26"/>
          <w:lang w:val="fr-FR" w:eastAsia="fr-FR"/>
        </w:rPr>
        <w:t>,</w:t>
      </w:r>
      <w:r w:rsidR="0086407A" w:rsidRPr="0086407A">
        <w:rPr>
          <w:rFonts w:ascii="Gabriola" w:eastAsia="Times New Roman" w:hAnsi="Gabriola"/>
          <w:sz w:val="26"/>
          <w:szCs w:val="26"/>
          <w:lang w:val="fr-FR" w:eastAsia="fr-FR"/>
        </w:rPr>
        <w:t xml:space="preserve"> c</w:t>
      </w:r>
      <w:r w:rsidRPr="0086407A">
        <w:rPr>
          <w:rFonts w:ascii="Gabriola" w:eastAsia="Times New Roman" w:hAnsi="Gabriola"/>
          <w:sz w:val="26"/>
          <w:szCs w:val="26"/>
          <w:lang w:val="fr-FR" w:eastAsia="fr-FR"/>
        </w:rPr>
        <w:t>elle qui m’a accompagnée avec bienveillance et tendresse. Merci pour ta présence précieuse à nos côtés, pour ton soutien discret mais essentiel. Ce travail te témoigne mon respect et ma profonde reconnaissance pour tout ce que tu fais pour notre famille.</w:t>
      </w:r>
    </w:p>
    <w:p w14:paraId="08F1A8BE" w14:textId="0F131B6D" w:rsidR="00B139C3" w:rsidRPr="0086407A" w:rsidRDefault="00B139C3" w:rsidP="0086407A">
      <w:pPr>
        <w:spacing w:line="240" w:lineRule="auto"/>
        <w:jc w:val="center"/>
        <w:rPr>
          <w:rFonts w:ascii="Gabriola" w:eastAsia="Times New Roman" w:hAnsi="Gabriola"/>
          <w:sz w:val="26"/>
          <w:szCs w:val="26"/>
          <w:lang w:val="fr-FR" w:eastAsia="fr-FR"/>
        </w:rPr>
      </w:pPr>
      <w:r w:rsidRPr="0086407A">
        <w:rPr>
          <w:rFonts w:ascii="Gabriola" w:eastAsia="Times New Roman" w:hAnsi="Gabriola"/>
          <w:b/>
          <w:bCs/>
          <w:sz w:val="26"/>
          <w:szCs w:val="26"/>
          <w:lang w:val="fr-FR" w:eastAsia="fr-FR"/>
        </w:rPr>
        <w:t>À mes chers F</w:t>
      </w:r>
      <w:r w:rsidR="0086407A" w:rsidRPr="0086407A">
        <w:rPr>
          <w:rFonts w:ascii="Gabriola" w:eastAsia="Times New Roman" w:hAnsi="Gabriola"/>
          <w:b/>
          <w:bCs/>
          <w:sz w:val="26"/>
          <w:szCs w:val="26"/>
          <w:lang w:val="fr-FR" w:eastAsia="fr-FR"/>
        </w:rPr>
        <w:t>rères</w:t>
      </w:r>
      <w:r w:rsidR="0086407A" w:rsidRPr="0086407A">
        <w:rPr>
          <w:rFonts w:ascii="Gabriola" w:eastAsia="Times New Roman" w:hAnsi="Gabriola"/>
          <w:sz w:val="26"/>
          <w:szCs w:val="26"/>
          <w:lang w:val="fr-FR" w:eastAsia="fr-FR"/>
        </w:rPr>
        <w:t xml:space="preserve"> : Youssef, Ayoub et Aïssa, m</w:t>
      </w:r>
      <w:r w:rsidRPr="0086407A">
        <w:rPr>
          <w:rFonts w:ascii="Gabriola" w:eastAsia="Times New Roman" w:hAnsi="Gabriola"/>
          <w:sz w:val="26"/>
          <w:szCs w:val="26"/>
          <w:lang w:val="fr-FR" w:eastAsia="fr-FR"/>
        </w:rPr>
        <w:t>es compagnons de route. Votre présence est ma force. Je vous dédie ce succès en espérant qu'il soit pour vous une source de fierté et une motivation pour atteindre vos propres sommets. Que notre lien reste à jamais indéfectible.</w:t>
      </w:r>
    </w:p>
    <w:p w14:paraId="39E33DCA" w14:textId="77777777" w:rsidR="00B139C3" w:rsidRPr="0086407A" w:rsidRDefault="00B139C3" w:rsidP="0086407A">
      <w:pPr>
        <w:spacing w:line="240" w:lineRule="auto"/>
        <w:jc w:val="center"/>
        <w:rPr>
          <w:rFonts w:ascii="Gabriola" w:eastAsia="Times New Roman" w:hAnsi="Gabriola"/>
          <w:sz w:val="26"/>
          <w:szCs w:val="26"/>
          <w:lang w:val="fr-FR" w:eastAsia="fr-FR"/>
        </w:rPr>
      </w:pPr>
      <w:r w:rsidRPr="0086407A">
        <w:rPr>
          <w:rFonts w:ascii="Gabriola" w:eastAsia="Times New Roman" w:hAnsi="Gabriola"/>
          <w:b/>
          <w:bCs/>
          <w:sz w:val="26"/>
          <w:szCs w:val="26"/>
          <w:lang w:val="fr-FR" w:eastAsia="fr-FR"/>
        </w:rPr>
        <w:t>À toute ma famille, mes chers amis et tous ceux qui ont cru en moi, de près ou de loin</w:t>
      </w:r>
      <w:r w:rsidRPr="0086407A">
        <w:rPr>
          <w:rFonts w:ascii="Gabriola" w:eastAsia="Times New Roman" w:hAnsi="Gabriola"/>
          <w:sz w:val="26"/>
          <w:szCs w:val="26"/>
          <w:lang w:val="fr-FR" w:eastAsia="fr-FR"/>
        </w:rPr>
        <w:t xml:space="preserve"> : que chacun trouve ici l'expression de ma reconnaissance sincère</w:t>
      </w:r>
    </w:p>
    <w:p w14:paraId="063B90E8" w14:textId="5AEDBA2D" w:rsidR="00B139C3" w:rsidRDefault="00B139C3" w:rsidP="0086407A">
      <w:pPr>
        <w:spacing w:line="240" w:lineRule="auto"/>
        <w:jc w:val="center"/>
        <w:rPr>
          <w:rFonts w:ascii="Gabriola" w:eastAsia="Times New Roman" w:hAnsi="Gabriola"/>
          <w:sz w:val="26"/>
          <w:szCs w:val="26"/>
          <w:lang w:val="fr-FR" w:eastAsia="fr-FR"/>
        </w:rPr>
      </w:pPr>
      <w:r w:rsidRPr="0086407A">
        <w:rPr>
          <w:rFonts w:ascii="Gabriola" w:eastAsia="Times New Roman" w:hAnsi="Gabriola"/>
          <w:sz w:val="26"/>
          <w:szCs w:val="26"/>
          <w:lang w:val="fr-FR" w:eastAsia="fr-FR"/>
        </w:rPr>
        <w:t>À cette version de moi qui a douté, mais qui n'a jamais renoncé, À mes nuits de veille, à mes sacrifices silencieux et à cette force intérieure qui m'a portée quand le chemin semblait trop escarpé. À la petite fille qui rêvait de porter cette blouse blanche et qui, aujourd'hui,</w:t>
      </w:r>
      <w:r w:rsidR="0086407A">
        <w:rPr>
          <w:rFonts w:ascii="Gabriola" w:eastAsia="Times New Roman" w:hAnsi="Gabriola"/>
          <w:sz w:val="26"/>
          <w:szCs w:val="26"/>
          <w:lang w:val="fr-FR" w:eastAsia="fr-FR"/>
        </w:rPr>
        <w:t xml:space="preserve"> voit son rêve devenir réalité.</w:t>
      </w:r>
    </w:p>
    <w:p w14:paraId="6D0C3E1D" w14:textId="0D638ECD" w:rsidR="0086407A" w:rsidRPr="0086407A" w:rsidRDefault="0086407A" w:rsidP="0086407A">
      <w:pPr>
        <w:spacing w:line="240" w:lineRule="auto"/>
        <w:jc w:val="right"/>
        <w:rPr>
          <w:rFonts w:ascii="Gabriola" w:eastAsia="Times New Roman" w:hAnsi="Gabriola"/>
          <w:b/>
          <w:bCs/>
          <w:sz w:val="26"/>
          <w:szCs w:val="26"/>
          <w:lang w:val="fr-FR" w:eastAsia="fr-FR"/>
        </w:rPr>
      </w:pPr>
      <w:r w:rsidRPr="0086407A">
        <w:rPr>
          <w:rFonts w:ascii="Gabriola" w:eastAsia="Times New Roman" w:hAnsi="Gabriola"/>
          <w:b/>
          <w:bCs/>
          <w:sz w:val="26"/>
          <w:szCs w:val="26"/>
          <w:lang w:val="fr-FR" w:eastAsia="fr-FR"/>
        </w:rPr>
        <w:t>Dr SEDDIKI Halima Saadia</w:t>
      </w:r>
    </w:p>
    <w:p w14:paraId="6702D13D" w14:textId="77777777" w:rsidR="008920C8" w:rsidRPr="008920C8" w:rsidRDefault="008920C8" w:rsidP="003F4230">
      <w:pPr>
        <w:spacing w:before="100" w:beforeAutospacing="1" w:after="100" w:afterAutospacing="1" w:line="240" w:lineRule="auto"/>
        <w:jc w:val="center"/>
        <w:outlineLvl w:val="0"/>
        <w:rPr>
          <w:rFonts w:ascii="Brush Script MT" w:eastAsia="Times New Roman" w:hAnsi="Brush Script MT" w:cs="Times New Roman"/>
          <w:sz w:val="40"/>
          <w:szCs w:val="40"/>
          <w:lang w:val="fr-FR" w:eastAsia="fr-FR"/>
        </w:rPr>
      </w:pPr>
      <w:bookmarkStart w:id="3" w:name="_Toc229618750"/>
      <w:r w:rsidRPr="008920C8">
        <w:rPr>
          <w:rFonts w:ascii="Brush Script MT" w:eastAsia="Calibri" w:hAnsi="Brush Script MT" w:cs="Arial"/>
          <w:sz w:val="44"/>
          <w:szCs w:val="44"/>
          <w:lang w:val="fr-FR"/>
        </w:rPr>
        <w:lastRenderedPageBreak/>
        <w:t>Dédicace</w:t>
      </w:r>
      <w:bookmarkEnd w:id="3"/>
    </w:p>
    <w:p w14:paraId="72220E4A" w14:textId="77777777" w:rsidR="008920C8" w:rsidRPr="008920C8" w:rsidRDefault="008920C8" w:rsidP="008920C8">
      <w:pPr>
        <w:spacing w:before="100" w:beforeAutospacing="1" w:after="100" w:afterAutospacing="1" w:line="240" w:lineRule="auto"/>
        <w:jc w:val="center"/>
        <w:rPr>
          <w:rFonts w:ascii="Gabriola" w:eastAsia="Times New Roman" w:hAnsi="Gabriola" w:cs="Times New Roman"/>
          <w:sz w:val="26"/>
          <w:szCs w:val="26"/>
          <w:lang w:val="fr-FR" w:eastAsia="fr-FR"/>
        </w:rPr>
      </w:pPr>
      <w:r w:rsidRPr="008920C8">
        <w:rPr>
          <w:rFonts w:ascii="Gabriola" w:eastAsia="Times New Roman" w:hAnsi="Gabriola" w:cs="Times New Roman"/>
          <w:sz w:val="26"/>
          <w:szCs w:val="26"/>
          <w:lang w:val="fr-FR" w:eastAsia="fr-FR"/>
        </w:rPr>
        <w:t>Je dédie humblement ce modeste travail</w:t>
      </w:r>
    </w:p>
    <w:p w14:paraId="1F8B13C3" w14:textId="77777777" w:rsidR="008920C8" w:rsidRPr="008920C8" w:rsidRDefault="008920C8" w:rsidP="008920C8">
      <w:pPr>
        <w:spacing w:before="100" w:beforeAutospacing="1" w:after="100" w:afterAutospacing="1" w:line="240" w:lineRule="auto"/>
        <w:jc w:val="center"/>
        <w:rPr>
          <w:rFonts w:ascii="Gabriola" w:eastAsia="Times New Roman" w:hAnsi="Gabriola" w:cs="Times New Roman"/>
          <w:sz w:val="26"/>
          <w:szCs w:val="26"/>
          <w:lang w:val="fr-FR" w:eastAsia="fr-FR"/>
        </w:rPr>
      </w:pPr>
      <w:r w:rsidRPr="008920C8">
        <w:rPr>
          <w:rFonts w:ascii="Gabriola" w:eastAsia="Times New Roman" w:hAnsi="Gabriola" w:cs="Times New Roman"/>
          <w:b/>
          <w:bCs/>
          <w:sz w:val="26"/>
          <w:szCs w:val="26"/>
          <w:lang w:val="fr-FR" w:eastAsia="fr-FR"/>
        </w:rPr>
        <w:t>À ma mère</w:t>
      </w:r>
      <w:r w:rsidRPr="008920C8">
        <w:rPr>
          <w:rFonts w:ascii="Gabriola" w:eastAsia="Times New Roman" w:hAnsi="Gabriola" w:cs="Times New Roman"/>
          <w:sz w:val="26"/>
          <w:szCs w:val="26"/>
          <w:lang w:val="fr-FR" w:eastAsia="fr-FR"/>
        </w:rPr>
        <w:t>… La plus belle grâce que Dieu m'ait accordée. Tu es le cœur qui battait derrière chaque effort, la main qui apaisait mes peurs avant même mes larmes, et la lumière qui n'a jamais cessé d'éclairer mon chemin. Aucun mot ne saurait contenir l'étendue de ta patience ni la profondeur de tes sacrifices. Ce diplôme est le tien avant d'être le mien. Que Dieu te garde pour moi comme une lumière qui ne s'éteint jamais.</w:t>
      </w:r>
    </w:p>
    <w:p w14:paraId="3581E274" w14:textId="77777777" w:rsidR="008920C8" w:rsidRPr="008920C8" w:rsidRDefault="008920C8" w:rsidP="008920C8">
      <w:pPr>
        <w:spacing w:before="100" w:beforeAutospacing="1" w:after="100" w:afterAutospacing="1" w:line="240" w:lineRule="auto"/>
        <w:jc w:val="center"/>
        <w:rPr>
          <w:rFonts w:ascii="Gabriola" w:eastAsia="Times New Roman" w:hAnsi="Gabriola" w:cs="Times New Roman"/>
          <w:sz w:val="26"/>
          <w:szCs w:val="26"/>
          <w:lang w:val="fr-FR" w:eastAsia="fr-FR"/>
        </w:rPr>
      </w:pPr>
      <w:r w:rsidRPr="008920C8">
        <w:rPr>
          <w:rFonts w:ascii="Gabriola" w:eastAsia="Times New Roman" w:hAnsi="Gabriola" w:cs="Times New Roman"/>
          <w:b/>
          <w:bCs/>
          <w:sz w:val="26"/>
          <w:szCs w:val="26"/>
          <w:lang w:val="fr-FR" w:eastAsia="fr-FR"/>
        </w:rPr>
        <w:t>À mon père</w:t>
      </w:r>
      <w:r w:rsidRPr="008920C8">
        <w:rPr>
          <w:rFonts w:ascii="Gabriola" w:eastAsia="Times New Roman" w:hAnsi="Gabriola" w:cs="Times New Roman"/>
          <w:sz w:val="26"/>
          <w:szCs w:val="26"/>
          <w:lang w:val="fr-FR" w:eastAsia="fr-FR"/>
        </w:rPr>
        <w:t xml:space="preserve">… Mon </w:t>
      </w:r>
      <w:proofErr w:type="gramStart"/>
      <w:r w:rsidRPr="008920C8">
        <w:rPr>
          <w:rFonts w:ascii="Gabriola" w:eastAsia="Times New Roman" w:hAnsi="Gabriola" w:cs="Times New Roman"/>
          <w:sz w:val="26"/>
          <w:szCs w:val="26"/>
          <w:lang w:val="fr-FR" w:eastAsia="fr-FR"/>
        </w:rPr>
        <w:t>pilier</w:t>
      </w:r>
      <w:r w:rsidRPr="008920C8">
        <w:rPr>
          <w:rFonts w:ascii="Gabriola" w:eastAsia="Times New Roman" w:hAnsi="Gabriola" w:cs="Times New Roman"/>
          <w:sz w:val="26"/>
          <w:szCs w:val="26"/>
          <w:rtl/>
          <w:lang w:val="fr-FR" w:eastAsia="fr-FR"/>
        </w:rPr>
        <w:t xml:space="preserve"> </w:t>
      </w:r>
      <w:r w:rsidRPr="008920C8">
        <w:rPr>
          <w:rFonts w:ascii="Gabriola" w:eastAsia="Times New Roman" w:hAnsi="Gabriola" w:cs="Times New Roman"/>
          <w:sz w:val="26"/>
          <w:szCs w:val="26"/>
          <w:lang w:val="fr-FR" w:eastAsia="fr-FR"/>
        </w:rPr>
        <w:t>.</w:t>
      </w:r>
      <w:proofErr w:type="gramEnd"/>
      <w:r w:rsidRPr="008920C8">
        <w:rPr>
          <w:rFonts w:ascii="Gabriola" w:eastAsia="Times New Roman" w:hAnsi="Gabriola" w:cs="Times New Roman"/>
          <w:sz w:val="26"/>
          <w:szCs w:val="26"/>
          <w:lang w:val="fr-FR" w:eastAsia="fr-FR"/>
        </w:rPr>
        <w:t xml:space="preserve"> Tu m'as appris que souffrir pour ses rêves est une noblesse. Merci pour tous ces sacrifices accomplis en silence, et pour cette fatigue que tu dissimulais afin que nous ne ressentions jamais le poids de la vie.</w:t>
      </w:r>
    </w:p>
    <w:p w14:paraId="52D941F9" w14:textId="77777777" w:rsidR="008920C8" w:rsidRPr="008920C8" w:rsidRDefault="008920C8" w:rsidP="008920C8">
      <w:pPr>
        <w:spacing w:before="100" w:beforeAutospacing="1" w:after="100" w:afterAutospacing="1" w:line="240" w:lineRule="auto"/>
        <w:jc w:val="center"/>
        <w:rPr>
          <w:rFonts w:ascii="Gabriola" w:eastAsia="Times New Roman" w:hAnsi="Gabriola" w:cs="Times New Roman"/>
          <w:sz w:val="26"/>
          <w:szCs w:val="26"/>
          <w:lang w:val="fr-FR" w:eastAsia="fr-FR"/>
        </w:rPr>
      </w:pPr>
      <w:r w:rsidRPr="008920C8">
        <w:rPr>
          <w:rFonts w:ascii="Gabriola" w:eastAsia="Times New Roman" w:hAnsi="Gabriola" w:cs="Times New Roman"/>
          <w:b/>
          <w:bCs/>
          <w:sz w:val="26"/>
          <w:szCs w:val="26"/>
          <w:lang w:val="fr-FR" w:eastAsia="fr-FR"/>
        </w:rPr>
        <w:t>À mon frère MOHAMED</w:t>
      </w:r>
      <w:r w:rsidRPr="008920C8">
        <w:rPr>
          <w:rFonts w:ascii="Gabriola" w:eastAsia="Times New Roman" w:hAnsi="Gabriola" w:cs="Times New Roman"/>
          <w:sz w:val="26"/>
          <w:szCs w:val="26"/>
          <w:lang w:val="fr-FR" w:eastAsia="fr-FR"/>
        </w:rPr>
        <w:t>… Mon soutien indéfectible et mon bras droit. Merci d'avoir constamment veillé à ma joie avec tout l'amour et la générosité qui te définissent. Ta présence suffisait à alléger ce que les mots ne pouvaient exprimer. Que Dieu te garde comme une bénédiction dans ma vie.</w:t>
      </w:r>
    </w:p>
    <w:p w14:paraId="73C4D262" w14:textId="77777777" w:rsidR="008920C8" w:rsidRPr="008920C8" w:rsidRDefault="008920C8" w:rsidP="008920C8">
      <w:pPr>
        <w:spacing w:before="100" w:beforeAutospacing="1" w:after="100" w:afterAutospacing="1" w:line="240" w:lineRule="auto"/>
        <w:jc w:val="center"/>
        <w:rPr>
          <w:rFonts w:ascii="Gabriola" w:eastAsia="Times New Roman" w:hAnsi="Gabriola" w:cs="Times New Roman"/>
          <w:sz w:val="26"/>
          <w:szCs w:val="26"/>
          <w:lang w:val="fr-FR" w:eastAsia="fr-FR"/>
        </w:rPr>
      </w:pPr>
      <w:r w:rsidRPr="008920C8">
        <w:rPr>
          <w:rFonts w:ascii="Gabriola" w:eastAsia="Times New Roman" w:hAnsi="Gabriola" w:cs="Times New Roman"/>
          <w:b/>
          <w:bCs/>
          <w:sz w:val="26"/>
          <w:szCs w:val="26"/>
          <w:lang w:val="fr-FR" w:eastAsia="fr-FR"/>
        </w:rPr>
        <w:t>À ma sœur RANIA</w:t>
      </w:r>
      <w:r w:rsidRPr="008920C8">
        <w:rPr>
          <w:rFonts w:ascii="Gabriola" w:eastAsia="Times New Roman" w:hAnsi="Gabriola" w:cs="Times New Roman"/>
          <w:sz w:val="26"/>
          <w:szCs w:val="26"/>
          <w:lang w:val="fr-FR" w:eastAsia="fr-FR"/>
        </w:rPr>
        <w:t xml:space="preserve"> … Ma douce complice et fidèle compagne. Merci pour ta tendresse, ton réconfort et cette joie que tu apportais même dans les moments les plus chargés. Ta présence a embelli chaque étape de ce parcours.</w:t>
      </w:r>
    </w:p>
    <w:p w14:paraId="60C7ED24" w14:textId="77777777" w:rsidR="008920C8" w:rsidRPr="008920C8" w:rsidRDefault="008920C8" w:rsidP="008920C8">
      <w:pPr>
        <w:spacing w:before="100" w:beforeAutospacing="1" w:after="100" w:afterAutospacing="1" w:line="240" w:lineRule="auto"/>
        <w:jc w:val="center"/>
        <w:rPr>
          <w:rFonts w:ascii="Gabriola" w:eastAsia="Times New Roman" w:hAnsi="Gabriola" w:cs="Times New Roman"/>
          <w:sz w:val="26"/>
          <w:szCs w:val="26"/>
          <w:lang w:val="fr-FR" w:eastAsia="fr-FR"/>
        </w:rPr>
      </w:pPr>
      <w:r w:rsidRPr="008920C8">
        <w:rPr>
          <w:rFonts w:ascii="Gabriola" w:eastAsia="Times New Roman" w:hAnsi="Gabriola" w:cs="Times New Roman"/>
          <w:b/>
          <w:bCs/>
          <w:sz w:val="26"/>
          <w:szCs w:val="26"/>
          <w:lang w:val="fr-FR" w:eastAsia="fr-FR"/>
        </w:rPr>
        <w:t>À moi-même</w:t>
      </w:r>
      <w:r w:rsidRPr="008920C8">
        <w:rPr>
          <w:rFonts w:ascii="Gabriola" w:eastAsia="Times New Roman" w:hAnsi="Gabriola" w:cs="Times New Roman"/>
          <w:sz w:val="26"/>
          <w:szCs w:val="26"/>
          <w:lang w:val="fr-FR" w:eastAsia="fr-FR"/>
        </w:rPr>
        <w:t>… À cette jeune fille qui a tenu bon pendant sept longues années, traversé les nuits de doute, pleuré en silence et s'est relevée à chaque fois. Tu as affronté des épreuves que personne ne voyait, et tu es allée jusqu'au bout. Je suis fière de toi.</w:t>
      </w:r>
    </w:p>
    <w:p w14:paraId="70E15B83" w14:textId="77777777" w:rsidR="008920C8" w:rsidRPr="008920C8" w:rsidRDefault="008920C8" w:rsidP="008920C8">
      <w:pPr>
        <w:spacing w:before="100" w:beforeAutospacing="1" w:after="100" w:afterAutospacing="1" w:line="240" w:lineRule="auto"/>
        <w:jc w:val="center"/>
        <w:rPr>
          <w:rFonts w:ascii="Gabriola" w:eastAsia="Times New Roman" w:hAnsi="Gabriola" w:cs="Times New Roman"/>
          <w:sz w:val="26"/>
          <w:szCs w:val="26"/>
          <w:lang w:val="fr-FR" w:eastAsia="fr-FR"/>
        </w:rPr>
      </w:pPr>
      <w:r w:rsidRPr="008920C8">
        <w:rPr>
          <w:rFonts w:ascii="Gabriola" w:eastAsia="Times New Roman" w:hAnsi="Gabriola" w:cs="Times New Roman"/>
          <w:b/>
          <w:bCs/>
          <w:sz w:val="26"/>
          <w:szCs w:val="26"/>
          <w:lang w:val="fr-FR" w:eastAsia="fr-FR"/>
        </w:rPr>
        <w:t>À mes amis</w:t>
      </w:r>
      <w:r w:rsidRPr="008920C8">
        <w:rPr>
          <w:rFonts w:ascii="Gabriola" w:eastAsia="Times New Roman" w:hAnsi="Gabriola" w:cs="Times New Roman"/>
          <w:sz w:val="26"/>
          <w:szCs w:val="26"/>
          <w:lang w:val="fr-FR" w:eastAsia="fr-FR"/>
        </w:rPr>
        <w:t>… Merci pour chaque mot réconfortant, chaque rire partagé et chaque moment de soutien qui allégeait le poids des journées difficiles.</w:t>
      </w:r>
    </w:p>
    <w:p w14:paraId="304954AA" w14:textId="2BC88CA8" w:rsidR="008920C8" w:rsidRPr="008920C8" w:rsidRDefault="008920C8" w:rsidP="008920C8">
      <w:pPr>
        <w:spacing w:before="100" w:beforeAutospacing="1" w:after="100" w:afterAutospacing="1" w:line="240" w:lineRule="auto"/>
        <w:jc w:val="center"/>
        <w:rPr>
          <w:rFonts w:ascii="Gabriola" w:eastAsia="Times New Roman" w:hAnsi="Gabriola" w:cs="Times New Roman"/>
          <w:sz w:val="26"/>
          <w:szCs w:val="26"/>
          <w:rtl/>
          <w:lang w:val="fr-FR" w:eastAsia="fr-FR"/>
        </w:rPr>
      </w:pPr>
      <w:r w:rsidRPr="008920C8">
        <w:rPr>
          <w:rFonts w:ascii="Gabriola" w:eastAsia="Times New Roman" w:hAnsi="Gabriola" w:cs="Times New Roman"/>
          <w:b/>
          <w:bCs/>
          <w:sz w:val="26"/>
          <w:szCs w:val="26"/>
          <w:lang w:val="fr-FR" w:eastAsia="fr-FR"/>
        </w:rPr>
        <w:t>À toutes les âmes qui ont prié pour moi en silence</w:t>
      </w:r>
      <w:r w:rsidRPr="008920C8">
        <w:rPr>
          <w:rFonts w:ascii="Gabriola" w:eastAsia="Times New Roman" w:hAnsi="Gabriola" w:cs="Times New Roman"/>
          <w:sz w:val="26"/>
          <w:szCs w:val="26"/>
          <w:lang w:val="fr-FR" w:eastAsia="fr-FR"/>
        </w:rPr>
        <w:t>… Vos prières me parvenaient comme une douceur divine dans mes instants les plus sombres. Que Dieu vous comble d'un bonheur à la hauteur de tout le bien que vous m'avez souhaité.</w:t>
      </w:r>
    </w:p>
    <w:p w14:paraId="0841D80D" w14:textId="47C8D77B" w:rsidR="008920C8" w:rsidRDefault="008920C8" w:rsidP="008920C8">
      <w:pPr>
        <w:spacing w:before="100" w:beforeAutospacing="1" w:after="100" w:afterAutospacing="1" w:line="240" w:lineRule="auto"/>
        <w:jc w:val="center"/>
        <w:rPr>
          <w:rFonts w:ascii="Brush Script MT" w:eastAsia="Times New Roman" w:hAnsi="Brush Script MT" w:cs="Times New Roman"/>
          <w:sz w:val="26"/>
          <w:szCs w:val="26"/>
          <w:lang w:val="fr-FR" w:eastAsia="fr-FR"/>
        </w:rPr>
      </w:pPr>
      <w:r w:rsidRPr="008920C8">
        <w:rPr>
          <w:rFonts w:ascii="Brush Script MT" w:eastAsia="Times New Roman" w:hAnsi="Brush Script MT" w:cs="Times New Roman"/>
          <w:sz w:val="26"/>
          <w:szCs w:val="26"/>
          <w:rtl/>
          <w:lang w:val="fr-FR" w:eastAsia="fr-FR"/>
        </w:rPr>
        <w:t>الحمد لله دائمًا وأبدًا على تمام الرحلة وجمال الوصول</w:t>
      </w:r>
    </w:p>
    <w:p w14:paraId="7D8D850A" w14:textId="6CBD1FA6" w:rsidR="00B139C3" w:rsidRPr="0086407A" w:rsidRDefault="0086407A" w:rsidP="0086407A">
      <w:pPr>
        <w:spacing w:before="100" w:beforeAutospacing="1" w:after="100" w:afterAutospacing="1" w:line="240" w:lineRule="auto"/>
        <w:jc w:val="right"/>
        <w:rPr>
          <w:rFonts w:ascii="Gabriola" w:eastAsia="Times New Roman" w:hAnsi="Gabriola" w:cs="Times New Roman"/>
          <w:b/>
          <w:bCs/>
          <w:sz w:val="26"/>
          <w:szCs w:val="26"/>
          <w:lang w:val="fr-FR" w:eastAsia="fr-FR"/>
        </w:rPr>
      </w:pPr>
      <w:r>
        <w:rPr>
          <w:rFonts w:ascii="Gabriola" w:eastAsia="Times New Roman" w:hAnsi="Gabriola" w:cs="Times New Roman"/>
          <w:b/>
          <w:bCs/>
          <w:sz w:val="26"/>
          <w:szCs w:val="26"/>
          <w:lang w:val="fr-FR" w:eastAsia="fr-FR"/>
        </w:rPr>
        <w:t>Dr LOUAIL Maria Ichrak</w:t>
      </w:r>
      <w:r w:rsidR="00B139C3" w:rsidRPr="00B139C3">
        <w:rPr>
          <w:rFonts w:eastAsia="Times New Roman"/>
          <w:lang w:val="fr-FR" w:eastAsia="fr-FR"/>
        </w:rPr>
        <w:br w:type="page"/>
      </w:r>
    </w:p>
    <w:p w14:paraId="46D5800A" w14:textId="5639AC22" w:rsidR="00664D0A" w:rsidRPr="007C4445" w:rsidRDefault="00664D0A" w:rsidP="0086407A">
      <w:pPr>
        <w:pStyle w:val="Heading1"/>
        <w:jc w:val="center"/>
        <w:rPr>
          <w:rFonts w:asciiTheme="minorHAnsi" w:hAnsiTheme="minorHAnsi"/>
          <w:lang w:eastAsia="fr-FR"/>
        </w:rPr>
      </w:pPr>
      <w:bookmarkStart w:id="4" w:name="_Toc229618751"/>
      <w:r w:rsidRPr="00664D0A">
        <w:rPr>
          <w:lang w:eastAsia="fr-FR"/>
        </w:rPr>
        <w:lastRenderedPageBreak/>
        <w:t>Résumé</w:t>
      </w:r>
      <w:bookmarkEnd w:id="4"/>
    </w:p>
    <w:p w14:paraId="079DC937" w14:textId="77777777" w:rsidR="00664D0A" w:rsidRPr="00664D0A" w:rsidRDefault="00664D0A" w:rsidP="00B139C3">
      <w:pPr>
        <w:rPr>
          <w:rFonts w:ascii="Calibri" w:eastAsia="Times New Roman" w:hAnsi="Calibri" w:cs="Arial"/>
          <w:lang w:val="fr-FR" w:eastAsia="fr-FR"/>
        </w:rPr>
      </w:pPr>
    </w:p>
    <w:p w14:paraId="4B3D04B1" w14:textId="6F495A34" w:rsidR="00664D0A" w:rsidRPr="00664D0A" w:rsidRDefault="00664D0A" w:rsidP="00B139C3">
      <w:pPr>
        <w:rPr>
          <w:rFonts w:ascii="Times New Roman" w:eastAsia="Times New Roman" w:hAnsi="Times New Roman" w:cs="Times New Roman"/>
          <w:color w:val="000000"/>
          <w:sz w:val="21"/>
          <w:szCs w:val="21"/>
          <w:lang w:val="fr-FR" w:eastAsia="fr-FR"/>
        </w:rPr>
      </w:pPr>
      <w:r w:rsidRPr="00664D0A">
        <w:rPr>
          <w:rFonts w:ascii="Calibri" w:eastAsia="Times New Roman" w:hAnsi="Calibri" w:cs="Arial"/>
          <w:sz w:val="21"/>
          <w:szCs w:val="21"/>
          <w:lang w:val="fr-FR" w:eastAsia="fr-FR"/>
        </w:rPr>
        <w:t xml:space="preserve">Introduction : Le diabète de type 2 constitue un problème majeur de santé publique en Algérie, avec une prévalence estimée à 17,5 %. Face aux traitements conventionnels, le recours à la phytothérapie reste largement répandu dans la culture algérienne, souvent en parallèle du traitement médical et sans en informer le médecin traitant. L'objectif de cette étude est </w:t>
      </w:r>
      <w:r w:rsidR="002A20EA" w:rsidRPr="002A20EA">
        <w:rPr>
          <w:lang w:val="fr-FR"/>
        </w:rPr>
        <w:t xml:space="preserve">Évaluer le recours à la phytothérapie chez les patients atteints de diabète de type 2 dans la région de Laghouat, en identifiant les plantes médicinales utilisées, leur impact sur l'équilibre </w:t>
      </w:r>
      <w:proofErr w:type="gramStart"/>
      <w:r w:rsidR="002A20EA" w:rsidRPr="002A20EA">
        <w:rPr>
          <w:lang w:val="fr-FR"/>
        </w:rPr>
        <w:t>glycémique.</w:t>
      </w:r>
      <w:r w:rsidRPr="00664D0A">
        <w:rPr>
          <w:rFonts w:ascii="Calibri" w:eastAsia="Times New Roman" w:hAnsi="Calibri" w:cs="Arial"/>
          <w:sz w:val="21"/>
          <w:szCs w:val="21"/>
          <w:lang w:val="fr-FR" w:eastAsia="fr-FR"/>
        </w:rPr>
        <w:t>.</w:t>
      </w:r>
      <w:proofErr w:type="gramEnd"/>
    </w:p>
    <w:p w14:paraId="7EE9DF9A" w14:textId="05852353" w:rsidR="00664D0A" w:rsidRPr="00664D0A" w:rsidRDefault="00664D0A" w:rsidP="00B139C3">
      <w:pPr>
        <w:rPr>
          <w:rFonts w:ascii="Calibri" w:eastAsia="Times New Roman" w:hAnsi="Calibri" w:cs="Arial"/>
          <w:sz w:val="21"/>
          <w:szCs w:val="21"/>
          <w:lang w:val="fr-FR" w:eastAsia="fr-FR"/>
        </w:rPr>
      </w:pPr>
      <w:r w:rsidRPr="00664D0A">
        <w:rPr>
          <w:rFonts w:ascii="Calibri" w:eastAsia="Times New Roman" w:hAnsi="Calibri" w:cs="Arial"/>
          <w:sz w:val="21"/>
          <w:szCs w:val="21"/>
          <w:lang w:val="fr-FR" w:eastAsia="fr-FR"/>
        </w:rPr>
        <w:t>Matériels et méthodes : Il s'agit d'une étude observationnelle transversale, descriptive et analytique, à méthode quantitative et qualitative, menée du 01/12/202</w:t>
      </w:r>
      <w:r w:rsidR="00F568F0">
        <w:rPr>
          <w:rFonts w:ascii="Calibri" w:eastAsia="Times New Roman" w:hAnsi="Calibri" w:cs="Arial"/>
          <w:sz w:val="21"/>
          <w:szCs w:val="21"/>
          <w:lang w:val="fr-FR" w:eastAsia="fr-FR"/>
        </w:rPr>
        <w:t>5</w:t>
      </w:r>
      <w:r w:rsidRPr="00664D0A">
        <w:rPr>
          <w:rFonts w:ascii="Calibri" w:eastAsia="Times New Roman" w:hAnsi="Calibri" w:cs="Arial"/>
          <w:sz w:val="21"/>
          <w:szCs w:val="21"/>
          <w:lang w:val="fr-FR" w:eastAsia="fr-FR"/>
        </w:rPr>
        <w:t xml:space="preserve"> au 01/05/202</w:t>
      </w:r>
      <w:r w:rsidR="00F568F0">
        <w:rPr>
          <w:rFonts w:ascii="Calibri" w:eastAsia="Times New Roman" w:hAnsi="Calibri" w:cs="Arial"/>
          <w:sz w:val="21"/>
          <w:szCs w:val="21"/>
          <w:lang w:val="fr-FR" w:eastAsia="fr-FR"/>
        </w:rPr>
        <w:t>6</w:t>
      </w:r>
      <w:r w:rsidRPr="00664D0A">
        <w:rPr>
          <w:rFonts w:ascii="Calibri" w:eastAsia="Times New Roman" w:hAnsi="Calibri" w:cs="Arial"/>
          <w:sz w:val="21"/>
          <w:szCs w:val="21"/>
          <w:lang w:val="fr-FR" w:eastAsia="fr-FR"/>
        </w:rPr>
        <w:t xml:space="preserve"> au niveau de la polyclinique Djoudi Ahmed de Laghouat. Elle a inclus 251 patients atteints de diabète de type 2. Les données ont été collectées par questionnaire </w:t>
      </w:r>
      <w:r w:rsidR="008B0273" w:rsidRPr="008B0273">
        <w:rPr>
          <w:rFonts w:ascii="Calibri" w:eastAsia="Times New Roman" w:hAnsi="Calibri" w:cs="Arial"/>
          <w:sz w:val="21"/>
          <w:szCs w:val="21"/>
          <w:lang w:val="fr-FR" w:eastAsia="fr-FR"/>
        </w:rPr>
        <w:t xml:space="preserve">informatisé </w:t>
      </w:r>
      <w:r w:rsidR="008B0273">
        <w:rPr>
          <w:rFonts w:ascii="Calibri" w:eastAsia="Times New Roman" w:hAnsi="Calibri" w:cs="Arial"/>
          <w:sz w:val="21"/>
          <w:szCs w:val="21"/>
          <w:lang w:val="fr-FR" w:eastAsia="fr-FR"/>
        </w:rPr>
        <w:t>et</w:t>
      </w:r>
      <w:r w:rsidRPr="00664D0A">
        <w:rPr>
          <w:rFonts w:ascii="Calibri" w:eastAsia="Times New Roman" w:hAnsi="Calibri" w:cs="Arial"/>
          <w:sz w:val="21"/>
          <w:szCs w:val="21"/>
          <w:lang w:val="fr-FR" w:eastAsia="fr-FR"/>
        </w:rPr>
        <w:t xml:space="preserve"> analysées par le logiciel Excel.</w:t>
      </w:r>
    </w:p>
    <w:p w14:paraId="6D3406F6" w14:textId="33EB5732" w:rsidR="00664D0A" w:rsidRPr="00664D0A" w:rsidRDefault="00664D0A" w:rsidP="00B139C3">
      <w:pPr>
        <w:rPr>
          <w:rFonts w:ascii="Calibri" w:eastAsia="Times New Roman" w:hAnsi="Calibri" w:cs="Arial"/>
          <w:sz w:val="21"/>
          <w:szCs w:val="21"/>
          <w:lang w:val="fr-FR" w:eastAsia="fr-FR"/>
        </w:rPr>
      </w:pPr>
      <w:r w:rsidRPr="00664D0A">
        <w:rPr>
          <w:rFonts w:ascii="Calibri" w:eastAsia="Times New Roman" w:hAnsi="Calibri" w:cs="Arial"/>
          <w:sz w:val="21"/>
          <w:szCs w:val="21"/>
          <w:lang w:val="fr-FR" w:eastAsia="fr-FR"/>
        </w:rPr>
        <w:t>Résultats : Sur les 251 patients inclus, 158 (62,9 %) recourent à la phytothérapie en complément de leur traitement antidiabétique conventionnel. Notre étude a recensé 26 espèces végétales appartenant à 16 familles botaniques. L'armoise (</w:t>
      </w:r>
      <w:r w:rsidRPr="00664D0A">
        <w:rPr>
          <w:rFonts w:ascii="Calibri" w:eastAsia="Times New Roman" w:hAnsi="Calibri" w:cs="Arial"/>
          <w:i/>
          <w:iCs/>
          <w:sz w:val="21"/>
          <w:szCs w:val="21"/>
          <w:lang w:val="fr-FR" w:eastAsia="fr-FR"/>
        </w:rPr>
        <w:t>Artemisia herba-alba</w:t>
      </w:r>
      <w:r w:rsidRPr="00664D0A">
        <w:rPr>
          <w:rFonts w:ascii="Calibri" w:eastAsia="Times New Roman" w:hAnsi="Calibri" w:cs="Arial"/>
          <w:sz w:val="21"/>
          <w:szCs w:val="21"/>
          <w:lang w:val="fr-FR" w:eastAsia="fr-FR"/>
        </w:rPr>
        <w:t xml:space="preserve">) domine avec 48,75 </w:t>
      </w:r>
      <w:r w:rsidR="008B0273" w:rsidRPr="00664D0A">
        <w:rPr>
          <w:rFonts w:ascii="Calibri" w:eastAsia="Times New Roman" w:hAnsi="Calibri" w:cs="Arial"/>
          <w:sz w:val="21"/>
          <w:szCs w:val="21"/>
          <w:lang w:val="fr-FR" w:eastAsia="fr-FR"/>
        </w:rPr>
        <w:t xml:space="preserve">% </w:t>
      </w:r>
      <w:proofErr w:type="gramStart"/>
      <w:r w:rsidR="008B0273">
        <w:rPr>
          <w:rFonts w:ascii="Calibri" w:eastAsia="Times New Roman" w:hAnsi="Calibri" w:cs="Arial"/>
          <w:sz w:val="21"/>
          <w:szCs w:val="21"/>
          <w:lang w:val="fr-FR" w:eastAsia="fr-FR"/>
        </w:rPr>
        <w:t xml:space="preserve">rapporté </w:t>
      </w:r>
      <w:r w:rsidR="00C464A1" w:rsidRPr="008B0273">
        <w:rPr>
          <w:rFonts w:ascii="Calibri" w:eastAsia="Times New Roman" w:hAnsi="Calibri" w:cs="Arial"/>
          <w:sz w:val="21"/>
          <w:szCs w:val="21"/>
          <w:lang w:val="fr-FR" w:eastAsia="fr-FR"/>
        </w:rPr>
        <w:t xml:space="preserve"> par</w:t>
      </w:r>
      <w:proofErr w:type="gramEnd"/>
      <w:r w:rsidR="00C464A1" w:rsidRPr="008B0273">
        <w:rPr>
          <w:rFonts w:ascii="Calibri" w:eastAsia="Times New Roman" w:hAnsi="Calibri" w:cs="Arial"/>
          <w:sz w:val="21"/>
          <w:szCs w:val="21"/>
          <w:lang w:val="fr-FR" w:eastAsia="fr-FR"/>
        </w:rPr>
        <w:t xml:space="preserve"> les patients</w:t>
      </w:r>
      <w:r w:rsidR="00C464A1">
        <w:rPr>
          <w:rFonts w:ascii="Calibri" w:eastAsia="Times New Roman" w:hAnsi="Calibri" w:cs="Arial"/>
          <w:sz w:val="21"/>
          <w:szCs w:val="21"/>
          <w:lang w:val="fr-FR" w:eastAsia="fr-FR"/>
        </w:rPr>
        <w:t xml:space="preserve"> </w:t>
      </w:r>
      <w:r w:rsidRPr="00664D0A">
        <w:rPr>
          <w:rFonts w:ascii="Calibri" w:eastAsia="Times New Roman" w:hAnsi="Calibri" w:cs="Arial"/>
          <w:sz w:val="21"/>
          <w:szCs w:val="21"/>
          <w:lang w:val="fr-FR" w:eastAsia="fr-FR"/>
        </w:rPr>
        <w:t xml:space="preserve">, suivie de la cannelle (7,5 %), la coriandre (6,67 %) et le fenugrec (5,83 %). Les feuilles et parties aériennes sont les plus utilisées, par infusion ou décoction, exclusivement par voie orale. Le motif principal d'utilisation est l'expérience positive d'un proche (78,6 %). </w:t>
      </w:r>
      <w:r w:rsidRPr="008B0273">
        <w:rPr>
          <w:rFonts w:ascii="Calibri" w:eastAsia="Times New Roman" w:hAnsi="Calibri" w:cs="Arial"/>
          <w:sz w:val="21"/>
          <w:szCs w:val="21"/>
          <w:lang w:val="fr-FR" w:eastAsia="fr-FR"/>
        </w:rPr>
        <w:t xml:space="preserve">Un </w:t>
      </w:r>
      <w:r w:rsidR="001559DD">
        <w:rPr>
          <w:rFonts w:ascii="Calibri" w:eastAsia="Times New Roman" w:hAnsi="Calibri" w:cs="Arial"/>
          <w:sz w:val="21"/>
          <w:szCs w:val="21"/>
          <w:lang w:val="fr-FR" w:eastAsia="fr-FR"/>
        </w:rPr>
        <w:t xml:space="preserve">diabète </w:t>
      </w:r>
      <w:r w:rsidR="008B0273">
        <w:rPr>
          <w:rFonts w:ascii="Calibri" w:eastAsia="Times New Roman" w:hAnsi="Calibri" w:cs="Arial"/>
          <w:sz w:val="21"/>
          <w:szCs w:val="21"/>
          <w:lang w:val="fr-FR" w:eastAsia="fr-FR"/>
        </w:rPr>
        <w:t>non</w:t>
      </w:r>
      <w:r w:rsidR="001559DD">
        <w:rPr>
          <w:rFonts w:ascii="Calibri" w:eastAsia="Times New Roman" w:hAnsi="Calibri" w:cs="Arial"/>
          <w:sz w:val="21"/>
          <w:szCs w:val="21"/>
          <w:lang w:val="fr-FR" w:eastAsia="fr-FR"/>
        </w:rPr>
        <w:t xml:space="preserve"> équilibré </w:t>
      </w:r>
      <w:r w:rsidRPr="008B0273">
        <w:rPr>
          <w:rFonts w:ascii="Calibri" w:eastAsia="Times New Roman" w:hAnsi="Calibri" w:cs="Arial"/>
          <w:sz w:val="21"/>
          <w:szCs w:val="21"/>
          <w:lang w:val="fr-FR" w:eastAsia="fr-FR"/>
        </w:rPr>
        <w:t xml:space="preserve">(HbA1c &gt; 7 </w:t>
      </w:r>
      <w:r w:rsidR="008B0273" w:rsidRPr="008B0273">
        <w:rPr>
          <w:rFonts w:ascii="Calibri" w:eastAsia="Times New Roman" w:hAnsi="Calibri" w:cs="Arial"/>
          <w:sz w:val="21"/>
          <w:szCs w:val="21"/>
          <w:lang w:val="fr-FR" w:eastAsia="fr-FR"/>
        </w:rPr>
        <w:t>%)</w:t>
      </w:r>
      <w:r w:rsidR="008B0273" w:rsidRPr="00664D0A">
        <w:rPr>
          <w:rFonts w:ascii="Calibri" w:eastAsia="Times New Roman" w:hAnsi="Calibri" w:cs="Arial"/>
          <w:sz w:val="21"/>
          <w:szCs w:val="21"/>
          <w:lang w:val="fr-FR" w:eastAsia="fr-FR"/>
        </w:rPr>
        <w:t xml:space="preserve"> </w:t>
      </w:r>
      <w:r w:rsidR="008B0273">
        <w:rPr>
          <w:rFonts w:ascii="Calibri" w:eastAsia="Times New Roman" w:hAnsi="Calibri" w:cs="Arial"/>
          <w:sz w:val="21"/>
          <w:szCs w:val="21"/>
          <w:lang w:val="fr-FR" w:eastAsia="fr-FR"/>
        </w:rPr>
        <w:t>est</w:t>
      </w:r>
      <w:r w:rsidRPr="00664D0A">
        <w:rPr>
          <w:rFonts w:ascii="Calibri" w:eastAsia="Times New Roman" w:hAnsi="Calibri" w:cs="Arial"/>
          <w:sz w:val="21"/>
          <w:szCs w:val="21"/>
          <w:lang w:val="fr-FR" w:eastAsia="fr-FR"/>
        </w:rPr>
        <w:t xml:space="preserve"> observé chez 51,9 % des utilisateurs contre 65,3 % chez les non-utilisateurs, </w:t>
      </w:r>
      <w:r w:rsidR="008B0273" w:rsidRPr="008B0273">
        <w:rPr>
          <w:rFonts w:ascii="Calibri" w:eastAsia="Calibri" w:hAnsi="Calibri" w:cs="Arial"/>
          <w:lang w:val="fr-FR"/>
        </w:rPr>
        <w:t xml:space="preserve">constitue une tendance favorable qui mérite d'être confrontée aux données de la littérature, d'autant que la différence n'a pas atteint le seuil de significativité statistique </w:t>
      </w:r>
      <w:r w:rsidR="001559DD" w:rsidRPr="00F9194F">
        <w:rPr>
          <w:rFonts w:ascii="Calibri" w:eastAsia="Times New Roman" w:hAnsi="Calibri" w:cs="Arial"/>
          <w:sz w:val="21"/>
          <w:szCs w:val="21"/>
          <w:lang w:val="fr-FR" w:eastAsia="fr-FR"/>
        </w:rPr>
        <w:t>P</w:t>
      </w:r>
      <w:r w:rsidR="001559DD">
        <w:rPr>
          <w:rFonts w:ascii="Calibri" w:eastAsia="Times New Roman" w:hAnsi="Calibri" w:cs="Arial"/>
          <w:sz w:val="21"/>
          <w:szCs w:val="21"/>
          <w:lang w:val="fr-FR" w:eastAsia="fr-FR"/>
        </w:rPr>
        <w:t>=</w:t>
      </w:r>
      <w:r w:rsidR="00F9194F">
        <w:rPr>
          <w:rFonts w:ascii="Calibri" w:eastAsia="Times New Roman" w:hAnsi="Calibri" w:cs="Arial"/>
          <w:sz w:val="21"/>
          <w:szCs w:val="21"/>
          <w:lang w:val="fr-FR" w:eastAsia="fr-FR"/>
        </w:rPr>
        <w:t>0,</w:t>
      </w:r>
      <w:proofErr w:type="gramStart"/>
      <w:r w:rsidR="00F9194F">
        <w:rPr>
          <w:rFonts w:ascii="Calibri" w:eastAsia="Times New Roman" w:hAnsi="Calibri" w:cs="Arial"/>
          <w:sz w:val="21"/>
          <w:szCs w:val="21"/>
          <w:lang w:val="fr-FR" w:eastAsia="fr-FR"/>
        </w:rPr>
        <w:t>07 .</w:t>
      </w:r>
      <w:proofErr w:type="gramEnd"/>
      <w:r w:rsidRPr="00664D0A">
        <w:rPr>
          <w:rFonts w:ascii="Calibri" w:eastAsia="Times New Roman" w:hAnsi="Calibri" w:cs="Arial"/>
          <w:sz w:val="21"/>
          <w:szCs w:val="21"/>
          <w:lang w:val="fr-FR" w:eastAsia="fr-FR"/>
        </w:rPr>
        <w:t xml:space="preserve"> Cependant, 93,7 % des utilisateurs n'ont pas informé leur médecin de cette pratique, exposant à un risque toxique et d'interactions médicamenteuses. La grande majorité (93 %) perçoit la phytothérapie comme efficace.</w:t>
      </w:r>
    </w:p>
    <w:p w14:paraId="7FFBFA7B" w14:textId="77777777" w:rsidR="00664D0A" w:rsidRPr="00664D0A" w:rsidRDefault="00664D0A" w:rsidP="00B139C3">
      <w:pPr>
        <w:rPr>
          <w:rFonts w:ascii="Calibri" w:eastAsia="Times New Roman" w:hAnsi="Calibri" w:cs="Arial"/>
          <w:sz w:val="21"/>
          <w:szCs w:val="21"/>
          <w:lang w:val="fr-FR" w:eastAsia="fr-FR"/>
        </w:rPr>
      </w:pPr>
      <w:r w:rsidRPr="00664D0A">
        <w:rPr>
          <w:rFonts w:ascii="Calibri" w:eastAsia="Times New Roman" w:hAnsi="Calibri" w:cs="Arial"/>
          <w:sz w:val="21"/>
          <w:szCs w:val="21"/>
          <w:lang w:val="fr-FR" w:eastAsia="fr-FR"/>
        </w:rPr>
        <w:t>Conclusion : Notre étude confirme la prévalence élevée du recours à la phytothérapie chez les diabétiques de type 2 à Laghouat, ancrée dans les pratiques culturelles et la transmission familiale. Bien qu'un meilleur équilibre glycémique relatif soit observé chez les utilisateurs, la non-déclaration quasi-systématique au médecin constitue un risque clinique majeur. Ces résultats soulignent la nécessité d'intégrer le questionnement sur les médecines complémentaires dans la prise en charge du diabète et de développer une éducation thérapeutique adaptée.</w:t>
      </w:r>
    </w:p>
    <w:p w14:paraId="00C54F47" w14:textId="667CF7CC" w:rsidR="00664D0A" w:rsidRPr="00664D0A" w:rsidRDefault="00664D0A" w:rsidP="00B139C3">
      <w:pPr>
        <w:rPr>
          <w:rFonts w:ascii="Calibri" w:eastAsia="Times New Roman" w:hAnsi="Calibri" w:cs="Arial"/>
          <w:sz w:val="21"/>
          <w:szCs w:val="21"/>
          <w:lang w:val="fr-FR" w:eastAsia="fr-FR"/>
        </w:rPr>
      </w:pPr>
      <w:r w:rsidRPr="00664D0A">
        <w:rPr>
          <w:rFonts w:ascii="Calibri" w:eastAsia="Times New Roman" w:hAnsi="Calibri" w:cs="Arial"/>
          <w:sz w:val="21"/>
          <w:szCs w:val="21"/>
          <w:lang w:val="fr-FR" w:eastAsia="fr-FR"/>
        </w:rPr>
        <w:t xml:space="preserve"> Mots-clés : Diabète sucré de type 2 – herbe</w:t>
      </w:r>
      <w:r w:rsidR="005B6D92">
        <w:rPr>
          <w:rFonts w:ascii="Calibri" w:eastAsia="Times New Roman" w:hAnsi="Calibri" w:cs="Arial"/>
          <w:sz w:val="21"/>
          <w:szCs w:val="21"/>
          <w:lang w:val="fr-FR" w:eastAsia="fr-FR"/>
        </w:rPr>
        <w:t>s</w:t>
      </w:r>
      <w:r w:rsidRPr="00664D0A">
        <w:rPr>
          <w:rFonts w:ascii="Calibri" w:eastAsia="Times New Roman" w:hAnsi="Calibri" w:cs="Arial"/>
          <w:sz w:val="21"/>
          <w:szCs w:val="21"/>
          <w:lang w:val="fr-FR" w:eastAsia="fr-FR"/>
        </w:rPr>
        <w:t xml:space="preserve"> médicinales – phytothérapie – médecine traditionnelle – efficacité – sécurité –</w:t>
      </w:r>
      <w:r w:rsidR="00D675D9">
        <w:rPr>
          <w:rFonts w:ascii="Calibri" w:eastAsia="Times New Roman" w:hAnsi="Calibri" w:cs="Arial"/>
          <w:sz w:val="21"/>
          <w:szCs w:val="21"/>
          <w:lang w:val="fr-FR" w:eastAsia="fr-FR"/>
        </w:rPr>
        <w:t xml:space="preserve"> interaction médicamenteuse- relation médecin patient </w:t>
      </w:r>
      <w:r w:rsidRPr="00664D0A">
        <w:rPr>
          <w:rFonts w:ascii="Calibri" w:eastAsia="Times New Roman" w:hAnsi="Calibri" w:cs="Arial"/>
          <w:sz w:val="21"/>
          <w:szCs w:val="21"/>
          <w:lang w:val="fr-FR" w:eastAsia="fr-FR"/>
        </w:rPr>
        <w:t xml:space="preserve"> </w:t>
      </w:r>
    </w:p>
    <w:p w14:paraId="2C7EFD62" w14:textId="77777777" w:rsidR="00664D0A" w:rsidRPr="00664D0A" w:rsidRDefault="00664D0A" w:rsidP="00B139C3">
      <w:pPr>
        <w:rPr>
          <w:rFonts w:ascii="Segoe UI Symbol" w:eastAsia="Times New Roman" w:hAnsi="Segoe UI Symbol" w:cs="Segoe UI Symbol"/>
          <w:sz w:val="21"/>
          <w:szCs w:val="21"/>
          <w:lang w:val="fr-FR" w:eastAsia="fr-FR"/>
        </w:rPr>
      </w:pPr>
    </w:p>
    <w:p w14:paraId="1ECB60FC" w14:textId="77777777" w:rsidR="00664D0A" w:rsidRPr="00664D0A" w:rsidRDefault="00664D0A" w:rsidP="00B139C3">
      <w:pPr>
        <w:rPr>
          <w:rFonts w:ascii="Segoe UI Symbol" w:eastAsia="Times New Roman" w:hAnsi="Segoe UI Symbol" w:cs="Segoe UI Symbol"/>
          <w:sz w:val="21"/>
          <w:szCs w:val="21"/>
          <w:lang w:val="fr-FR" w:eastAsia="fr-FR"/>
        </w:rPr>
      </w:pPr>
    </w:p>
    <w:p w14:paraId="7B54745B" w14:textId="77777777" w:rsidR="00664D0A" w:rsidRPr="00664D0A" w:rsidRDefault="00664D0A" w:rsidP="00B139C3">
      <w:pPr>
        <w:rPr>
          <w:rFonts w:ascii="Segoe UI Symbol" w:eastAsia="Times New Roman" w:hAnsi="Segoe UI Symbol" w:cs="Segoe UI Symbol"/>
          <w:sz w:val="21"/>
          <w:szCs w:val="21"/>
          <w:lang w:val="fr-FR" w:eastAsia="fr-FR"/>
        </w:rPr>
      </w:pPr>
    </w:p>
    <w:p w14:paraId="7200B038" w14:textId="77777777" w:rsidR="00664D0A" w:rsidRPr="00664D0A" w:rsidRDefault="00664D0A" w:rsidP="00B139C3">
      <w:pPr>
        <w:rPr>
          <w:rFonts w:ascii="Segoe UI Symbol" w:eastAsia="Times New Roman" w:hAnsi="Segoe UI Symbol" w:cs="Segoe UI Symbol"/>
          <w:sz w:val="21"/>
          <w:szCs w:val="21"/>
          <w:lang w:val="fr-FR" w:eastAsia="fr-FR"/>
        </w:rPr>
      </w:pPr>
    </w:p>
    <w:p w14:paraId="1F753ED2" w14:textId="77777777" w:rsidR="00664D0A" w:rsidRPr="00664D0A" w:rsidRDefault="00664D0A" w:rsidP="00B139C3">
      <w:pPr>
        <w:rPr>
          <w:rFonts w:ascii="Calibri" w:eastAsia="Times New Roman" w:hAnsi="Calibri" w:cs="Arial"/>
          <w:sz w:val="21"/>
          <w:szCs w:val="21"/>
          <w:lang w:val="fr-FR" w:eastAsia="fr-FR"/>
        </w:rPr>
      </w:pPr>
    </w:p>
    <w:p w14:paraId="4AE25DDB" w14:textId="0EB5C786" w:rsidR="00664D0A" w:rsidRPr="00664D0A" w:rsidRDefault="008920C8" w:rsidP="008920C8">
      <w:pPr>
        <w:rPr>
          <w:rFonts w:ascii="Calibri" w:eastAsia="Times New Roman" w:hAnsi="Calibri" w:cs="Arial"/>
          <w:sz w:val="21"/>
          <w:szCs w:val="21"/>
          <w:lang w:val="fr-FR" w:eastAsia="fr-FR"/>
        </w:rPr>
      </w:pPr>
      <w:r>
        <w:rPr>
          <w:rFonts w:ascii="Calibri" w:eastAsia="Times New Roman" w:hAnsi="Calibri" w:cs="Arial"/>
          <w:sz w:val="21"/>
          <w:szCs w:val="21"/>
          <w:lang w:val="fr-FR" w:eastAsia="fr-FR"/>
        </w:rPr>
        <w:br w:type="page"/>
      </w:r>
    </w:p>
    <w:p w14:paraId="0D123661" w14:textId="77777777" w:rsidR="00664D0A" w:rsidRPr="00CB543A" w:rsidRDefault="00664D0A" w:rsidP="0086407A">
      <w:pPr>
        <w:pStyle w:val="Heading1"/>
        <w:jc w:val="center"/>
        <w:rPr>
          <w:lang w:val="en-US" w:eastAsia="fr-FR"/>
        </w:rPr>
      </w:pPr>
      <w:bookmarkStart w:id="5" w:name="_Toc229618752"/>
      <w:r w:rsidRPr="00CB543A">
        <w:rPr>
          <w:lang w:val="en-US" w:eastAsia="fr-FR"/>
        </w:rPr>
        <w:lastRenderedPageBreak/>
        <w:t>Abstract</w:t>
      </w:r>
      <w:bookmarkEnd w:id="5"/>
    </w:p>
    <w:p w14:paraId="0EBCD16D" w14:textId="4A8A7D05" w:rsidR="00664D0A" w:rsidRPr="00664D0A" w:rsidRDefault="00664D0A" w:rsidP="00B139C3">
      <w:pPr>
        <w:rPr>
          <w:rFonts w:ascii="Calibri" w:eastAsia="Times New Roman" w:hAnsi="Calibri" w:cs="Arial"/>
          <w:sz w:val="21"/>
          <w:szCs w:val="21"/>
          <w:lang w:eastAsia="fr-FR"/>
        </w:rPr>
      </w:pPr>
      <w:r w:rsidRPr="00664D0A">
        <w:rPr>
          <w:rFonts w:ascii="Calibri" w:eastAsia="Times New Roman" w:hAnsi="Calibri" w:cs="Arial"/>
          <w:sz w:val="21"/>
          <w:szCs w:val="21"/>
          <w:lang w:eastAsia="fr-FR"/>
        </w:rPr>
        <w:t xml:space="preserve">Introduction: Type 2 diabetes is a major public health problem in Algeria, with an estimated prevalence of 17.5%. Despite conventional treatments, the use of herbal medicine remains widespread in Algerian culture, often practiced alongside prescribed medical treatment without informing the treating physician. The aim of this study is </w:t>
      </w:r>
      <w:r w:rsidR="002A20EA">
        <w:t xml:space="preserve">To assess the use of herbal medicine among type 2 diabetic patients in the Laghouat region, by identifying the medicinal plants used and their impact on glycemic </w:t>
      </w:r>
      <w:proofErr w:type="gramStart"/>
      <w:r w:rsidR="002A20EA">
        <w:t>control.</w:t>
      </w:r>
      <w:r w:rsidRPr="00664D0A">
        <w:rPr>
          <w:rFonts w:ascii="Calibri" w:eastAsia="Times New Roman" w:hAnsi="Calibri" w:cs="Arial"/>
          <w:sz w:val="21"/>
          <w:szCs w:val="21"/>
          <w:lang w:eastAsia="fr-FR"/>
        </w:rPr>
        <w:t>.</w:t>
      </w:r>
      <w:proofErr w:type="gramEnd"/>
    </w:p>
    <w:p w14:paraId="7CBB002F" w14:textId="6FEA03BD" w:rsidR="00664D0A" w:rsidRPr="00664D0A" w:rsidRDefault="00664D0A" w:rsidP="00B139C3">
      <w:pPr>
        <w:rPr>
          <w:rFonts w:ascii="Calibri" w:eastAsia="Times New Roman" w:hAnsi="Calibri" w:cs="Arial"/>
          <w:sz w:val="21"/>
          <w:szCs w:val="21"/>
          <w:lang w:eastAsia="fr-FR"/>
        </w:rPr>
      </w:pPr>
      <w:r w:rsidRPr="00664D0A">
        <w:rPr>
          <w:rFonts w:ascii="Calibri" w:eastAsia="Times New Roman" w:hAnsi="Calibri" w:cs="Arial"/>
          <w:sz w:val="21"/>
          <w:szCs w:val="21"/>
          <w:lang w:eastAsia="fr-FR"/>
        </w:rPr>
        <w:t>Materials and Methods: This is a cross-sectional, descriptive and analytical observational study using both quantitative and qualitative approaches, conducted from 01/12/202</w:t>
      </w:r>
      <w:r w:rsidR="0076226D">
        <w:rPr>
          <w:rFonts w:ascii="Calibri" w:eastAsia="Times New Roman" w:hAnsi="Calibri" w:cs="Arial"/>
          <w:sz w:val="21"/>
          <w:szCs w:val="21"/>
          <w:lang w:eastAsia="fr-FR"/>
        </w:rPr>
        <w:t>5</w:t>
      </w:r>
      <w:r w:rsidRPr="00664D0A">
        <w:rPr>
          <w:rFonts w:ascii="Calibri" w:eastAsia="Times New Roman" w:hAnsi="Calibri" w:cs="Arial"/>
          <w:sz w:val="21"/>
          <w:szCs w:val="21"/>
          <w:lang w:eastAsia="fr-FR"/>
        </w:rPr>
        <w:t xml:space="preserve"> to 01/05/202</w:t>
      </w:r>
      <w:r w:rsidR="0076226D">
        <w:rPr>
          <w:rFonts w:ascii="Calibri" w:eastAsia="Times New Roman" w:hAnsi="Calibri" w:cs="Arial"/>
          <w:sz w:val="21"/>
          <w:szCs w:val="21"/>
          <w:lang w:eastAsia="fr-FR"/>
        </w:rPr>
        <w:t>6</w:t>
      </w:r>
      <w:r w:rsidRPr="00664D0A">
        <w:rPr>
          <w:rFonts w:ascii="Calibri" w:eastAsia="Times New Roman" w:hAnsi="Calibri" w:cs="Arial"/>
          <w:sz w:val="21"/>
          <w:szCs w:val="21"/>
          <w:lang w:eastAsia="fr-FR"/>
        </w:rPr>
        <w:t xml:space="preserve"> at the Djoudi Ahmed polyclinic in Laghouat. It included 251 type 2 diabetic patients. Data were collected using a digitized questionnaire via Google Forms and analyzed using Excel software.</w:t>
      </w:r>
    </w:p>
    <w:p w14:paraId="2D03171E" w14:textId="77777777" w:rsidR="00664D0A" w:rsidRPr="00664D0A" w:rsidRDefault="00664D0A" w:rsidP="00B139C3">
      <w:pPr>
        <w:rPr>
          <w:rFonts w:ascii="Calibri" w:eastAsia="Times New Roman" w:hAnsi="Calibri" w:cs="Arial"/>
          <w:sz w:val="21"/>
          <w:szCs w:val="21"/>
          <w:lang w:eastAsia="fr-FR"/>
        </w:rPr>
      </w:pPr>
      <w:r w:rsidRPr="00664D0A">
        <w:rPr>
          <w:rFonts w:ascii="Calibri" w:eastAsia="Times New Roman" w:hAnsi="Calibri" w:cs="Arial"/>
          <w:sz w:val="21"/>
          <w:szCs w:val="21"/>
          <w:lang w:eastAsia="fr-FR"/>
        </w:rPr>
        <w:t>Results: Of the 251 patients included 158 (62.9%) use phytotherapy alongside their conventional antidiabetic treatment. The study identified 26 plant species belonging to 16 botanical families. Wormwood (</w:t>
      </w:r>
      <w:r w:rsidRPr="00664D0A">
        <w:rPr>
          <w:rFonts w:ascii="Calibri" w:eastAsia="Times New Roman" w:hAnsi="Calibri" w:cs="Arial"/>
          <w:i/>
          <w:iCs/>
          <w:color w:val="4D4D4D"/>
          <w:sz w:val="21"/>
          <w:szCs w:val="21"/>
          <w:lang w:eastAsia="fr-FR"/>
        </w:rPr>
        <w:t>Artemisia herba-alba</w:t>
      </w:r>
      <w:r w:rsidRPr="00664D0A">
        <w:rPr>
          <w:rFonts w:ascii="Calibri" w:eastAsia="Times New Roman" w:hAnsi="Calibri" w:cs="Arial"/>
          <w:sz w:val="21"/>
          <w:szCs w:val="21"/>
          <w:lang w:eastAsia="fr-FR"/>
        </w:rPr>
        <w:t>) was the most frequently cited species (48.75%), followed by cinnamon (7.5%), coriander (6.67%), and fenugreek (5.83%). Leaves and aerial parts were the most commonly used, prepared as infusions or decoctions and administered exclusively orally. The main motivation for use was a positive experience reported by a close relative (78.6%). Poor glycemic control (HbA1c &gt; 7%) was observed in 51.9% of users compared to 65.3% of non-users, a statistically significant difference. However, 93.7% of users had not disclosed this practice to their physician, exposing them to toxic effects and potential drug interactions. The vast majority (93%) perceived phytotherapy as effective.</w:t>
      </w:r>
    </w:p>
    <w:p w14:paraId="6A9AA01B" w14:textId="77777777" w:rsidR="00664D0A" w:rsidRPr="00664D0A" w:rsidRDefault="00664D0A" w:rsidP="00B139C3">
      <w:pPr>
        <w:rPr>
          <w:rFonts w:ascii="Calibri" w:eastAsia="Times New Roman" w:hAnsi="Calibri" w:cs="Arial"/>
          <w:sz w:val="21"/>
          <w:szCs w:val="21"/>
          <w:lang w:eastAsia="fr-FR"/>
        </w:rPr>
      </w:pPr>
      <w:r w:rsidRPr="00664D0A">
        <w:rPr>
          <w:rFonts w:ascii="Calibri" w:eastAsia="Times New Roman" w:hAnsi="Calibri" w:cs="Arial"/>
          <w:sz w:val="21"/>
          <w:szCs w:val="21"/>
          <w:lang w:eastAsia="fr-FR"/>
        </w:rPr>
        <w:t>Conclusion: This study confirms the high prevalence of phytotherapy use among type 2 diabetic patients in Laghouat, deeply rooted in cultural practices and family transmission. Although users showed relatively better glycemic control, the near-systematic non-disclosure to physicians represents a major clinical risk. These findings highlight the need to systematically incorporate questioning about complementary medicine use into diabetic care and to develop appropriate therapeutic patient education.</w:t>
      </w:r>
    </w:p>
    <w:p w14:paraId="48FD0D37" w14:textId="77777777" w:rsidR="00664D0A" w:rsidRPr="00664D0A" w:rsidRDefault="00664D0A" w:rsidP="00B139C3">
      <w:pPr>
        <w:rPr>
          <w:rFonts w:ascii="Calibri" w:eastAsia="Times New Roman" w:hAnsi="Calibri" w:cs="Arial"/>
          <w:sz w:val="21"/>
          <w:szCs w:val="21"/>
          <w:lang w:eastAsia="fr-FR"/>
        </w:rPr>
      </w:pPr>
      <w:r w:rsidRPr="00664D0A">
        <w:rPr>
          <w:rFonts w:ascii="Calibri" w:eastAsia="Times New Roman" w:hAnsi="Calibri" w:cs="Arial"/>
          <w:sz w:val="21"/>
          <w:szCs w:val="21"/>
          <w:lang w:eastAsia="fr-FR"/>
        </w:rPr>
        <w:t>Keywords: Type 2 diabetes mellitus – medicinal herbs – phytotherapy – traditional medicine – efficacy – safety – ethnobotany – alternative treatment</w:t>
      </w:r>
    </w:p>
    <w:p w14:paraId="2EF0D5EA" w14:textId="77777777" w:rsidR="00664D0A" w:rsidRPr="00664D0A" w:rsidRDefault="00664D0A" w:rsidP="00B139C3">
      <w:pPr>
        <w:rPr>
          <w:rFonts w:ascii="Calibri" w:eastAsia="Times New Roman" w:hAnsi="Calibri" w:cs="Arial"/>
          <w:sz w:val="21"/>
          <w:szCs w:val="21"/>
          <w:lang w:eastAsia="fr-FR"/>
        </w:rPr>
      </w:pPr>
    </w:p>
    <w:p w14:paraId="684B512A" w14:textId="77777777" w:rsidR="00664D0A" w:rsidRPr="00664D0A" w:rsidRDefault="00664D0A" w:rsidP="00B139C3">
      <w:pPr>
        <w:rPr>
          <w:rFonts w:ascii="Calibri" w:eastAsia="Times New Roman" w:hAnsi="Calibri" w:cs="Arial"/>
          <w:sz w:val="21"/>
          <w:szCs w:val="21"/>
          <w:lang w:eastAsia="fr-FR"/>
        </w:rPr>
      </w:pPr>
    </w:p>
    <w:p w14:paraId="2C75AC53" w14:textId="77777777" w:rsidR="00664D0A" w:rsidRPr="00664D0A" w:rsidRDefault="00664D0A" w:rsidP="00B139C3">
      <w:pPr>
        <w:rPr>
          <w:rFonts w:ascii="Calibri" w:eastAsia="Times New Roman" w:hAnsi="Calibri" w:cs="Arial"/>
          <w:sz w:val="21"/>
          <w:szCs w:val="21"/>
          <w:lang w:eastAsia="fr-FR"/>
        </w:rPr>
      </w:pPr>
    </w:p>
    <w:p w14:paraId="0EFEE3CF" w14:textId="4757D9CC" w:rsidR="00664D0A" w:rsidRPr="00664D0A" w:rsidRDefault="008920C8" w:rsidP="008920C8">
      <w:pPr>
        <w:rPr>
          <w:rFonts w:ascii="Calibri Light" w:eastAsia="Times New Roman" w:hAnsi="Calibri Light" w:cs="Times New Roman"/>
          <w:color w:val="393939"/>
          <w:lang w:eastAsia="fr-FR"/>
        </w:rPr>
      </w:pPr>
      <w:r>
        <w:rPr>
          <w:rFonts w:ascii="Calibri Light" w:eastAsia="Times New Roman" w:hAnsi="Calibri Light" w:cs="Times New Roman"/>
          <w:color w:val="393939"/>
          <w:lang w:eastAsia="fr-FR"/>
        </w:rPr>
        <w:br w:type="page"/>
      </w:r>
    </w:p>
    <w:p w14:paraId="4CEC7D3C" w14:textId="77777777" w:rsidR="00664D0A" w:rsidRPr="00664D0A" w:rsidRDefault="00664D0A" w:rsidP="0086407A">
      <w:pPr>
        <w:pStyle w:val="Heading1"/>
        <w:bidi/>
        <w:jc w:val="center"/>
        <w:rPr>
          <w:sz w:val="28"/>
          <w:lang w:eastAsia="fr-FR"/>
        </w:rPr>
      </w:pPr>
      <w:bookmarkStart w:id="6" w:name="_Toc229618753"/>
      <w:r w:rsidRPr="00664D0A">
        <w:rPr>
          <w:sz w:val="28"/>
          <w:rtl/>
          <w:lang w:eastAsia="fr-FR"/>
        </w:rPr>
        <w:lastRenderedPageBreak/>
        <w:t>ا</w:t>
      </w:r>
      <w:r w:rsidRPr="00664D0A">
        <w:rPr>
          <w:rtl/>
          <w:lang w:eastAsia="fr-FR"/>
        </w:rPr>
        <w:t>لملخص</w:t>
      </w:r>
      <w:bookmarkEnd w:id="6"/>
    </w:p>
    <w:p w14:paraId="278D450F" w14:textId="0FA50838" w:rsidR="00664D0A" w:rsidRPr="00664D0A" w:rsidRDefault="00664D0A" w:rsidP="0086407A">
      <w:pPr>
        <w:bidi/>
        <w:rPr>
          <w:rFonts w:ascii="Arial" w:eastAsia="Times New Roman" w:hAnsi="Arial" w:cs="Arial"/>
          <w:sz w:val="21"/>
          <w:szCs w:val="21"/>
          <w:lang w:val="fr-FR" w:eastAsia="fr-FR"/>
        </w:rPr>
      </w:pPr>
      <w:bookmarkStart w:id="7" w:name="_GoBack"/>
      <w:bookmarkEnd w:id="7"/>
      <w:r w:rsidRPr="00664D0A">
        <w:rPr>
          <w:rFonts w:ascii="Arial" w:eastAsia="Times New Roman" w:hAnsi="Arial" w:cs="Arial"/>
          <w:sz w:val="21"/>
          <w:szCs w:val="21"/>
          <w:rtl/>
          <w:lang w:val="fr-FR" w:eastAsia="fr-FR"/>
        </w:rPr>
        <w:t>مقدمة</w:t>
      </w:r>
      <w:r w:rsidRPr="00664D0A">
        <w:rPr>
          <w:rFonts w:ascii="Arial" w:eastAsia="Times New Roman" w:hAnsi="Arial" w:cs="Arial"/>
          <w:sz w:val="21"/>
          <w:szCs w:val="21"/>
          <w:lang w:val="fr-FR" w:eastAsia="fr-FR"/>
        </w:rPr>
        <w:t xml:space="preserve">:  </w:t>
      </w:r>
      <w:r w:rsidRPr="00664D0A">
        <w:rPr>
          <w:rFonts w:ascii="Arial" w:eastAsia="Times New Roman" w:hAnsi="Arial" w:cs="Arial"/>
          <w:sz w:val="21"/>
          <w:szCs w:val="21"/>
          <w:rtl/>
          <w:lang w:val="fr-FR" w:eastAsia="fr-FR"/>
        </w:rPr>
        <w:t xml:space="preserve">يُمثّل داء السكري من النوع الثاني مشكلةً صحيةً عامةً بالغة الأهمية في الجزائر، إذ تُقدَّر نسبة انتشاره بـ 17.5%. وعلى الرغم من توفر العلاجات التقليدية، يظل اللجوء إلى العلاج بالأعشاب الطبية ممارسةً شائعةً في الثقافة الجزائرية، كثيراً ما تُمارَس بالتوازي مع العلاج الطبي المقرر دون إعلام الطبيب المعالج. تهدف هذه الدراسة إلى </w:t>
      </w:r>
      <w:r w:rsidR="002A20EA">
        <w:rPr>
          <w:rtl/>
        </w:rPr>
        <w:t xml:space="preserve">تقييم اللجوء إلى العلاج بالنباتات الطبية لدى مرضى السكري من النوع الثاني في منطقة الأغواط، من خلال تحديد النباتات الطبية المستخدمة </w:t>
      </w:r>
      <w:r w:rsidRPr="00664D0A">
        <w:rPr>
          <w:rFonts w:ascii="Arial" w:eastAsia="Times New Roman" w:hAnsi="Arial" w:cs="Arial"/>
          <w:sz w:val="21"/>
          <w:szCs w:val="21"/>
          <w:rtl/>
          <w:lang w:val="fr-FR" w:eastAsia="fr-FR"/>
        </w:rPr>
        <w:t>وتقييم أثرها على توازن سكر الدم</w:t>
      </w:r>
      <w:r w:rsidRPr="00664D0A">
        <w:rPr>
          <w:rFonts w:ascii="Arial" w:eastAsia="Times New Roman" w:hAnsi="Arial" w:cs="Arial"/>
          <w:sz w:val="21"/>
          <w:szCs w:val="21"/>
          <w:lang w:val="fr-FR" w:eastAsia="fr-FR"/>
        </w:rPr>
        <w:t>.</w:t>
      </w:r>
    </w:p>
    <w:p w14:paraId="719F1741" w14:textId="3EAD4A61" w:rsidR="00664D0A" w:rsidRPr="00664D0A" w:rsidRDefault="00664D0A" w:rsidP="0086407A">
      <w:pPr>
        <w:bidi/>
        <w:rPr>
          <w:rFonts w:ascii="Arial" w:eastAsia="Times New Roman" w:hAnsi="Arial" w:cs="Arial"/>
          <w:sz w:val="21"/>
          <w:szCs w:val="21"/>
          <w:lang w:val="fr-FR" w:eastAsia="fr-FR"/>
        </w:rPr>
      </w:pPr>
      <w:r w:rsidRPr="00664D0A">
        <w:rPr>
          <w:rFonts w:ascii="Arial" w:eastAsia="Times New Roman" w:hAnsi="Arial" w:cs="Arial"/>
          <w:sz w:val="21"/>
          <w:szCs w:val="21"/>
          <w:rtl/>
          <w:lang w:val="fr-FR" w:eastAsia="fr-FR"/>
        </w:rPr>
        <w:t>المواد والأساليب</w:t>
      </w:r>
      <w:r w:rsidRPr="00664D0A">
        <w:rPr>
          <w:rFonts w:ascii="Arial" w:eastAsia="Times New Roman" w:hAnsi="Arial" w:cs="Arial"/>
          <w:sz w:val="21"/>
          <w:szCs w:val="21"/>
          <w:lang w:val="fr-FR" w:eastAsia="fr-FR"/>
        </w:rPr>
        <w:t xml:space="preserve"> : </w:t>
      </w:r>
      <w:r w:rsidRPr="00664D0A">
        <w:rPr>
          <w:rFonts w:ascii="Arial" w:eastAsia="Times New Roman" w:hAnsi="Arial" w:cs="Arial"/>
          <w:sz w:val="21"/>
          <w:szCs w:val="21"/>
          <w:rtl/>
          <w:lang w:val="fr-FR" w:eastAsia="fr-FR"/>
        </w:rPr>
        <w:t xml:space="preserve">تُعدّ هذه الدراسة مقطعيةً وصفيةً تحليليةً ذات منهج كمي ونوعي مزدوج، أُجريت خلال الفترة الممتدة من </w:t>
      </w:r>
      <w:r w:rsidR="001E23A3" w:rsidRPr="001E23A3">
        <w:rPr>
          <w:rFonts w:ascii="Calibri" w:eastAsia="Times New Roman" w:hAnsi="Calibri" w:cs="Arial"/>
          <w:b/>
          <w:bCs/>
          <w:sz w:val="21"/>
          <w:szCs w:val="21"/>
          <w:lang w:val="fr-FR" w:eastAsia="fr-FR"/>
        </w:rPr>
        <w:t xml:space="preserve">01/12/2025 </w:t>
      </w:r>
      <w:r w:rsidR="001E23A3" w:rsidRPr="001E23A3">
        <w:rPr>
          <w:rFonts w:ascii="Calibri" w:eastAsia="Times New Roman" w:hAnsi="Calibri" w:cs="Arial" w:hint="cs"/>
          <w:b/>
          <w:bCs/>
          <w:sz w:val="21"/>
          <w:szCs w:val="21"/>
          <w:rtl/>
          <w:lang w:val="fr-FR" w:eastAsia="fr-FR" w:bidi="ar-DZ"/>
        </w:rPr>
        <w:t xml:space="preserve"> الى</w:t>
      </w:r>
      <w:r w:rsidR="001E23A3" w:rsidRPr="001E23A3">
        <w:rPr>
          <w:rFonts w:ascii="Calibri" w:eastAsia="Times New Roman" w:hAnsi="Calibri" w:cs="Arial"/>
          <w:b/>
          <w:bCs/>
          <w:sz w:val="21"/>
          <w:szCs w:val="21"/>
          <w:lang w:val="fr-FR" w:eastAsia="fr-FR"/>
        </w:rPr>
        <w:t xml:space="preserve"> 01/05/2026</w:t>
      </w:r>
      <w:r w:rsidR="001E23A3" w:rsidRPr="00664D0A">
        <w:rPr>
          <w:rFonts w:ascii="Calibri" w:eastAsia="Times New Roman" w:hAnsi="Calibri" w:cs="Arial"/>
          <w:sz w:val="21"/>
          <w:szCs w:val="21"/>
          <w:lang w:val="fr-FR" w:eastAsia="fr-FR"/>
        </w:rPr>
        <w:t xml:space="preserve"> </w:t>
      </w:r>
      <w:r w:rsidRPr="00664D0A">
        <w:rPr>
          <w:rFonts w:ascii="Arial" w:eastAsia="Times New Roman" w:hAnsi="Arial" w:cs="Arial"/>
          <w:sz w:val="21"/>
          <w:szCs w:val="21"/>
          <w:rtl/>
          <w:lang w:val="fr-FR" w:eastAsia="fr-FR"/>
        </w:rPr>
        <w:t xml:space="preserve"> بالمستوصف جودي أحمد بالأغواط. شملت 251 مريضاً مصاباً بداء السكري من النوع الثاني. جُمعت البيانات عبر استبيان إلكتروني باستخدام</w:t>
      </w:r>
      <w:r w:rsidRPr="00664D0A">
        <w:rPr>
          <w:rFonts w:ascii="Arial" w:eastAsia="Times New Roman" w:hAnsi="Arial" w:cs="Arial"/>
          <w:sz w:val="21"/>
          <w:szCs w:val="21"/>
          <w:lang w:val="fr-FR" w:eastAsia="fr-FR"/>
        </w:rPr>
        <w:t xml:space="preserve"> Google Form</w:t>
      </w:r>
      <w:r w:rsidRPr="00664D0A">
        <w:rPr>
          <w:rFonts w:ascii="Arial" w:eastAsia="Times New Roman" w:hAnsi="Arial" w:cs="Arial"/>
          <w:sz w:val="21"/>
          <w:szCs w:val="21"/>
          <w:rtl/>
          <w:lang w:val="fr-FR" w:eastAsia="fr-FR"/>
        </w:rPr>
        <w:t>، وحُلِّلت ببرنامج</w:t>
      </w:r>
      <w:r w:rsidRPr="00664D0A">
        <w:rPr>
          <w:rFonts w:ascii="Arial" w:eastAsia="Times New Roman" w:hAnsi="Arial" w:cs="Arial"/>
          <w:sz w:val="21"/>
          <w:szCs w:val="21"/>
          <w:lang w:val="fr-FR" w:eastAsia="fr-FR"/>
        </w:rPr>
        <w:t xml:space="preserve"> Excel.</w:t>
      </w:r>
    </w:p>
    <w:p w14:paraId="7F4C0B66" w14:textId="77777777" w:rsidR="00664D0A" w:rsidRPr="00664D0A" w:rsidRDefault="00664D0A" w:rsidP="0086407A">
      <w:pPr>
        <w:bidi/>
        <w:rPr>
          <w:rFonts w:ascii="Arial" w:eastAsia="Times New Roman" w:hAnsi="Arial" w:cs="Arial"/>
          <w:sz w:val="21"/>
          <w:szCs w:val="21"/>
          <w:lang w:val="fr-FR" w:eastAsia="fr-FR"/>
        </w:rPr>
      </w:pPr>
      <w:r w:rsidRPr="00664D0A">
        <w:rPr>
          <w:rFonts w:ascii="Arial" w:eastAsia="Times New Roman" w:hAnsi="Arial" w:cs="Arial"/>
          <w:sz w:val="21"/>
          <w:szCs w:val="21"/>
          <w:rtl/>
          <w:lang w:val="fr-FR" w:eastAsia="fr-FR"/>
        </w:rPr>
        <w:t>النتائج</w:t>
      </w:r>
      <w:r w:rsidRPr="00664D0A">
        <w:rPr>
          <w:rFonts w:ascii="Arial" w:eastAsia="Times New Roman" w:hAnsi="Arial" w:cs="Arial"/>
          <w:sz w:val="21"/>
          <w:szCs w:val="21"/>
          <w:lang w:val="fr-FR" w:eastAsia="fr-FR"/>
        </w:rPr>
        <w:t xml:space="preserve">: </w:t>
      </w:r>
      <w:r w:rsidRPr="00664D0A">
        <w:rPr>
          <w:rFonts w:ascii="Arial" w:eastAsia="Times New Roman" w:hAnsi="Arial" w:cs="Arial"/>
          <w:sz w:val="21"/>
          <w:szCs w:val="21"/>
          <w:rtl/>
          <w:lang w:val="fr-FR" w:eastAsia="fr-FR"/>
        </w:rPr>
        <w:t>من بين 251 مريضاً شُملوا في الدراسة، يلجأ 158 مريضاً (62.9%) إلى العلاج بالأعشاب إلى جانب علاجهم الدوائي التقليدي المضاد للسكري. رصدت الدراسة 26 نوعاً نباتياً تنتمي إلى 16 عائلة نباتية. تصدّر القائمةَ شيحُ</w:t>
      </w:r>
      <w:r w:rsidRPr="00664D0A">
        <w:rPr>
          <w:rFonts w:ascii="Arial" w:eastAsia="Times New Roman" w:hAnsi="Arial" w:cs="Arial"/>
          <w:sz w:val="21"/>
          <w:szCs w:val="21"/>
          <w:lang w:val="fr-FR" w:eastAsia="fr-FR"/>
        </w:rPr>
        <w:t xml:space="preserve">  </w:t>
      </w:r>
      <w:r w:rsidRPr="00664D0A">
        <w:rPr>
          <w:rFonts w:ascii="Arial" w:eastAsia="Times New Roman" w:hAnsi="Arial" w:cs="Arial"/>
          <w:sz w:val="21"/>
          <w:szCs w:val="21"/>
          <w:rtl/>
          <w:lang w:val="fr-FR" w:eastAsia="fr-FR"/>
        </w:rPr>
        <w:t>بنسبة 48.75% من الاستخدامات، يليه القرفة (7.5%)، والكزبرة (6.67%)، والحلبة (5.83%). وتُعدّ الأوراق والأجزاء الهوائية الأكثر استخداماً، إذ تُحضَّر على شكل منقوع أو مغلي وتُؤخذ عن طريق الفم حصراً. كان الدافع الرئيسي للاستخدام هو التجربة الإيجابية لأحد المقربين أو أفراد الأسرة (78.6%). لوحظ اختلال في التوازن الغليسيمي</w:t>
      </w:r>
      <w:r w:rsidRPr="00664D0A">
        <w:rPr>
          <w:rFonts w:ascii="Arial" w:eastAsia="Times New Roman" w:hAnsi="Arial" w:cs="Arial"/>
          <w:sz w:val="21"/>
          <w:szCs w:val="21"/>
          <w:lang w:val="fr-FR" w:eastAsia="fr-FR"/>
        </w:rPr>
        <w:t xml:space="preserve"> (HbA1c &gt; 7%) </w:t>
      </w:r>
      <w:r w:rsidRPr="00664D0A">
        <w:rPr>
          <w:rFonts w:ascii="Arial" w:eastAsia="Times New Roman" w:hAnsi="Arial" w:cs="Arial"/>
          <w:sz w:val="21"/>
          <w:szCs w:val="21"/>
          <w:rtl/>
          <w:lang w:val="fr-FR" w:eastAsia="fr-FR"/>
        </w:rPr>
        <w:t>لدى 51.9% من المستخدمين مقارنةً بـ 65.3% من غير المستخدمين، وهو فارق ذو دلالة إحصائية. غير أن 93.7% من المستخدمين لم يُخبروا طبيبهم بهذه الممارسة، مما يُعرّضهم لخطر التأثيرات السامة والتفاعلات الدوائية المحتملة. وقد أفادت الغالبية العظمى (93%) بإدراكهم فعالية العلاج بالأعشاب</w:t>
      </w:r>
      <w:r w:rsidRPr="00664D0A">
        <w:rPr>
          <w:rFonts w:ascii="Arial" w:eastAsia="Times New Roman" w:hAnsi="Arial" w:cs="Arial"/>
          <w:sz w:val="21"/>
          <w:szCs w:val="21"/>
          <w:lang w:val="fr-FR" w:eastAsia="fr-FR"/>
        </w:rPr>
        <w:t>.</w:t>
      </w:r>
    </w:p>
    <w:p w14:paraId="235E52C0" w14:textId="77777777" w:rsidR="00664D0A" w:rsidRPr="00664D0A" w:rsidRDefault="00664D0A" w:rsidP="0086407A">
      <w:pPr>
        <w:bidi/>
        <w:rPr>
          <w:rFonts w:ascii="Arial" w:eastAsia="Times New Roman" w:hAnsi="Arial" w:cs="Arial"/>
          <w:sz w:val="21"/>
          <w:szCs w:val="21"/>
          <w:lang w:val="fr-FR" w:eastAsia="fr-FR"/>
        </w:rPr>
      </w:pPr>
      <w:r w:rsidRPr="00664D0A">
        <w:rPr>
          <w:rFonts w:ascii="Arial" w:eastAsia="Times New Roman" w:hAnsi="Arial" w:cs="Arial"/>
          <w:sz w:val="21"/>
          <w:szCs w:val="21"/>
          <w:rtl/>
          <w:lang w:val="fr-FR" w:eastAsia="fr-FR"/>
        </w:rPr>
        <w:t>الخلاصة</w:t>
      </w:r>
      <w:r w:rsidRPr="00664D0A">
        <w:rPr>
          <w:rFonts w:ascii="Arial" w:eastAsia="Times New Roman" w:hAnsi="Arial" w:cs="Arial"/>
          <w:sz w:val="21"/>
          <w:szCs w:val="21"/>
          <w:lang w:val="fr-FR" w:eastAsia="fr-FR"/>
        </w:rPr>
        <w:t xml:space="preserve">: </w:t>
      </w:r>
      <w:r w:rsidRPr="00664D0A">
        <w:rPr>
          <w:rFonts w:ascii="Arial" w:eastAsia="Times New Roman" w:hAnsi="Arial" w:cs="Arial"/>
          <w:sz w:val="21"/>
          <w:szCs w:val="21"/>
          <w:rtl/>
          <w:lang w:val="fr-FR" w:eastAsia="fr-FR"/>
        </w:rPr>
        <w:t>تُؤكّد دراستنا الانتشار الواسع للعلاج بالأعشاب لدى مرضى السكري من النوع الثاني بالأغواط، المتجذّر في الممارسات الثقافية والموروث العائلي. وعلى الرغم من وجود توازن غليسيمي نسبي أفضل لدى المستخدمين، يظل عدم الإفصاح شبه المنهجي للطبيب المعالج خطراً سريرياً بالغاً. تُبرز هذه النتائج ضرورة إدراج التساؤل عن ممارسات الطب التكميلي بصفة منتظمة ضمن متابعة مرضى السكري، وتطوير برامج تعليمية علاجية ملائمة</w:t>
      </w:r>
      <w:r w:rsidRPr="00664D0A">
        <w:rPr>
          <w:rFonts w:ascii="Arial" w:eastAsia="Times New Roman" w:hAnsi="Arial" w:cs="Arial"/>
          <w:sz w:val="21"/>
          <w:szCs w:val="21"/>
          <w:lang w:val="fr-FR" w:eastAsia="fr-FR"/>
        </w:rPr>
        <w:t>.</w:t>
      </w:r>
    </w:p>
    <w:p w14:paraId="74994B9D" w14:textId="77777777" w:rsidR="00664D0A" w:rsidRPr="00664D0A" w:rsidRDefault="00664D0A" w:rsidP="0086407A">
      <w:pPr>
        <w:bidi/>
        <w:rPr>
          <w:rFonts w:ascii="Arial" w:eastAsia="Times New Roman" w:hAnsi="Arial" w:cs="Arial"/>
          <w:sz w:val="21"/>
          <w:szCs w:val="21"/>
          <w:lang w:val="fr-FR" w:eastAsia="fr-FR"/>
        </w:rPr>
      </w:pPr>
      <w:r w:rsidRPr="00664D0A">
        <w:rPr>
          <w:rFonts w:ascii="Arial" w:eastAsia="Times New Roman" w:hAnsi="Arial" w:cs="Arial"/>
          <w:sz w:val="21"/>
          <w:szCs w:val="21"/>
          <w:rtl/>
          <w:lang w:val="fr-FR" w:eastAsia="fr-FR"/>
        </w:rPr>
        <w:t>الكلمات المفتاحية</w:t>
      </w:r>
      <w:r w:rsidRPr="00664D0A">
        <w:rPr>
          <w:rFonts w:ascii="Arial" w:eastAsia="Times New Roman" w:hAnsi="Arial" w:cs="Arial"/>
          <w:sz w:val="21"/>
          <w:szCs w:val="21"/>
          <w:lang w:val="fr-FR" w:eastAsia="fr-FR"/>
        </w:rPr>
        <w:t xml:space="preserve">: </w:t>
      </w:r>
      <w:r w:rsidRPr="00664D0A">
        <w:rPr>
          <w:rFonts w:ascii="Arial" w:eastAsia="Times New Roman" w:hAnsi="Arial" w:cs="Arial"/>
          <w:sz w:val="21"/>
          <w:szCs w:val="21"/>
          <w:rtl/>
          <w:lang w:val="fr-FR" w:eastAsia="fr-FR"/>
        </w:rPr>
        <w:t>داء السكري من النوع الثاني – الأعشاب الطبية – العلاج بالأعشاب – الطب التقليدي – الفعالية – السلامة – الإثنوبوتانيك – العلاج البديل</w:t>
      </w:r>
    </w:p>
    <w:p w14:paraId="5FFE48B9" w14:textId="587A7799" w:rsidR="00B139C3" w:rsidRDefault="00664D0A" w:rsidP="0086407A">
      <w:pPr>
        <w:pStyle w:val="Heading1"/>
        <w:bidi/>
        <w:jc w:val="right"/>
        <w:rPr>
          <w:rFonts w:eastAsia="Times New Roman"/>
          <w:lang w:eastAsia="fr-FR"/>
        </w:rPr>
      </w:pPr>
      <w:r>
        <w:br w:type="page"/>
      </w:r>
      <w:bookmarkStart w:id="8" w:name="_Toc229618754"/>
      <w:r w:rsidR="00B139C3" w:rsidRPr="0086407A">
        <w:lastRenderedPageBreak/>
        <w:t>Liste</w:t>
      </w:r>
      <w:r w:rsidR="00B139C3" w:rsidRPr="00B139C3">
        <w:rPr>
          <w:rFonts w:eastAsia="Times New Roman"/>
          <w:lang w:eastAsia="fr-FR"/>
        </w:rPr>
        <w:t xml:space="preserve"> des abréviations :</w:t>
      </w:r>
      <w:bookmarkEnd w:id="8"/>
    </w:p>
    <w:p w14:paraId="6D4B1C6B" w14:textId="77777777" w:rsidR="00B139C3" w:rsidRPr="00B139C3" w:rsidRDefault="00B139C3" w:rsidP="00B139C3">
      <w:pPr>
        <w:rPr>
          <w:lang w:val="fr-FR" w:eastAsia="fr-FR"/>
        </w:rPr>
      </w:pPr>
    </w:p>
    <w:p w14:paraId="3938C1F1"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ADA : American Diabetes Association. </w:t>
      </w:r>
    </w:p>
    <w:p w14:paraId="51750122" w14:textId="77777777" w:rsidR="00B139C3" w:rsidRPr="00B139C3" w:rsidRDefault="00B139C3" w:rsidP="00B139C3">
      <w:pPr>
        <w:rPr>
          <w:rFonts w:eastAsia="Times New Roman"/>
          <w:lang w:val="fr-FR" w:eastAsia="fr-FR"/>
        </w:rPr>
      </w:pPr>
      <w:r w:rsidRPr="00B139C3">
        <w:rPr>
          <w:rFonts w:eastAsia="Times New Roman"/>
          <w:lang w:val="fr-FR" w:eastAsia="fr-FR"/>
        </w:rPr>
        <w:t>ADO : Anti-Diabétiques Oraux.</w:t>
      </w:r>
    </w:p>
    <w:p w14:paraId="10B9533D"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AHA : Artemisia Herba-Alba. </w:t>
      </w:r>
    </w:p>
    <w:p w14:paraId="30BB157E"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ALR : Ratio Adiponectine/Leptine. </w:t>
      </w:r>
    </w:p>
    <w:p w14:paraId="14343D72" w14:textId="77777777" w:rsidR="00B139C3" w:rsidRPr="00B139C3" w:rsidRDefault="00B139C3" w:rsidP="00B139C3">
      <w:pPr>
        <w:rPr>
          <w:rFonts w:eastAsia="Times New Roman"/>
          <w:lang w:val="fr-FR" w:eastAsia="fr-FR"/>
        </w:rPr>
      </w:pPr>
      <w:r w:rsidRPr="00B139C3">
        <w:rPr>
          <w:rFonts w:eastAsia="Times New Roman"/>
          <w:lang w:val="fr-FR" w:eastAsia="fr-FR"/>
        </w:rPr>
        <w:t>CEEDMM : Centre d'Études et de Recherches sur le Diabète, les Maladies Métaboliques et       la Nutrition.</w:t>
      </w:r>
    </w:p>
    <w:p w14:paraId="3325FA82"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CG : Charge Glycémique. </w:t>
      </w:r>
    </w:p>
    <w:p w14:paraId="53081AA0" w14:textId="77777777" w:rsidR="00B139C3" w:rsidRPr="00116A61" w:rsidRDefault="00B139C3" w:rsidP="00B139C3">
      <w:pPr>
        <w:rPr>
          <w:rFonts w:eastAsia="Times New Roman"/>
          <w:lang w:val="fr-FR" w:eastAsia="fr-FR"/>
        </w:rPr>
      </w:pPr>
      <w:proofErr w:type="gramStart"/>
      <w:r w:rsidRPr="00116A61">
        <w:rPr>
          <w:rFonts w:eastAsia="Times New Roman"/>
          <w:lang w:val="fr-FR" w:eastAsia="fr-FR"/>
        </w:rPr>
        <w:t>DCCT:</w:t>
      </w:r>
      <w:proofErr w:type="gramEnd"/>
      <w:r w:rsidRPr="00116A61">
        <w:rPr>
          <w:rFonts w:eastAsia="Times New Roman"/>
          <w:lang w:val="fr-FR" w:eastAsia="fr-FR"/>
        </w:rPr>
        <w:t xml:space="preserve"> Diabetes Control and Complications Trial.</w:t>
      </w:r>
    </w:p>
    <w:p w14:paraId="78F25E50" w14:textId="77777777" w:rsidR="00B139C3" w:rsidRPr="00B139C3" w:rsidRDefault="00B139C3" w:rsidP="00B139C3">
      <w:pPr>
        <w:rPr>
          <w:rFonts w:eastAsia="Times New Roman"/>
          <w:lang w:val="fr-FR" w:eastAsia="fr-FR"/>
        </w:rPr>
      </w:pPr>
      <w:r w:rsidRPr="00B139C3">
        <w:rPr>
          <w:rFonts w:eastAsia="Times New Roman"/>
          <w:lang w:val="fr-FR" w:eastAsia="fr-FR"/>
        </w:rPr>
        <w:t>Déc : Décoction.</w:t>
      </w:r>
    </w:p>
    <w:p w14:paraId="05191C60"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DFG : Débit de Filtration Glomérulaire. </w:t>
      </w:r>
    </w:p>
    <w:p w14:paraId="2F624559" w14:textId="77777777" w:rsidR="00B139C3" w:rsidRPr="00B139C3" w:rsidRDefault="00B139C3" w:rsidP="00B139C3">
      <w:pPr>
        <w:rPr>
          <w:rFonts w:eastAsia="Times New Roman"/>
          <w:lang w:val="fr-FR" w:eastAsia="fr-FR"/>
        </w:rPr>
      </w:pPr>
      <w:r w:rsidRPr="00B139C3">
        <w:rPr>
          <w:rFonts w:eastAsia="Times New Roman"/>
          <w:lang w:val="fr-FR" w:eastAsia="fr-FR"/>
        </w:rPr>
        <w:t>DNID : Diabète Non Insulinodépendant.</w:t>
      </w:r>
    </w:p>
    <w:p w14:paraId="680B4331"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DS : Diabète Sucré. </w:t>
      </w:r>
    </w:p>
    <w:p w14:paraId="131DA32B"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DT1 : Diabète de Type 1. </w:t>
      </w:r>
    </w:p>
    <w:p w14:paraId="73095F77"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DT2 : Diabète de Type 2. </w:t>
      </w:r>
    </w:p>
    <w:p w14:paraId="49A056EF" w14:textId="77777777" w:rsidR="00B139C3" w:rsidRPr="00B139C3" w:rsidRDefault="00B139C3" w:rsidP="00B139C3">
      <w:pPr>
        <w:rPr>
          <w:rFonts w:eastAsia="Times New Roman"/>
          <w:lang w:val="fr-FR" w:eastAsia="fr-FR"/>
        </w:rPr>
      </w:pPr>
      <w:r w:rsidRPr="00B139C3">
        <w:rPr>
          <w:rFonts w:eastAsia="Times New Roman"/>
          <w:lang w:val="fr-FR" w:eastAsia="fr-FR"/>
        </w:rPr>
        <w:t>EPH : Établissement Public Hospitalier.</w:t>
      </w:r>
    </w:p>
    <w:p w14:paraId="2733EEA9"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ETP : Éducation Thérapeutique du Patient. </w:t>
      </w:r>
    </w:p>
    <w:p w14:paraId="0E578916" w14:textId="77777777" w:rsidR="00B139C3" w:rsidRPr="00B139C3" w:rsidRDefault="00B139C3" w:rsidP="00B139C3">
      <w:pPr>
        <w:rPr>
          <w:rFonts w:eastAsia="Times New Roman"/>
          <w:lang w:val="fr-FR" w:eastAsia="fr-FR"/>
        </w:rPr>
      </w:pPr>
      <w:r w:rsidRPr="00B139C3">
        <w:rPr>
          <w:rFonts w:eastAsia="Times New Roman"/>
          <w:lang w:val="fr-FR" w:eastAsia="fr-FR"/>
        </w:rPr>
        <w:t>FC : Fréquence de Citation.</w:t>
      </w:r>
    </w:p>
    <w:p w14:paraId="4F32D39A"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FID : Fédération Internationale du Diabète.</w:t>
      </w:r>
    </w:p>
    <w:p w14:paraId="6BECA724"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FRC : Fréquence Relative de Citation. </w:t>
      </w:r>
    </w:p>
    <w:p w14:paraId="70D4F501"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GAJ : Glycémie À Jeun. </w:t>
      </w:r>
    </w:p>
    <w:p w14:paraId="34C81AFB"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HbA1c : Hémoglobine Glycosylée. </w:t>
      </w:r>
    </w:p>
    <w:p w14:paraId="7BBFCD25"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HDL : Lipoprotéine de Haute Densité. </w:t>
      </w:r>
    </w:p>
    <w:p w14:paraId="082E0CF7" w14:textId="77777777" w:rsidR="00B139C3" w:rsidRPr="00B139C3" w:rsidRDefault="00B139C3" w:rsidP="00B139C3">
      <w:pPr>
        <w:rPr>
          <w:rFonts w:eastAsia="Times New Roman"/>
          <w:lang w:val="fr-FR" w:eastAsia="fr-FR"/>
        </w:rPr>
      </w:pPr>
      <w:r w:rsidRPr="00B139C3">
        <w:rPr>
          <w:rFonts w:eastAsia="Times New Roman"/>
          <w:lang w:val="fr-FR" w:eastAsia="fr-FR"/>
        </w:rPr>
        <w:t>HGPO : Hyperglycémie Provoquée par Voie Orale.</w:t>
      </w:r>
    </w:p>
    <w:p w14:paraId="69B41168"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HTA : Hypertension Artérielle.</w:t>
      </w:r>
    </w:p>
    <w:p w14:paraId="3C0CAD08"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IAG : Inhibiteurs des Alpha-Glucosidases. </w:t>
      </w:r>
    </w:p>
    <w:p w14:paraId="4D56D51C" w14:textId="77777777" w:rsidR="00B139C3" w:rsidRPr="00B139C3" w:rsidRDefault="00B139C3" w:rsidP="00B139C3">
      <w:pPr>
        <w:rPr>
          <w:rFonts w:eastAsia="Times New Roman"/>
          <w:lang w:val="fr-FR" w:eastAsia="fr-FR"/>
        </w:rPr>
      </w:pPr>
      <w:r w:rsidRPr="00B139C3">
        <w:rPr>
          <w:rFonts w:eastAsia="Times New Roman"/>
          <w:lang w:val="fr-FR" w:eastAsia="fr-FR"/>
        </w:rPr>
        <w:t>IDF : International Diabetes Federation.</w:t>
      </w:r>
    </w:p>
    <w:p w14:paraId="173A7EC6"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IG : Indice Glycémique. </w:t>
      </w:r>
    </w:p>
    <w:p w14:paraId="3A1E1F1D" w14:textId="77777777" w:rsidR="00B139C3" w:rsidRPr="00B139C3" w:rsidRDefault="00B139C3" w:rsidP="00B139C3">
      <w:pPr>
        <w:rPr>
          <w:rFonts w:eastAsia="Times New Roman"/>
          <w:lang w:val="fr-FR" w:eastAsia="fr-FR"/>
        </w:rPr>
      </w:pPr>
      <w:r w:rsidRPr="00B139C3">
        <w:rPr>
          <w:rFonts w:eastAsia="Times New Roman"/>
          <w:lang w:val="fr-FR" w:eastAsia="fr-FR"/>
        </w:rPr>
        <w:t>IL-6 : Interleukine-6.</w:t>
      </w:r>
    </w:p>
    <w:p w14:paraId="309C6351"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IMC : Indice de Masse Corporelle. </w:t>
      </w:r>
    </w:p>
    <w:p w14:paraId="7A9AF4B6" w14:textId="77777777" w:rsidR="00B139C3" w:rsidRPr="00B139C3" w:rsidRDefault="00B139C3" w:rsidP="00B139C3">
      <w:pPr>
        <w:rPr>
          <w:rFonts w:eastAsia="Times New Roman"/>
          <w:lang w:eastAsia="fr-FR"/>
        </w:rPr>
      </w:pPr>
      <w:proofErr w:type="gramStart"/>
      <w:r w:rsidRPr="00B139C3">
        <w:rPr>
          <w:rFonts w:eastAsia="Times New Roman"/>
          <w:lang w:eastAsia="fr-FR"/>
        </w:rPr>
        <w:lastRenderedPageBreak/>
        <w:t>Inf :</w:t>
      </w:r>
      <w:proofErr w:type="gramEnd"/>
      <w:r w:rsidRPr="00B139C3">
        <w:rPr>
          <w:rFonts w:eastAsia="Times New Roman"/>
          <w:lang w:eastAsia="fr-FR"/>
        </w:rPr>
        <w:t xml:space="preserve"> Infusion.</w:t>
      </w:r>
    </w:p>
    <w:p w14:paraId="25AAE59A" w14:textId="77777777" w:rsidR="00B139C3" w:rsidRPr="00B139C3" w:rsidRDefault="00B139C3" w:rsidP="00B139C3">
      <w:pPr>
        <w:rPr>
          <w:rFonts w:eastAsia="Times New Roman"/>
          <w:lang w:eastAsia="fr-FR"/>
        </w:rPr>
      </w:pPr>
      <w:r w:rsidRPr="00B139C3">
        <w:rPr>
          <w:rFonts w:eastAsia="Times New Roman"/>
          <w:lang w:eastAsia="fr-FR"/>
        </w:rPr>
        <w:t xml:space="preserve"> IRS1: Insulin Receptor Substrate 1.</w:t>
      </w:r>
    </w:p>
    <w:p w14:paraId="2837059C" w14:textId="77777777" w:rsidR="00B139C3" w:rsidRPr="00B139C3" w:rsidRDefault="00B139C3" w:rsidP="00B139C3">
      <w:pPr>
        <w:rPr>
          <w:rFonts w:eastAsia="Times New Roman"/>
          <w:lang w:eastAsia="fr-FR"/>
        </w:rPr>
      </w:pPr>
      <w:r w:rsidRPr="00B139C3">
        <w:rPr>
          <w:rFonts w:eastAsia="Times New Roman"/>
          <w:lang w:eastAsia="fr-FR"/>
        </w:rPr>
        <w:t xml:space="preserve"> KIR6.2: Potassium Inwardly Rectifying Channel Subfamily J Member 11.</w:t>
      </w:r>
    </w:p>
    <w:p w14:paraId="61DF0225" w14:textId="77777777" w:rsidR="00B139C3" w:rsidRPr="00B139C3" w:rsidRDefault="00B139C3" w:rsidP="00B139C3">
      <w:pPr>
        <w:rPr>
          <w:rFonts w:eastAsia="Times New Roman"/>
          <w:lang w:val="fr-FR" w:eastAsia="fr-FR"/>
        </w:rPr>
      </w:pPr>
      <w:r w:rsidRPr="00B139C3">
        <w:rPr>
          <w:rFonts w:eastAsia="Times New Roman"/>
          <w:lang w:eastAsia="fr-FR"/>
        </w:rPr>
        <w:t xml:space="preserve"> </w:t>
      </w:r>
      <w:r w:rsidRPr="00B139C3">
        <w:rPr>
          <w:rFonts w:eastAsia="Times New Roman"/>
          <w:lang w:val="fr-FR" w:eastAsia="fr-FR"/>
        </w:rPr>
        <w:t xml:space="preserve">LDL : Lipoprotéine de Basse Densité. </w:t>
      </w:r>
    </w:p>
    <w:p w14:paraId="4362226D"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MCV : Maladies Cardiovasculaires. </w:t>
      </w:r>
    </w:p>
    <w:p w14:paraId="26CF9966" w14:textId="77777777" w:rsidR="00B139C3" w:rsidRPr="00B139C3" w:rsidRDefault="00B139C3" w:rsidP="00B139C3">
      <w:pPr>
        <w:rPr>
          <w:rFonts w:eastAsia="Times New Roman"/>
          <w:lang w:val="fr-FR" w:eastAsia="fr-FR"/>
        </w:rPr>
      </w:pPr>
      <w:r w:rsidRPr="00B139C3">
        <w:rPr>
          <w:rFonts w:eastAsia="Times New Roman"/>
          <w:lang w:val="fr-FR" w:eastAsia="fr-FR"/>
        </w:rPr>
        <w:t>ND : Néphropathie Diabétique.</w:t>
      </w:r>
    </w:p>
    <w:p w14:paraId="053CA3D1"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NGSP : Programme national de normalisation des glycohémoglobines. </w:t>
      </w:r>
    </w:p>
    <w:p w14:paraId="02654087" w14:textId="77777777" w:rsidR="00B139C3" w:rsidRPr="00B139C3" w:rsidRDefault="00B139C3" w:rsidP="00B139C3">
      <w:pPr>
        <w:rPr>
          <w:rFonts w:eastAsia="Times New Roman"/>
          <w:lang w:val="fr-FR" w:eastAsia="fr-FR"/>
        </w:rPr>
      </w:pPr>
      <w:r w:rsidRPr="00B139C3">
        <w:rPr>
          <w:rFonts w:eastAsia="Times New Roman"/>
          <w:lang w:val="fr-FR" w:eastAsia="fr-FR"/>
        </w:rPr>
        <w:t>NRD : Neuropathie Diabétique.</w:t>
      </w:r>
    </w:p>
    <w:p w14:paraId="016925FB"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OMS : Organisation Mondiale de la Santé. </w:t>
      </w:r>
    </w:p>
    <w:p w14:paraId="39E2C4BC" w14:textId="77777777" w:rsidR="00B139C3" w:rsidRPr="00B139C3" w:rsidRDefault="00B139C3" w:rsidP="00B139C3">
      <w:pPr>
        <w:rPr>
          <w:rFonts w:eastAsia="Times New Roman"/>
          <w:lang w:eastAsia="fr-FR"/>
        </w:rPr>
      </w:pPr>
      <w:proofErr w:type="gramStart"/>
      <w:r w:rsidRPr="00B139C3">
        <w:rPr>
          <w:rFonts w:eastAsia="Times New Roman"/>
          <w:lang w:eastAsia="fr-FR"/>
        </w:rPr>
        <w:t>PPARc :</w:t>
      </w:r>
      <w:proofErr w:type="gramEnd"/>
      <w:r w:rsidRPr="00B139C3">
        <w:rPr>
          <w:rFonts w:eastAsia="Times New Roman"/>
          <w:lang w:eastAsia="fr-FR"/>
        </w:rPr>
        <w:t xml:space="preserve"> Peroxisome Proliferator-Activated Receptor gamma.</w:t>
      </w:r>
    </w:p>
    <w:p w14:paraId="4BA233C3" w14:textId="77777777" w:rsidR="00B139C3" w:rsidRPr="00B139C3" w:rsidRDefault="00B139C3" w:rsidP="00B139C3">
      <w:pPr>
        <w:rPr>
          <w:rFonts w:eastAsia="Times New Roman"/>
          <w:lang w:val="fr-FR" w:eastAsia="fr-FR"/>
        </w:rPr>
      </w:pPr>
      <w:r w:rsidRPr="00B139C3">
        <w:rPr>
          <w:rFonts w:eastAsia="Times New Roman"/>
          <w:lang w:eastAsia="fr-FR"/>
        </w:rPr>
        <w:t xml:space="preserve"> </w:t>
      </w:r>
      <w:r w:rsidRPr="00B139C3">
        <w:rPr>
          <w:rFonts w:eastAsia="Times New Roman"/>
          <w:lang w:val="fr-FR" w:eastAsia="fr-FR"/>
        </w:rPr>
        <w:t>RHD : Règles Hygiéno-Diététiques.</w:t>
      </w:r>
    </w:p>
    <w:p w14:paraId="28A893E9" w14:textId="77777777" w:rsidR="00B139C3" w:rsidRPr="00B139C3" w:rsidRDefault="00B139C3" w:rsidP="00B139C3">
      <w:pPr>
        <w:rPr>
          <w:rFonts w:eastAsia="Times New Roman"/>
          <w:lang w:val="fr-FR" w:eastAsia="fr-FR"/>
        </w:rPr>
      </w:pPr>
      <w:r w:rsidRPr="00B139C3">
        <w:rPr>
          <w:rFonts w:eastAsia="Times New Roman"/>
          <w:lang w:val="fr-FR" w:eastAsia="fr-FR"/>
        </w:rPr>
        <w:t xml:space="preserve"> SGH : Sérum Glucosé Hypertonique. </w:t>
      </w:r>
    </w:p>
    <w:p w14:paraId="663F23D7" w14:textId="77777777" w:rsidR="00B139C3" w:rsidRPr="00B139C3" w:rsidRDefault="00B139C3" w:rsidP="00B139C3">
      <w:pPr>
        <w:rPr>
          <w:rFonts w:eastAsia="Times New Roman"/>
          <w:lang w:eastAsia="fr-FR"/>
        </w:rPr>
      </w:pPr>
      <w:r w:rsidRPr="00B139C3">
        <w:rPr>
          <w:rFonts w:eastAsia="Times New Roman"/>
          <w:lang w:eastAsia="fr-FR"/>
        </w:rPr>
        <w:t>TCF7L</w:t>
      </w:r>
      <w:proofErr w:type="gramStart"/>
      <w:r w:rsidRPr="00B139C3">
        <w:rPr>
          <w:rFonts w:eastAsia="Times New Roman"/>
          <w:lang w:eastAsia="fr-FR"/>
        </w:rPr>
        <w:t>2 :</w:t>
      </w:r>
      <w:proofErr w:type="gramEnd"/>
      <w:r w:rsidRPr="00B139C3">
        <w:rPr>
          <w:rFonts w:eastAsia="Times New Roman"/>
          <w:lang w:eastAsia="fr-FR"/>
        </w:rPr>
        <w:t xml:space="preserve"> Transcription Factor 7-Like 2. </w:t>
      </w:r>
    </w:p>
    <w:p w14:paraId="1F4ED2EA" w14:textId="77777777" w:rsidR="00B139C3" w:rsidRPr="00B139C3" w:rsidRDefault="00B139C3" w:rsidP="00B139C3">
      <w:pPr>
        <w:rPr>
          <w:rFonts w:eastAsia="Times New Roman"/>
          <w:lang w:eastAsia="fr-FR"/>
        </w:rPr>
      </w:pPr>
      <w:r w:rsidRPr="00B139C3">
        <w:rPr>
          <w:rFonts w:eastAsia="Times New Roman"/>
          <w:lang w:eastAsia="fr-FR"/>
        </w:rPr>
        <w:t>TNF-</w:t>
      </w:r>
      <w:r w:rsidRPr="00B139C3">
        <w:rPr>
          <w:rFonts w:eastAsia="Times New Roman"/>
          <w:lang w:val="fr-FR" w:eastAsia="fr-FR"/>
        </w:rPr>
        <w:t>α</w:t>
      </w:r>
      <w:r w:rsidRPr="00B139C3">
        <w:rPr>
          <w:rFonts w:eastAsia="Times New Roman"/>
          <w:lang w:eastAsia="fr-FR"/>
        </w:rPr>
        <w:t>: Tumor Necrosis Factor alpha.</w:t>
      </w:r>
    </w:p>
    <w:p w14:paraId="2DFE0C63" w14:textId="77777777" w:rsidR="00B139C3" w:rsidRPr="00B139C3" w:rsidRDefault="00B139C3" w:rsidP="00B139C3">
      <w:pPr>
        <w:rPr>
          <w:rFonts w:eastAsia="Times New Roman"/>
          <w:lang w:eastAsia="fr-FR"/>
        </w:rPr>
      </w:pPr>
      <w:r w:rsidRPr="00B139C3">
        <w:rPr>
          <w:rFonts w:eastAsia="Times New Roman"/>
          <w:lang w:eastAsia="fr-FR"/>
        </w:rPr>
        <w:t xml:space="preserve"> UV: Valeur d'Usage. </w:t>
      </w:r>
    </w:p>
    <w:p w14:paraId="3CC89B2E" w14:textId="77CE6A26" w:rsidR="00B139C3" w:rsidRPr="008920C8" w:rsidRDefault="00B139C3" w:rsidP="008920C8">
      <w:pPr>
        <w:rPr>
          <w:rFonts w:eastAsia="Times New Roman"/>
          <w:lang w:eastAsia="fr-FR"/>
        </w:rPr>
      </w:pPr>
      <w:r w:rsidRPr="00B139C3">
        <w:rPr>
          <w:rFonts w:eastAsia="Times New Roman"/>
          <w:lang w:eastAsia="fr-FR"/>
        </w:rPr>
        <w:t>VLDL:</w:t>
      </w:r>
      <w:r w:rsidR="008920C8">
        <w:rPr>
          <w:rFonts w:eastAsia="Times New Roman"/>
          <w:lang w:eastAsia="fr-FR"/>
        </w:rPr>
        <w:t xml:space="preserve"> Very Low-Density Lipoprotein. </w:t>
      </w:r>
    </w:p>
    <w:p w14:paraId="4D93136B" w14:textId="77777777" w:rsidR="008920C8" w:rsidRPr="00CB543A" w:rsidRDefault="008920C8">
      <w:r w:rsidRPr="00CB543A">
        <w:br w:type="page"/>
      </w:r>
    </w:p>
    <w:p w14:paraId="249806C4" w14:textId="59B63079" w:rsidR="006F25EE" w:rsidRDefault="00B139C3" w:rsidP="006F25EE">
      <w:pPr>
        <w:pStyle w:val="Heading1"/>
      </w:pPr>
      <w:bookmarkStart w:id="9" w:name="_Toc229618755"/>
      <w:r w:rsidRPr="008920C8">
        <w:lastRenderedPageBreak/>
        <w:t>Liste</w:t>
      </w:r>
      <w:r w:rsidR="008920C8">
        <w:t xml:space="preserve"> des</w:t>
      </w:r>
      <w:r w:rsidRPr="008920C8">
        <w:t xml:space="preserve"> figures</w:t>
      </w:r>
      <w:bookmarkEnd w:id="9"/>
      <w:r w:rsidR="006F25EE">
        <w:fldChar w:fldCharType="begin"/>
      </w:r>
      <w:r w:rsidR="006F25EE">
        <w:instrText xml:space="preserve"> TOC \n \h \z \c "Figure" </w:instrText>
      </w:r>
      <w:r w:rsidR="006F25EE">
        <w:fldChar w:fldCharType="separate"/>
      </w:r>
    </w:p>
    <w:p w14:paraId="77485E33" w14:textId="4A629F1A"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291" w:history="1">
        <w:r w:rsidR="006F25EE" w:rsidRPr="00000F42">
          <w:rPr>
            <w:rStyle w:val="Hyperlink"/>
            <w:noProof/>
          </w:rPr>
          <w:t>Figure 1 : les facteurs de la forme commune du diabète de type 2 (80 % des cas).</w:t>
        </w:r>
      </w:hyperlink>
    </w:p>
    <w:p w14:paraId="2E52B1EE" w14:textId="44813A61"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292" w:history="1">
        <w:r w:rsidR="006F25EE" w:rsidRPr="00000F42">
          <w:rPr>
            <w:rStyle w:val="Hyperlink"/>
            <w:noProof/>
            <w:lang w:val="fr-FR"/>
          </w:rPr>
          <w:t>Figure 2 : Insulinorésistance hépatique et périphérique (musculaire et adipocytaire).</w:t>
        </w:r>
      </w:hyperlink>
    </w:p>
    <w:p w14:paraId="3580C46A" w14:textId="7EC631DC"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293" w:history="1">
        <w:r w:rsidR="006F25EE" w:rsidRPr="00000F42">
          <w:rPr>
            <w:rStyle w:val="Hyperlink"/>
            <w:noProof/>
            <w:lang w:val="fr-FR"/>
          </w:rPr>
          <w:t>Figure 3 :  Mécanisme d’action de la Methformine</w:t>
        </w:r>
      </w:hyperlink>
    </w:p>
    <w:p w14:paraId="27FBDEE4" w14:textId="3A5DD75A"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294" w:history="1">
        <w:r w:rsidR="006F25EE" w:rsidRPr="00000F42">
          <w:rPr>
            <w:rStyle w:val="Hyperlink"/>
            <w:noProof/>
            <w:lang w:val="fr-FR"/>
          </w:rPr>
          <w:t>Figure 4 : Le mécanisme d’action des thiazolidinediones</w:t>
        </w:r>
      </w:hyperlink>
    </w:p>
    <w:p w14:paraId="04A29624" w14:textId="61274335"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295" w:history="1">
        <w:r w:rsidR="006F25EE" w:rsidRPr="00000F42">
          <w:rPr>
            <w:rStyle w:val="Hyperlink"/>
            <w:noProof/>
            <w:lang w:val="fr-FR"/>
          </w:rPr>
          <w:t>Figure 5 : Le mécanisme d’action des glinides</w:t>
        </w:r>
      </w:hyperlink>
    </w:p>
    <w:p w14:paraId="6C66973A" w14:textId="4AC85058"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296" w:history="1">
        <w:r w:rsidR="006F25EE" w:rsidRPr="00000F42">
          <w:rPr>
            <w:rStyle w:val="Hyperlink"/>
            <w:noProof/>
            <w:lang w:val="fr-FR"/>
          </w:rPr>
          <w:t>Figure 6: Le mécanisme d’action des Inhibiteurs d’</w:t>
        </w:r>
        <w:r w:rsidR="006F25EE" w:rsidRPr="00000F42">
          <w:rPr>
            <w:rStyle w:val="Hyperlink"/>
            <w:noProof/>
          </w:rPr>
          <w:t>α</w:t>
        </w:r>
        <w:r w:rsidR="006F25EE" w:rsidRPr="00000F42">
          <w:rPr>
            <w:rStyle w:val="Hyperlink"/>
            <w:noProof/>
            <w:lang w:val="fr-FR"/>
          </w:rPr>
          <w:t xml:space="preserve"> glucosidase</w:t>
        </w:r>
      </w:hyperlink>
    </w:p>
    <w:p w14:paraId="36C47618" w14:textId="7556A18E" w:rsidR="006F25EE" w:rsidRDefault="00D20671" w:rsidP="00430E92">
      <w:pPr>
        <w:pStyle w:val="TableofFigures"/>
        <w:tabs>
          <w:tab w:val="right" w:leader="dot" w:pos="9062"/>
        </w:tabs>
        <w:rPr>
          <w:rFonts w:asciiTheme="minorHAnsi" w:eastAsiaTheme="minorEastAsia" w:hAnsiTheme="minorHAnsi"/>
          <w:noProof/>
          <w:sz w:val="22"/>
          <w:lang w:val="fr-FR" w:eastAsia="fr-FR"/>
        </w:rPr>
      </w:pPr>
      <w:hyperlink w:anchor="_Toc229617297" w:history="1">
        <w:r w:rsidR="006F25EE" w:rsidRPr="00000F42">
          <w:rPr>
            <w:rStyle w:val="Hyperlink"/>
            <w:noProof/>
            <w:lang w:val="fr-FR"/>
          </w:rPr>
          <w:t xml:space="preserve">Figure 7: Le mécanisme d’action des </w:t>
        </w:r>
        <w:r w:rsidR="006F25EE" w:rsidRPr="00000F42">
          <w:rPr>
            <w:rStyle w:val="Hyperlink"/>
            <w:rFonts w:eastAsia="Times New Roman"/>
            <w:noProof/>
            <w:lang w:val="fr-FR" w:eastAsia="fr-FR"/>
          </w:rPr>
          <w:t>les agonistes du GLP-1</w:t>
        </w:r>
      </w:hyperlink>
    </w:p>
    <w:p w14:paraId="29F35175" w14:textId="5F41BEB9"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298" w:history="1">
        <w:r w:rsidR="006F25EE" w:rsidRPr="00000F42">
          <w:rPr>
            <w:rStyle w:val="Hyperlink"/>
            <w:noProof/>
            <w:lang w:val="fr-FR"/>
          </w:rPr>
          <w:t>Figure 8 : Structure d’un alcaloïde (Florence, 2017).</w:t>
        </w:r>
      </w:hyperlink>
    </w:p>
    <w:p w14:paraId="7688CE11" w14:textId="177910E4"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299" w:history="1">
        <w:r w:rsidR="006F25EE" w:rsidRPr="00000F42">
          <w:rPr>
            <w:rStyle w:val="Hyperlink"/>
            <w:noProof/>
            <w:lang w:val="fr-FR"/>
          </w:rPr>
          <w:t>Figure 9: Artemisia herba-alba</w:t>
        </w:r>
      </w:hyperlink>
    </w:p>
    <w:p w14:paraId="795656D6" w14:textId="32940E1B"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00" w:history="1">
        <w:r w:rsidR="006F25EE" w:rsidRPr="00000F42">
          <w:rPr>
            <w:rStyle w:val="Hyperlink"/>
            <w:noProof/>
            <w:lang w:val="fr-FR"/>
          </w:rPr>
          <w:t>Figure 10: Matricaria chamomilla</w:t>
        </w:r>
      </w:hyperlink>
    </w:p>
    <w:p w14:paraId="004E48E8" w14:textId="69EA14D1"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01" w:history="1">
        <w:r w:rsidR="006F25EE" w:rsidRPr="00000F42">
          <w:rPr>
            <w:rStyle w:val="Hyperlink"/>
            <w:noProof/>
            <w:lang w:val="fr-FR"/>
          </w:rPr>
          <w:t>Figure 11: Centaurea acaulis</w:t>
        </w:r>
      </w:hyperlink>
    </w:p>
    <w:p w14:paraId="564F94D1" w14:textId="734448E6"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02" w:history="1">
        <w:r w:rsidR="006F25EE" w:rsidRPr="00000F42">
          <w:rPr>
            <w:rStyle w:val="Hyperlink"/>
            <w:noProof/>
            <w:lang w:val="fr-FR"/>
          </w:rPr>
          <w:t>Figure 12: Silybum marianum (Chardon-Marie)</w:t>
        </w:r>
      </w:hyperlink>
    </w:p>
    <w:p w14:paraId="460CFA08" w14:textId="28DC66F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03" w:history="1">
        <w:r w:rsidR="006F25EE" w:rsidRPr="00000F42">
          <w:rPr>
            <w:rStyle w:val="Hyperlink"/>
            <w:noProof/>
            <w:lang w:val="fr-FR"/>
          </w:rPr>
          <w:t>Figure 13: Artemisia campestris</w:t>
        </w:r>
      </w:hyperlink>
    </w:p>
    <w:p w14:paraId="7AE0E08A" w14:textId="4925F4AF"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04" w:history="1">
        <w:r w:rsidR="006F25EE" w:rsidRPr="00000F42">
          <w:rPr>
            <w:rStyle w:val="Hyperlink"/>
            <w:noProof/>
            <w:lang w:val="fr-FR"/>
          </w:rPr>
          <w:t>Figure 14:  Inula viscosaFigure 15 : Teucrium polium</w:t>
        </w:r>
      </w:hyperlink>
    </w:p>
    <w:p w14:paraId="201313F5" w14:textId="47B4B0CA"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05" w:history="1">
        <w:r w:rsidR="006F25EE" w:rsidRPr="00000F42">
          <w:rPr>
            <w:rStyle w:val="Hyperlink"/>
            <w:noProof/>
            <w:lang w:val="fr-FR"/>
          </w:rPr>
          <w:t>Figure 16 : Mentha spicata</w:t>
        </w:r>
      </w:hyperlink>
    </w:p>
    <w:p w14:paraId="16F1615E" w14:textId="61AF4052"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06" w:history="1">
        <w:r w:rsidR="006F25EE" w:rsidRPr="00000F42">
          <w:rPr>
            <w:rStyle w:val="Hyperlink"/>
            <w:noProof/>
            <w:lang w:val="fr-FR"/>
          </w:rPr>
          <w:t>Figure 17 : Thymus vulgaris</w:t>
        </w:r>
      </w:hyperlink>
    </w:p>
    <w:p w14:paraId="453111F0" w14:textId="03ADE50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07" w:history="1">
        <w:r w:rsidR="006F25EE" w:rsidRPr="00000F42">
          <w:rPr>
            <w:rStyle w:val="Hyperlink"/>
            <w:noProof/>
            <w:lang w:val="fr-FR"/>
          </w:rPr>
          <w:t>Figure 18 : Rosmarinus officinalis</w:t>
        </w:r>
      </w:hyperlink>
    </w:p>
    <w:p w14:paraId="068A0646" w14:textId="1790FC3C"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08" w:history="1">
        <w:r w:rsidR="006F25EE" w:rsidRPr="00000F42">
          <w:rPr>
            <w:rStyle w:val="Hyperlink"/>
            <w:noProof/>
            <w:lang w:val="fr-FR"/>
          </w:rPr>
          <w:t>Figure 19: Lavandula stoechas</w:t>
        </w:r>
      </w:hyperlink>
    </w:p>
    <w:p w14:paraId="781F55FC" w14:textId="3D1FCA10"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09" w:history="1">
        <w:r w:rsidR="006F25EE" w:rsidRPr="00000F42">
          <w:rPr>
            <w:rStyle w:val="Hyperlink"/>
            <w:noProof/>
            <w:lang w:val="fr-FR"/>
          </w:rPr>
          <w:t>Figure 20 : Mentha pulegium</w:t>
        </w:r>
      </w:hyperlink>
    </w:p>
    <w:p w14:paraId="6532AB57" w14:textId="5DABA62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10" w:history="1">
        <w:r w:rsidR="006F25EE" w:rsidRPr="00000F42">
          <w:rPr>
            <w:rStyle w:val="Hyperlink"/>
            <w:noProof/>
            <w:lang w:val="fr-FR"/>
          </w:rPr>
          <w:t>Figure 21 : Ajuga iva</w:t>
        </w:r>
      </w:hyperlink>
    </w:p>
    <w:p w14:paraId="63E4201D" w14:textId="56522180"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11" w:history="1">
        <w:r w:rsidR="006F25EE" w:rsidRPr="00000F42">
          <w:rPr>
            <w:rStyle w:val="Hyperlink"/>
            <w:noProof/>
            <w:lang w:val="fr-FR"/>
          </w:rPr>
          <w:t>Figure 22 : Marrubium vulgare</w:t>
        </w:r>
      </w:hyperlink>
    </w:p>
    <w:p w14:paraId="41B0EDE0" w14:textId="420746C6"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12" w:history="1">
        <w:r w:rsidR="006F25EE" w:rsidRPr="00000F42">
          <w:rPr>
            <w:rStyle w:val="Hyperlink"/>
            <w:noProof/>
            <w:lang w:val="fr-FR"/>
          </w:rPr>
          <w:t>Figure 23 : Salvia officinalis</w:t>
        </w:r>
      </w:hyperlink>
    </w:p>
    <w:p w14:paraId="3BA26F16" w14:textId="38CD291A"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13" w:history="1">
        <w:r w:rsidR="006F25EE" w:rsidRPr="00000F42">
          <w:rPr>
            <w:rStyle w:val="Hyperlink"/>
            <w:noProof/>
            <w:lang w:val="fr-FR"/>
          </w:rPr>
          <w:t>Figure 24 : Ocimum basilicum</w:t>
        </w:r>
      </w:hyperlink>
    </w:p>
    <w:p w14:paraId="618C681F" w14:textId="13F2956B"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14" w:history="1">
        <w:r w:rsidR="006F25EE" w:rsidRPr="00000F42">
          <w:rPr>
            <w:rStyle w:val="Hyperlink"/>
            <w:noProof/>
            <w:lang w:val="fr-FR"/>
          </w:rPr>
          <w:t>Figure 25 : Coriandrum sativum</w:t>
        </w:r>
      </w:hyperlink>
    </w:p>
    <w:p w14:paraId="628351E3" w14:textId="26E45A3F"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15" w:history="1">
        <w:r w:rsidR="006F25EE" w:rsidRPr="00000F42">
          <w:rPr>
            <w:rStyle w:val="Hyperlink"/>
            <w:noProof/>
            <w:lang w:val="fr-FR"/>
          </w:rPr>
          <w:t>Figure 26 : Foeniculum vulgare</w:t>
        </w:r>
      </w:hyperlink>
    </w:p>
    <w:p w14:paraId="62E96F7E" w14:textId="01B33A08"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16" w:history="1">
        <w:r w:rsidR="006F25EE" w:rsidRPr="00000F42">
          <w:rPr>
            <w:rStyle w:val="Hyperlink"/>
            <w:noProof/>
            <w:lang w:val="fr-FR"/>
          </w:rPr>
          <w:t>Figure 27 : Cuminum cyminum</w:t>
        </w:r>
      </w:hyperlink>
    </w:p>
    <w:p w14:paraId="3067228B" w14:textId="69D43BEF"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17" w:history="1">
        <w:r w:rsidR="006F25EE" w:rsidRPr="00000F42">
          <w:rPr>
            <w:rStyle w:val="Hyperlink"/>
            <w:noProof/>
            <w:lang w:val="fr-FR"/>
          </w:rPr>
          <w:t>Figure 28 : Trigonella foenum-graecum</w:t>
        </w:r>
      </w:hyperlink>
    </w:p>
    <w:p w14:paraId="7FA50C4E" w14:textId="036C2779"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18" w:history="1">
        <w:r w:rsidR="006F25EE" w:rsidRPr="00000F42">
          <w:rPr>
            <w:rStyle w:val="Hyperlink"/>
            <w:noProof/>
            <w:lang w:val="fr-FR"/>
          </w:rPr>
          <w:t>Figure 29 : Ceratonia siliqua</w:t>
        </w:r>
      </w:hyperlink>
    </w:p>
    <w:p w14:paraId="79D5F60E" w14:textId="2C1D030E"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19" w:history="1">
        <w:r w:rsidR="006F25EE" w:rsidRPr="00000F42">
          <w:rPr>
            <w:rStyle w:val="Hyperlink"/>
            <w:noProof/>
            <w:lang w:val="fr-FR"/>
          </w:rPr>
          <w:t>Figure 30 : Acacia raddiana</w:t>
        </w:r>
      </w:hyperlink>
    </w:p>
    <w:p w14:paraId="204D82AE" w14:textId="720D0054"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20" w:history="1">
        <w:r w:rsidR="006F25EE" w:rsidRPr="00000F42">
          <w:rPr>
            <w:rStyle w:val="Hyperlink"/>
            <w:noProof/>
            <w:lang w:val="fr-FR"/>
          </w:rPr>
          <w:t>Figure 31 : Olea europaea :</w:t>
        </w:r>
      </w:hyperlink>
    </w:p>
    <w:p w14:paraId="589B0FF9" w14:textId="62ADFC74"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21" w:history="1">
        <w:r w:rsidR="006F25EE" w:rsidRPr="00000F42">
          <w:rPr>
            <w:rStyle w:val="Hyperlink"/>
            <w:noProof/>
            <w:lang w:val="fr-FR"/>
          </w:rPr>
          <w:t>Figure 32 : Laurus nobilis</w:t>
        </w:r>
      </w:hyperlink>
    </w:p>
    <w:p w14:paraId="4FC0973A" w14:textId="675C8E66"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22" w:history="1">
        <w:r w:rsidR="006F25EE" w:rsidRPr="00000F42">
          <w:rPr>
            <w:rStyle w:val="Hyperlink"/>
            <w:noProof/>
            <w:lang w:val="fr-FR"/>
          </w:rPr>
          <w:t>Figure 33 : Zingiber officinale</w:t>
        </w:r>
      </w:hyperlink>
    </w:p>
    <w:p w14:paraId="2A7668C2" w14:textId="15197FA3"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23" w:history="1">
        <w:r w:rsidR="006F25EE" w:rsidRPr="00000F42">
          <w:rPr>
            <w:rStyle w:val="Hyperlink"/>
            <w:noProof/>
            <w:lang w:val="fr-FR"/>
          </w:rPr>
          <w:t>Figure 34: Citrus limon</w:t>
        </w:r>
      </w:hyperlink>
    </w:p>
    <w:p w14:paraId="1B9DA868" w14:textId="1DF53CF1"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24" w:history="1">
        <w:r w:rsidR="006F25EE" w:rsidRPr="00000F42">
          <w:rPr>
            <w:rStyle w:val="Hyperlink"/>
            <w:noProof/>
            <w:lang w:val="fr-FR"/>
          </w:rPr>
          <w:t>Figure 35 : Juniperus phoenicea</w:t>
        </w:r>
      </w:hyperlink>
    </w:p>
    <w:p w14:paraId="0A524DAA" w14:textId="150C0029"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25" w:history="1">
        <w:r w:rsidR="006F25EE" w:rsidRPr="00000F42">
          <w:rPr>
            <w:rStyle w:val="Hyperlink"/>
            <w:noProof/>
            <w:lang w:val="fr-FR"/>
          </w:rPr>
          <w:t>Figure 36 : Citrullus colocynthis</w:t>
        </w:r>
      </w:hyperlink>
    </w:p>
    <w:p w14:paraId="127A28DC" w14:textId="229461F9"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26" w:history="1">
        <w:r w:rsidR="006F25EE" w:rsidRPr="00000F42">
          <w:rPr>
            <w:rStyle w:val="Hyperlink"/>
            <w:noProof/>
            <w:lang w:val="fr-FR"/>
          </w:rPr>
          <w:t>Figure 37 : Costus deistellii</w:t>
        </w:r>
      </w:hyperlink>
    </w:p>
    <w:p w14:paraId="737E38F1" w14:textId="7F26663A"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27" w:history="1">
        <w:r w:rsidR="006F25EE" w:rsidRPr="00000F42">
          <w:rPr>
            <w:rStyle w:val="Hyperlink"/>
            <w:noProof/>
            <w:lang w:val="fr-FR"/>
          </w:rPr>
          <w:t>Figure 38 : Prunus persica</w:t>
        </w:r>
      </w:hyperlink>
    </w:p>
    <w:p w14:paraId="4C5B5828" w14:textId="724B36D4"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28" w:history="1">
        <w:r w:rsidR="006F25EE" w:rsidRPr="00000F42">
          <w:rPr>
            <w:rStyle w:val="Hyperlink"/>
            <w:noProof/>
            <w:lang w:val="fr-FR"/>
          </w:rPr>
          <w:t>Figure 39 : Allium sativum</w:t>
        </w:r>
      </w:hyperlink>
    </w:p>
    <w:p w14:paraId="6751D1DE" w14:textId="2DBBAA81"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29" w:history="1">
        <w:r w:rsidR="006F25EE" w:rsidRPr="00000F42">
          <w:rPr>
            <w:rStyle w:val="Hyperlink"/>
            <w:noProof/>
            <w:lang w:val="fr-FR"/>
          </w:rPr>
          <w:t>Figure 40 : Cinnamomum verum / Cinnamomum cassia</w:t>
        </w:r>
      </w:hyperlink>
    </w:p>
    <w:p w14:paraId="48ED1B99" w14:textId="07A699A5"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30" w:history="1">
        <w:r w:rsidR="006F25EE" w:rsidRPr="00000F42">
          <w:rPr>
            <w:rStyle w:val="Hyperlink"/>
            <w:noProof/>
            <w:lang w:val="fr-FR"/>
          </w:rPr>
          <w:t>Figure 41 : Camellia sinensis</w:t>
        </w:r>
      </w:hyperlink>
    </w:p>
    <w:p w14:paraId="4B489047" w14:textId="2C8A0159"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31" w:history="1">
        <w:r w:rsidR="006F25EE" w:rsidRPr="00000F42">
          <w:rPr>
            <w:rStyle w:val="Hyperlink"/>
            <w:noProof/>
            <w:lang w:val="fr-FR"/>
          </w:rPr>
          <w:t>Figure 42 : Pistacia lentiscus</w:t>
        </w:r>
      </w:hyperlink>
    </w:p>
    <w:p w14:paraId="39D3C983" w14:textId="6EA3DB9D"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32" w:history="1">
        <w:r w:rsidR="006F25EE" w:rsidRPr="00000F42">
          <w:rPr>
            <w:rStyle w:val="Hyperlink"/>
            <w:noProof/>
            <w:lang w:val="fr-FR"/>
          </w:rPr>
          <w:t>Figure 43 : Ziziphus lotu</w:t>
        </w:r>
      </w:hyperlink>
    </w:p>
    <w:p w14:paraId="0CE678A4" w14:textId="1E1FE654"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33" w:history="1">
        <w:r w:rsidR="006F25EE" w:rsidRPr="00000F42">
          <w:rPr>
            <w:rStyle w:val="Hyperlink"/>
            <w:noProof/>
            <w:lang w:val="fr-FR"/>
          </w:rPr>
          <w:t>Figure 44 : Punica granatum</w:t>
        </w:r>
      </w:hyperlink>
    </w:p>
    <w:p w14:paraId="00AEDB16" w14:textId="041485CD"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34" w:history="1">
        <w:r w:rsidR="006F25EE" w:rsidRPr="00000F42">
          <w:rPr>
            <w:rStyle w:val="Hyperlink"/>
            <w:noProof/>
            <w:lang w:val="fr-FR"/>
          </w:rPr>
          <w:t>Figure 45 : Urtica dioica</w:t>
        </w:r>
      </w:hyperlink>
    </w:p>
    <w:p w14:paraId="4F17949D" w14:textId="7FC4F7DA"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35" w:history="1">
        <w:r w:rsidR="006F25EE" w:rsidRPr="00000F42">
          <w:rPr>
            <w:rStyle w:val="Hyperlink"/>
            <w:noProof/>
            <w:lang w:val="fr-FR"/>
          </w:rPr>
          <w:t>Figure 46 : Nigella sativa</w:t>
        </w:r>
      </w:hyperlink>
    </w:p>
    <w:p w14:paraId="56AD18A9" w14:textId="483E3B8E"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36" w:history="1">
        <w:r w:rsidR="006F25EE" w:rsidRPr="00000F42">
          <w:rPr>
            <w:rStyle w:val="Hyperlink"/>
            <w:noProof/>
            <w:lang w:val="fr-FR"/>
          </w:rPr>
          <w:t>Figure 47 Répartition des patients diabétiques selon le recours à la phytothérapie (N = 251)</w:t>
        </w:r>
      </w:hyperlink>
    </w:p>
    <w:p w14:paraId="4997F797" w14:textId="387B0442"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37" w:history="1">
        <w:r w:rsidR="006F25EE" w:rsidRPr="00000F42">
          <w:rPr>
            <w:rStyle w:val="Hyperlink"/>
            <w:noProof/>
            <w:lang w:val="fr-FR"/>
          </w:rPr>
          <w:t>Figure 48 Fréquence d'usage des différentes familles botaniques au sein de la population étudiée.</w:t>
        </w:r>
      </w:hyperlink>
    </w:p>
    <w:p w14:paraId="660240C8" w14:textId="7A294388"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38" w:history="1">
        <w:r w:rsidR="006F25EE" w:rsidRPr="00000F42">
          <w:rPr>
            <w:rStyle w:val="Hyperlink"/>
            <w:noProof/>
            <w:lang w:val="fr-FR"/>
          </w:rPr>
          <w:t>Figure 49 Répartition des patients par tranches d'âge et selon l'usage de la phytothérapie</w:t>
        </w:r>
      </w:hyperlink>
    </w:p>
    <w:p w14:paraId="7F7C2C31" w14:textId="49532150"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39" w:history="1">
        <w:r w:rsidR="006F25EE" w:rsidRPr="00000F42">
          <w:rPr>
            <w:rStyle w:val="Hyperlink"/>
            <w:noProof/>
          </w:rPr>
          <w:t>Figure 50 Répartition des patients selon le sexe et l'usage de la phytothérapie</w:t>
        </w:r>
      </w:hyperlink>
    </w:p>
    <w:p w14:paraId="59B85773" w14:textId="3205C8D3"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40" w:history="1">
        <w:r w:rsidR="006F25EE" w:rsidRPr="00000F42">
          <w:rPr>
            <w:rStyle w:val="Hyperlink"/>
            <w:noProof/>
          </w:rPr>
          <w:t>Figure 51 Comparaison de l'état nutritionnel (IMC) selon l'usage de la phytothérapie (N = 251)</w:t>
        </w:r>
      </w:hyperlink>
    </w:p>
    <w:p w14:paraId="0FFFB62A" w14:textId="580FAA85"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41" w:history="1">
        <w:r w:rsidR="006F25EE" w:rsidRPr="00000F42">
          <w:rPr>
            <w:rStyle w:val="Hyperlink"/>
            <w:noProof/>
          </w:rPr>
          <w:t>Figure 52 Distribution du tour de taille selon le sexe et l’utilisation des plantes médicinales.</w:t>
        </w:r>
      </w:hyperlink>
    </w:p>
    <w:p w14:paraId="5FFC2580" w14:textId="61C9EC0D"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42" w:history="1">
        <w:r w:rsidR="006F25EE" w:rsidRPr="00000F42">
          <w:rPr>
            <w:rStyle w:val="Hyperlink"/>
            <w:noProof/>
          </w:rPr>
          <w:t>Figure 53 Répartition des patients diabétiques selon la durée de diabète :</w:t>
        </w:r>
      </w:hyperlink>
    </w:p>
    <w:p w14:paraId="67377AD6" w14:textId="124B7A12"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43" w:history="1">
        <w:r w:rsidR="006F25EE" w:rsidRPr="00000F42">
          <w:rPr>
            <w:rStyle w:val="Hyperlink"/>
            <w:noProof/>
          </w:rPr>
          <w:t>Figure 54 Répartition des patients diabétiques selon le traitement</w:t>
        </w:r>
      </w:hyperlink>
    </w:p>
    <w:p w14:paraId="56704DB1" w14:textId="57ADA5A3"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44" w:history="1">
        <w:r w:rsidR="006F25EE" w:rsidRPr="00000F42">
          <w:rPr>
            <w:rStyle w:val="Hyperlink"/>
            <w:noProof/>
          </w:rPr>
          <w:t>Figure 55 Répartition des patients diabétiques selon la méthode de surveillance</w:t>
        </w:r>
      </w:hyperlink>
    </w:p>
    <w:p w14:paraId="2D6152FF" w14:textId="282B21A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45" w:history="1">
        <w:r w:rsidR="006F25EE" w:rsidRPr="00000F42">
          <w:rPr>
            <w:rStyle w:val="Hyperlink"/>
            <w:noProof/>
          </w:rPr>
          <w:t>Figure 56 Répartition des patients diabétiques selon l 'HbA1C:</w:t>
        </w:r>
      </w:hyperlink>
    </w:p>
    <w:p w14:paraId="09B9D65C" w14:textId="146B77C9"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46" w:history="1">
        <w:r w:rsidR="006F25EE" w:rsidRPr="00000F42">
          <w:rPr>
            <w:rStyle w:val="Hyperlink"/>
            <w:noProof/>
          </w:rPr>
          <w:t>Figure 57 Répartition des patients utilisateurs de plantes selon leurs comportements d’observance thérapeutique.</w:t>
        </w:r>
      </w:hyperlink>
    </w:p>
    <w:p w14:paraId="3961331B" w14:textId="7DD90A03"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47" w:history="1">
        <w:r w:rsidR="006F25EE" w:rsidRPr="00000F42">
          <w:rPr>
            <w:rStyle w:val="Hyperlink"/>
            <w:noProof/>
          </w:rPr>
          <w:t>Figure 58 Répartition de l’adhérence thérapeutique chez les non utilisateurs</w:t>
        </w:r>
      </w:hyperlink>
    </w:p>
    <w:p w14:paraId="60F268AD" w14:textId="6E0BC4AF"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48" w:history="1">
        <w:r w:rsidR="006F25EE" w:rsidRPr="00000F42">
          <w:rPr>
            <w:rStyle w:val="Hyperlink"/>
            <w:noProof/>
          </w:rPr>
          <w:t>Figure 59 Répartition des obstacles à l’utilisation de la phytothérapie chez les patients diabétiques non-utilisateurs</w:t>
        </w:r>
      </w:hyperlink>
    </w:p>
    <w:p w14:paraId="4EA694D5" w14:textId="1A1F87AA"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49" w:history="1">
        <w:r w:rsidR="006F25EE" w:rsidRPr="00000F42">
          <w:rPr>
            <w:rStyle w:val="Hyperlink"/>
            <w:noProof/>
          </w:rPr>
          <w:t>Figure 60 Distribution des facteurs motivant l’utilisation de la phytothérapie chez les patients diabétiques</w:t>
        </w:r>
      </w:hyperlink>
    </w:p>
    <w:p w14:paraId="67A87D01" w14:textId="290A998F"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50" w:history="1">
        <w:r w:rsidR="006F25EE" w:rsidRPr="00000F42">
          <w:rPr>
            <w:rStyle w:val="Hyperlink"/>
            <w:noProof/>
          </w:rPr>
          <w:t>Figure 61 27 Répartition des patients  utilisateurs selon le nombre de plantes consommées</w:t>
        </w:r>
      </w:hyperlink>
    </w:p>
    <w:p w14:paraId="45D07018" w14:textId="3F986CC1"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51" w:history="1">
        <w:r w:rsidR="006F25EE" w:rsidRPr="00000F42">
          <w:rPr>
            <w:rStyle w:val="Hyperlink"/>
            <w:noProof/>
          </w:rPr>
          <w:t>Figure 62 : Répartition de la durée d’utilisation de la phytothérapie chez les patients diabétiques utilisateurs</w:t>
        </w:r>
      </w:hyperlink>
    </w:p>
    <w:p w14:paraId="686935AA" w14:textId="3746DC5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52" w:history="1">
        <w:r w:rsidR="006F25EE" w:rsidRPr="00000F42">
          <w:rPr>
            <w:rStyle w:val="Hyperlink"/>
            <w:noProof/>
          </w:rPr>
          <w:t>Figure 63 Distribution de la fréquence de recours à la phytothérapie chez les patients diabétiques utilisateurs</w:t>
        </w:r>
      </w:hyperlink>
    </w:p>
    <w:p w14:paraId="273C98A5" w14:textId="23801A08"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53" w:history="1">
        <w:r w:rsidR="006F25EE" w:rsidRPr="00000F42">
          <w:rPr>
            <w:rStyle w:val="Hyperlink"/>
            <w:noProof/>
          </w:rPr>
          <w:t>Figure 64 Distribution des sources des plantes médicinales chez les patients diabétiques utilisateurs</w:t>
        </w:r>
      </w:hyperlink>
    </w:p>
    <w:p w14:paraId="5AB8BC45" w14:textId="5B11F6BE"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54" w:history="1">
        <w:r w:rsidR="006F25EE" w:rsidRPr="00000F42">
          <w:rPr>
            <w:rStyle w:val="Hyperlink"/>
            <w:noProof/>
          </w:rPr>
          <w:t>Figure 65 Répartition de la prise conjointe de la phytothérapie et du traitement antidiabétique conventionnel chez les patients utilisateurs</w:t>
        </w:r>
      </w:hyperlink>
    </w:p>
    <w:p w14:paraId="7C1B8418" w14:textId="6AD82BA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55" w:history="1">
        <w:r w:rsidR="006F25EE" w:rsidRPr="00000F42">
          <w:rPr>
            <w:rStyle w:val="Hyperlink"/>
            <w:noProof/>
          </w:rPr>
          <w:t>Figure 66 Répartition des patients utilisateurs de la phytothérapie en fonction de  l’information du médecin traitant concernant cette utilisation</w:t>
        </w:r>
      </w:hyperlink>
    </w:p>
    <w:p w14:paraId="46A7958A" w14:textId="285087E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56" w:history="1">
        <w:r w:rsidR="006F25EE" w:rsidRPr="00000F42">
          <w:rPr>
            <w:rStyle w:val="Hyperlink"/>
            <w:noProof/>
          </w:rPr>
          <w:t>Figure 67 Répartition des patients selon l'efficacité perçue de l'utilisation des plantes médicinales</w:t>
        </w:r>
      </w:hyperlink>
    </w:p>
    <w:p w14:paraId="26209CAF" w14:textId="5892F0B2"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57" w:history="1">
        <w:r w:rsidR="006F25EE" w:rsidRPr="00000F42">
          <w:rPr>
            <w:rStyle w:val="Hyperlink"/>
            <w:noProof/>
          </w:rPr>
          <w:t>Figure 68 Répartition des patients par profession et usage de la phytothérapie (N = 251)</w:t>
        </w:r>
      </w:hyperlink>
    </w:p>
    <w:p w14:paraId="4C27BF57" w14:textId="70919AA2"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58" w:history="1">
        <w:r w:rsidR="006F25EE" w:rsidRPr="00000F42">
          <w:rPr>
            <w:rStyle w:val="Hyperlink"/>
            <w:noProof/>
          </w:rPr>
          <w:t>Figure 69 Répartition des patients par situation familiale et usage de la phytothérapie (N = 251)</w:t>
        </w:r>
      </w:hyperlink>
    </w:p>
    <w:p w14:paraId="2BE4374F" w14:textId="427615E4"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59" w:history="1">
        <w:r w:rsidR="006F25EE" w:rsidRPr="00000F42">
          <w:rPr>
            <w:rStyle w:val="Hyperlink"/>
            <w:noProof/>
          </w:rPr>
          <w:t>Figure 70 Répartition des patients par niveau socio-économique et usage de la phytothérapie (N = 251)</w:t>
        </w:r>
      </w:hyperlink>
    </w:p>
    <w:p w14:paraId="6D2AAF35" w14:textId="7D74BE01"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60" w:history="1">
        <w:r w:rsidR="006F25EE" w:rsidRPr="00000F42">
          <w:rPr>
            <w:rStyle w:val="Hyperlink"/>
            <w:noProof/>
          </w:rPr>
          <w:t>Figure 71 Répartition des patients par niveau d'instruction et usage de la phytothérapie (N = 251)</w:t>
        </w:r>
      </w:hyperlink>
    </w:p>
    <w:p w14:paraId="19907878" w14:textId="5590A79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61" w:history="1">
        <w:r w:rsidR="006F25EE" w:rsidRPr="00000F42">
          <w:rPr>
            <w:rStyle w:val="Hyperlink"/>
            <w:noProof/>
          </w:rPr>
          <w:t>Figure 72 Répartition des patients par zone de résidence et usage de la phytothérapie (N = 251)</w:t>
        </w:r>
      </w:hyperlink>
    </w:p>
    <w:p w14:paraId="5A68C332" w14:textId="2CFBB1BB" w:rsidR="00B139C3" w:rsidRDefault="006F25EE" w:rsidP="006F25EE">
      <w:pPr>
        <w:rPr>
          <w:lang w:val="fr-FR"/>
        </w:rPr>
      </w:pPr>
      <w:r>
        <w:rPr>
          <w:lang w:val="fr-FR"/>
        </w:rPr>
        <w:fldChar w:fldCharType="end"/>
      </w:r>
    </w:p>
    <w:p w14:paraId="4EDE0E47" w14:textId="77777777" w:rsidR="006F25EE" w:rsidRPr="008920C8" w:rsidRDefault="006F25EE" w:rsidP="006F25EE">
      <w:pPr>
        <w:rPr>
          <w:lang w:val="fr-FR"/>
        </w:rPr>
      </w:pPr>
    </w:p>
    <w:p w14:paraId="74830BCB" w14:textId="31A4BB39" w:rsidR="008920C8" w:rsidRDefault="00B139C3" w:rsidP="008920C8">
      <w:pPr>
        <w:pStyle w:val="Heading1"/>
      </w:pPr>
      <w:bookmarkStart w:id="10" w:name="_Toc229618756"/>
      <w:r w:rsidRPr="008920C8">
        <w:lastRenderedPageBreak/>
        <w:t xml:space="preserve">Liste </w:t>
      </w:r>
      <w:r w:rsidRPr="008920C8">
        <w:rPr>
          <w:rStyle w:val="Heading1Char"/>
        </w:rPr>
        <w:t>de</w:t>
      </w:r>
      <w:r w:rsidR="008920C8" w:rsidRPr="008920C8">
        <w:rPr>
          <w:rStyle w:val="Heading1Char"/>
        </w:rPr>
        <w:t>s</w:t>
      </w:r>
      <w:r w:rsidR="008920C8" w:rsidRPr="008920C8">
        <w:t xml:space="preserve"> tablaux</w:t>
      </w:r>
      <w:bookmarkEnd w:id="10"/>
    </w:p>
    <w:p w14:paraId="524D9811" w14:textId="5A28DDFA" w:rsidR="006F25EE" w:rsidRDefault="006F25EE">
      <w:pPr>
        <w:pStyle w:val="TableofFigures"/>
        <w:tabs>
          <w:tab w:val="right" w:leader="dot" w:pos="9062"/>
        </w:tabs>
        <w:rPr>
          <w:rFonts w:asciiTheme="minorHAnsi" w:eastAsiaTheme="minorEastAsia" w:hAnsiTheme="minorHAnsi"/>
          <w:noProof/>
          <w:sz w:val="22"/>
          <w:lang w:val="fr-FR" w:eastAsia="fr-FR"/>
        </w:rPr>
      </w:pPr>
      <w:r>
        <w:rPr>
          <w:lang w:val="fr-FR"/>
        </w:rPr>
        <w:fldChar w:fldCharType="begin"/>
      </w:r>
      <w:r>
        <w:rPr>
          <w:lang w:val="fr-FR"/>
        </w:rPr>
        <w:instrText xml:space="preserve"> TOC \n \h \z \c "Tableau" </w:instrText>
      </w:r>
      <w:r>
        <w:rPr>
          <w:lang w:val="fr-FR"/>
        </w:rPr>
        <w:fldChar w:fldCharType="separate"/>
      </w:r>
      <w:hyperlink w:anchor="_Toc229617362" w:history="1">
        <w:r w:rsidRPr="00C44AAB">
          <w:rPr>
            <w:rStyle w:val="Hyperlink"/>
            <w:noProof/>
          </w:rPr>
          <w:t>Tableau 1 les critères de diagnostique de diabète type 2</w:t>
        </w:r>
      </w:hyperlink>
    </w:p>
    <w:p w14:paraId="05CF9BEC" w14:textId="4DE1CAAD"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63" w:history="1">
        <w:r w:rsidR="006F25EE" w:rsidRPr="00C44AAB">
          <w:rPr>
            <w:rStyle w:val="Hyperlink"/>
            <w:noProof/>
          </w:rPr>
          <w:t>Tableau 2 Fréquence estimée du diabète de type 2 chez les apparentés de sujets diabétiques de type 2. (Source : CEEDMM, 2021.)</w:t>
        </w:r>
      </w:hyperlink>
    </w:p>
    <w:p w14:paraId="089D54C0" w14:textId="493B6BE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64" w:history="1">
        <w:r w:rsidR="006F25EE" w:rsidRPr="00C44AAB">
          <w:rPr>
            <w:rStyle w:val="Hyperlink"/>
            <w:noProof/>
          </w:rPr>
          <w:t>Tableau 3 Fréquence estimée du diabète de type 2 chez les apparentés de sujets diabétiques de type 2. (Source : CEEDMM, 2021.)</w:t>
        </w:r>
      </w:hyperlink>
    </w:p>
    <w:p w14:paraId="16C8FD14" w14:textId="376DBC88"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65" w:history="1">
        <w:r w:rsidR="006F25EE" w:rsidRPr="00C44AAB">
          <w:rPr>
            <w:rStyle w:val="Hyperlink"/>
            <w:noProof/>
          </w:rPr>
          <w:t>Tableau 4 qualité des apports lipidiques</w:t>
        </w:r>
      </w:hyperlink>
    </w:p>
    <w:p w14:paraId="37A1AC00" w14:textId="314F940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66" w:history="1">
        <w:r w:rsidR="006F25EE" w:rsidRPr="00C44AAB">
          <w:rPr>
            <w:rStyle w:val="Hyperlink"/>
            <w:noProof/>
          </w:rPr>
          <w:t>Tableau 5 répartition des glucides</w:t>
        </w:r>
      </w:hyperlink>
    </w:p>
    <w:p w14:paraId="50505DA2" w14:textId="5F5C6DB1"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67" w:history="1">
        <w:r w:rsidR="006F25EE" w:rsidRPr="00C44AAB">
          <w:rPr>
            <w:rStyle w:val="Hyperlink"/>
            <w:noProof/>
          </w:rPr>
          <w:t>Tableau 6 Tableau des aliments selon l’IG (faible/moyen / élevé)</w:t>
        </w:r>
      </w:hyperlink>
    </w:p>
    <w:p w14:paraId="3624DD54" w14:textId="40F25D02"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68" w:history="1">
        <w:r w:rsidR="006F25EE" w:rsidRPr="00C44AAB">
          <w:rPr>
            <w:rStyle w:val="Hyperlink"/>
            <w:noProof/>
          </w:rPr>
          <w:t>Tableau 7 Les insulines classées selon leur durée d’action</w:t>
        </w:r>
      </w:hyperlink>
    </w:p>
    <w:p w14:paraId="3F4BB250" w14:textId="3105F06B"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69" w:history="1">
        <w:r w:rsidR="006F25EE" w:rsidRPr="00C44AAB">
          <w:rPr>
            <w:rStyle w:val="Hyperlink"/>
            <w:noProof/>
          </w:rPr>
          <w:t>Tableau 8 Etudes ethnobotaniques dans certaines régions de l’Algérie (Benmansour_Larbaoui)</w:t>
        </w:r>
      </w:hyperlink>
    </w:p>
    <w:p w14:paraId="560475E3" w14:textId="2F02D6AB"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70" w:history="1">
        <w:r w:rsidR="006F25EE" w:rsidRPr="00C44AAB">
          <w:rPr>
            <w:rStyle w:val="Hyperlink"/>
            <w:noProof/>
          </w:rPr>
          <w:t>Tableau 9 Comparaison des Modes de Préparation en Phytothérapie</w:t>
        </w:r>
      </w:hyperlink>
    </w:p>
    <w:p w14:paraId="042B629B" w14:textId="57E9BA9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71" w:history="1">
        <w:r w:rsidR="006F25EE" w:rsidRPr="00C44AAB">
          <w:rPr>
            <w:rStyle w:val="Hyperlink"/>
            <w:noProof/>
          </w:rPr>
          <w:t>Tableau 10 Les voies d'administration</w:t>
        </w:r>
      </w:hyperlink>
    </w:p>
    <w:p w14:paraId="0F727F52" w14:textId="1A3A6974"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72" w:history="1">
        <w:r w:rsidR="006F25EE" w:rsidRPr="00C44AAB">
          <w:rPr>
            <w:rStyle w:val="Hyperlink"/>
            <w:noProof/>
          </w:rPr>
          <w:t>Tableau 11 les Plantes Médicales Utilisées contre le Diabète en Algérie (Laghouat, Nord et Sud)</w:t>
        </w:r>
      </w:hyperlink>
    </w:p>
    <w:p w14:paraId="368B2A4E" w14:textId="7CC4F7B8"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73" w:history="1">
        <w:r w:rsidR="006F25EE" w:rsidRPr="00C44AAB">
          <w:rPr>
            <w:rStyle w:val="Hyperlink"/>
            <w:noProof/>
          </w:rPr>
          <w:t>Tableau 12 Répartition des patients diabétiques selon le recours à la phytothérapie (N = 251)</w:t>
        </w:r>
      </w:hyperlink>
    </w:p>
    <w:p w14:paraId="13E2D10C" w14:textId="283D3881"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74" w:history="1">
        <w:r w:rsidR="006F25EE" w:rsidRPr="00C44AAB">
          <w:rPr>
            <w:rStyle w:val="Hyperlink"/>
            <w:noProof/>
          </w:rPr>
          <w:t>Tableau 13 Répartition des patients par tranches d'âge et selon l'usage de la phytothérapie</w:t>
        </w:r>
      </w:hyperlink>
    </w:p>
    <w:p w14:paraId="7F7A839C" w14:textId="4E0FE4D5"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75" w:history="1">
        <w:r w:rsidR="006F25EE" w:rsidRPr="00C44AAB">
          <w:rPr>
            <w:rStyle w:val="Hyperlink"/>
            <w:noProof/>
          </w:rPr>
          <w:t>Tableau 14 Répartition des patients selon le sexe et l'usage de la phytothérapie</w:t>
        </w:r>
      </w:hyperlink>
    </w:p>
    <w:p w14:paraId="1A17F81A" w14:textId="4008FAAA"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76" w:history="1">
        <w:r w:rsidR="006F25EE" w:rsidRPr="00C44AAB">
          <w:rPr>
            <w:rStyle w:val="Hyperlink"/>
            <w:noProof/>
          </w:rPr>
          <w:t>Tableau 15 Comparaison de l'état nutritionnel (IMC) selon l'usage de la phytothérapie (N = 251)</w:t>
        </w:r>
      </w:hyperlink>
    </w:p>
    <w:p w14:paraId="2495BDD0" w14:textId="15EC1129"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77" w:history="1">
        <w:r w:rsidR="006F25EE" w:rsidRPr="00C44AAB">
          <w:rPr>
            <w:rStyle w:val="Hyperlink"/>
            <w:noProof/>
          </w:rPr>
          <w:t>Tableau 16 Répartition du tour de taille selon le sexe et l’utilisation des plantes médicinales</w:t>
        </w:r>
      </w:hyperlink>
    </w:p>
    <w:p w14:paraId="1F9F892A" w14:textId="6F2B4E2B"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78" w:history="1">
        <w:r w:rsidR="006F25EE" w:rsidRPr="00C44AAB">
          <w:rPr>
            <w:rStyle w:val="Hyperlink"/>
            <w:noProof/>
          </w:rPr>
          <w:t>Tableau 17 Comparaison de l'ancienneté du diabète selon l'usage de la phytothérapie (N = 251)</w:t>
        </w:r>
      </w:hyperlink>
    </w:p>
    <w:p w14:paraId="465DD75D" w14:textId="436E4B4E"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79" w:history="1">
        <w:r w:rsidR="006F25EE" w:rsidRPr="00C44AAB">
          <w:rPr>
            <w:rStyle w:val="Hyperlink"/>
            <w:noProof/>
          </w:rPr>
          <w:t>Tableau 18 Répartition des patients selon le type de traitement utilisés (N = 251)</w:t>
        </w:r>
      </w:hyperlink>
    </w:p>
    <w:p w14:paraId="191BF317" w14:textId="6A8B9F5D"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80" w:history="1">
        <w:r w:rsidR="006F25EE" w:rsidRPr="00C44AAB">
          <w:rPr>
            <w:rStyle w:val="Hyperlink"/>
            <w:noProof/>
          </w:rPr>
          <w:t>Tableau 19 Répartition des patients selon le type de surveillance biologique (N = 251)</w:t>
        </w:r>
      </w:hyperlink>
    </w:p>
    <w:p w14:paraId="604966D6" w14:textId="4E170100"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81" w:history="1">
        <w:r w:rsidR="006F25EE" w:rsidRPr="00C44AAB">
          <w:rPr>
            <w:rStyle w:val="Hyperlink"/>
            <w:noProof/>
          </w:rPr>
          <w:t>Tableau 20 Répartition des patients diabétiques selon l 'HbA1C:</w:t>
        </w:r>
      </w:hyperlink>
    </w:p>
    <w:p w14:paraId="7AFB0365" w14:textId="607BF78E"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82" w:history="1">
        <w:r w:rsidR="006F25EE" w:rsidRPr="00C44AAB">
          <w:rPr>
            <w:rStyle w:val="Hyperlink"/>
            <w:noProof/>
          </w:rPr>
          <w:t>Tableau 21 Répartition de l’adhérence thérapeutique chez les utilisateurs de la phytothérapie</w:t>
        </w:r>
      </w:hyperlink>
    </w:p>
    <w:p w14:paraId="0ABE29DD" w14:textId="17A30D11"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83" w:history="1">
        <w:r w:rsidR="006F25EE" w:rsidRPr="00C44AAB">
          <w:rPr>
            <w:rStyle w:val="Hyperlink"/>
            <w:noProof/>
          </w:rPr>
          <w:t>Tableau 22 Répartition de l’adhérence thérapeutique chez les non utilisateurs</w:t>
        </w:r>
      </w:hyperlink>
    </w:p>
    <w:p w14:paraId="3C58B39D" w14:textId="54B0BB76"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84" w:history="1">
        <w:r w:rsidR="006F25EE" w:rsidRPr="00C44AAB">
          <w:rPr>
            <w:rStyle w:val="Hyperlink"/>
            <w:noProof/>
          </w:rPr>
          <w:t>Tableau 23 repartition des patients selon Les complications aigues</w:t>
        </w:r>
      </w:hyperlink>
    </w:p>
    <w:p w14:paraId="31EF6DF2" w14:textId="7C8E9D6C"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85" w:history="1">
        <w:r w:rsidR="006F25EE" w:rsidRPr="00C44AAB">
          <w:rPr>
            <w:rStyle w:val="Hyperlink"/>
            <w:noProof/>
          </w:rPr>
          <w:t>Tableau 24 repartition des patients selon Les complications chroniques</w:t>
        </w:r>
      </w:hyperlink>
    </w:p>
    <w:p w14:paraId="4959A392" w14:textId="7FDC51BA"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86" w:history="1">
        <w:r w:rsidR="006F25EE" w:rsidRPr="00C44AAB">
          <w:rPr>
            <w:rStyle w:val="Hyperlink"/>
            <w:noProof/>
          </w:rPr>
          <w:t>Tableau 25 Répartition des obstacles à l’utilisation de la phytothérapie chez les patients diabétiques non-utilisateurs</w:t>
        </w:r>
      </w:hyperlink>
    </w:p>
    <w:p w14:paraId="0EE4FCE5" w14:textId="05DA6E9D"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87" w:history="1">
        <w:r w:rsidR="006F25EE" w:rsidRPr="00C44AAB">
          <w:rPr>
            <w:rStyle w:val="Hyperlink"/>
            <w:noProof/>
          </w:rPr>
          <w:t>Tableau 26 Répartition des motifs d’utilisation de la phytothérapie chez les patients diabétiques</w:t>
        </w:r>
      </w:hyperlink>
    </w:p>
    <w:p w14:paraId="01C6A367" w14:textId="44CA0CB4"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88" w:history="1">
        <w:r w:rsidR="006F25EE" w:rsidRPr="00C44AAB">
          <w:rPr>
            <w:rStyle w:val="Hyperlink"/>
            <w:noProof/>
          </w:rPr>
          <w:t>Tableau 27 Répartition des patients  utilisateurs selon le nombre de plantes consommées</w:t>
        </w:r>
      </w:hyperlink>
    </w:p>
    <w:p w14:paraId="3C776176" w14:textId="0264A75C"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89" w:history="1">
        <w:r w:rsidR="006F25EE" w:rsidRPr="00C44AAB">
          <w:rPr>
            <w:rStyle w:val="Hyperlink"/>
            <w:noProof/>
          </w:rPr>
          <w:t>Tableau 28 : Répartition de la durée d’utilisation de la phytothérapie chez les patients diabétiques utilisateurs</w:t>
        </w:r>
      </w:hyperlink>
    </w:p>
    <w:p w14:paraId="4AE2CACE" w14:textId="2D73FE1E"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90" w:history="1">
        <w:r w:rsidR="006F25EE" w:rsidRPr="00C44AAB">
          <w:rPr>
            <w:rStyle w:val="Hyperlink"/>
            <w:noProof/>
          </w:rPr>
          <w:t>Tableau 29 répartition de la fréquence d’utilisation de la phytothérapie chez les patients diabétiques utilisateurs</w:t>
        </w:r>
      </w:hyperlink>
    </w:p>
    <w:p w14:paraId="798B10A2" w14:textId="53A0BE10"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91" w:history="1">
        <w:r w:rsidR="006F25EE" w:rsidRPr="00C44AAB">
          <w:rPr>
            <w:rStyle w:val="Hyperlink"/>
            <w:noProof/>
          </w:rPr>
          <w:t>Tableau 30 Répartition des sources d’approvisionnement en plantes médicinales chez les patients diabétiques utilisateurs</w:t>
        </w:r>
      </w:hyperlink>
    </w:p>
    <w:p w14:paraId="670A01D9" w14:textId="4A45AC2F"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92" w:history="1">
        <w:r w:rsidR="006F25EE" w:rsidRPr="00C44AAB">
          <w:rPr>
            <w:rStyle w:val="Hyperlink"/>
            <w:noProof/>
          </w:rPr>
          <w:t>Tableau 31 Répartition de la prise conjointe de la phytothérapie et du traitement antidiabétique conventionnel chez les patients utilisateurs</w:t>
        </w:r>
      </w:hyperlink>
    </w:p>
    <w:p w14:paraId="05F5CA5C" w14:textId="7BF72B66"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93" w:history="1">
        <w:r w:rsidR="006F25EE" w:rsidRPr="00C44AAB">
          <w:rPr>
            <w:rStyle w:val="Hyperlink"/>
            <w:noProof/>
          </w:rPr>
          <w:t>Tableau 32 Répartition des patients utilisateurs de la phytothérapie en fonction de  l’information du médecin traitant concernant cette utilisation</w:t>
        </w:r>
      </w:hyperlink>
    </w:p>
    <w:p w14:paraId="4160EDCF" w14:textId="0A09147D"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94" w:history="1">
        <w:r w:rsidR="006F25EE" w:rsidRPr="00C44AAB">
          <w:rPr>
            <w:rStyle w:val="Hyperlink"/>
            <w:noProof/>
          </w:rPr>
          <w:t>Tableau 33 Répartition des patients selon l'efficacité perçue de l'utilisation des plantes médicinales</w:t>
        </w:r>
      </w:hyperlink>
    </w:p>
    <w:p w14:paraId="3E8FF57E" w14:textId="21429B18"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95" w:history="1">
        <w:r w:rsidR="006F25EE" w:rsidRPr="00C44AAB">
          <w:rPr>
            <w:rStyle w:val="Hyperlink"/>
            <w:noProof/>
          </w:rPr>
          <w:t>Tableau 34 Répartition des patients par profession et usage de la phytothérapie (N = 251)</w:t>
        </w:r>
      </w:hyperlink>
    </w:p>
    <w:p w14:paraId="33C9ADB4" w14:textId="4E9A49F1"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96" w:history="1">
        <w:r w:rsidR="006F25EE" w:rsidRPr="00C44AAB">
          <w:rPr>
            <w:rStyle w:val="Hyperlink"/>
            <w:noProof/>
          </w:rPr>
          <w:t>Tableau 35 Répartition des patients par situation familiale et usage de la phytothérapie (N = 251)</w:t>
        </w:r>
      </w:hyperlink>
    </w:p>
    <w:p w14:paraId="5B199E71" w14:textId="56E57682"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97" w:history="1">
        <w:r w:rsidR="006F25EE" w:rsidRPr="00C44AAB">
          <w:rPr>
            <w:rStyle w:val="Hyperlink"/>
            <w:noProof/>
          </w:rPr>
          <w:t>Tableau 36 Répartition des patients par niveau socio-économique et usage de la phytothérapie (N = 251)</w:t>
        </w:r>
      </w:hyperlink>
    </w:p>
    <w:p w14:paraId="00E03CE8" w14:textId="6F353F0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98" w:history="1">
        <w:r w:rsidR="006F25EE" w:rsidRPr="00C44AAB">
          <w:rPr>
            <w:rStyle w:val="Hyperlink"/>
            <w:noProof/>
          </w:rPr>
          <w:t>Tableau 37 Répartition des patients par niveau d'instruction et usage de la phytothérapie (N = 251)</w:t>
        </w:r>
      </w:hyperlink>
    </w:p>
    <w:p w14:paraId="358D3A51" w14:textId="21809C35"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399" w:history="1">
        <w:r w:rsidR="006F25EE" w:rsidRPr="00C44AAB">
          <w:rPr>
            <w:rStyle w:val="Hyperlink"/>
            <w:noProof/>
          </w:rPr>
          <w:t>Tableau 38 Répartition des patients par zone de résidence et usage de la phytothérapie (N = 251)</w:t>
        </w:r>
      </w:hyperlink>
    </w:p>
    <w:p w14:paraId="06030B73" w14:textId="2C204E51"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00" w:history="1">
        <w:r w:rsidR="006F25EE" w:rsidRPr="00C44AAB">
          <w:rPr>
            <w:rStyle w:val="Hyperlink"/>
            <w:noProof/>
          </w:rPr>
          <w:t>Tableau 39 Comparaison de population d'étude selon le sexe :</w:t>
        </w:r>
      </w:hyperlink>
    </w:p>
    <w:p w14:paraId="3DDAE76F" w14:textId="5639B114"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01" w:history="1">
        <w:r w:rsidR="006F25EE" w:rsidRPr="00C44AAB">
          <w:rPr>
            <w:rStyle w:val="Hyperlink"/>
            <w:noProof/>
          </w:rPr>
          <w:t>Tableau 40 Comparaison de population d'étude selon l'àge</w:t>
        </w:r>
      </w:hyperlink>
    </w:p>
    <w:p w14:paraId="11ED710F" w14:textId="23D3AD8D"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02" w:history="1">
        <w:r w:rsidR="006F25EE" w:rsidRPr="00C44AAB">
          <w:rPr>
            <w:rStyle w:val="Hyperlink"/>
            <w:noProof/>
          </w:rPr>
          <w:t>Tableau 41 Comparaison de population d'étude selon l'IMC:</w:t>
        </w:r>
      </w:hyperlink>
    </w:p>
    <w:p w14:paraId="5D16F6DB" w14:textId="7AEBCE9F"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03" w:history="1">
        <w:r w:rsidR="006F25EE" w:rsidRPr="00C44AAB">
          <w:rPr>
            <w:rStyle w:val="Hyperlink"/>
            <w:noProof/>
          </w:rPr>
          <w:t>Tableau 42 Comparaison de population d'étude selon l'ancienneté de diabète :</w:t>
        </w:r>
      </w:hyperlink>
    </w:p>
    <w:p w14:paraId="5509286B" w14:textId="3A7881FB"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04" w:history="1">
        <w:r w:rsidR="006F25EE" w:rsidRPr="00C44AAB">
          <w:rPr>
            <w:rStyle w:val="Hyperlink"/>
            <w:noProof/>
          </w:rPr>
          <w:t>Tableau 43 Comparaison de population d'étude selon le traitement :</w:t>
        </w:r>
      </w:hyperlink>
    </w:p>
    <w:p w14:paraId="5B606A2F" w14:textId="1574C38F"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05" w:history="1">
        <w:r w:rsidR="006F25EE" w:rsidRPr="00C44AAB">
          <w:rPr>
            <w:rStyle w:val="Hyperlink"/>
            <w:noProof/>
          </w:rPr>
          <w:t>Tableau 44 Comparaison de population d'étude selon les résultats de l'HbA1c:</w:t>
        </w:r>
      </w:hyperlink>
    </w:p>
    <w:p w14:paraId="1CD67AB2" w14:textId="10DC6179"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06" w:history="1">
        <w:r w:rsidR="006F25EE" w:rsidRPr="00C44AAB">
          <w:rPr>
            <w:rStyle w:val="Hyperlink"/>
            <w:noProof/>
          </w:rPr>
          <w:t>Tableau 45 Comparaison de population d'étude selon les plantes utilisés ,parties et méthode de préparation :</w:t>
        </w:r>
      </w:hyperlink>
    </w:p>
    <w:p w14:paraId="6B2DCE89" w14:textId="5782EA48"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07" w:history="1">
        <w:r w:rsidR="006F25EE" w:rsidRPr="00C44AAB">
          <w:rPr>
            <w:rStyle w:val="Hyperlink"/>
            <w:noProof/>
          </w:rPr>
          <w:t>Tableau 46 : Comparaison de population d'étude selon le nombre des plantes utilisés:</w:t>
        </w:r>
      </w:hyperlink>
    </w:p>
    <w:p w14:paraId="57594FBC" w14:textId="68A66C60"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08" w:history="1">
        <w:r w:rsidR="006F25EE" w:rsidRPr="00C44AAB">
          <w:rPr>
            <w:rStyle w:val="Hyperlink"/>
            <w:noProof/>
          </w:rPr>
          <w:t>Tableau 47 Comparaison de population d'étude selon les motivants de l'utilisation:</w:t>
        </w:r>
      </w:hyperlink>
    </w:p>
    <w:p w14:paraId="1854C3C7" w14:textId="1CC605DC"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09" w:history="1">
        <w:r w:rsidR="006F25EE" w:rsidRPr="00C44AAB">
          <w:rPr>
            <w:rStyle w:val="Hyperlink"/>
            <w:noProof/>
          </w:rPr>
          <w:t>Tableau 48 Comparaison de population d'étude selon les obstacles à utilisé</w:t>
        </w:r>
      </w:hyperlink>
    </w:p>
    <w:p w14:paraId="06E77307" w14:textId="48DB08B9"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10" w:history="1">
        <w:r w:rsidR="006F25EE" w:rsidRPr="00C44AAB">
          <w:rPr>
            <w:rStyle w:val="Hyperlink"/>
            <w:noProof/>
          </w:rPr>
          <w:t>Tableau 49 Comparaison de population d'étude selon le source d'approvisionnement:</w:t>
        </w:r>
      </w:hyperlink>
    </w:p>
    <w:p w14:paraId="78347CD3" w14:textId="5FE6C860"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11" w:history="1">
        <w:r w:rsidR="006F25EE" w:rsidRPr="00C44AAB">
          <w:rPr>
            <w:rStyle w:val="Hyperlink"/>
            <w:noProof/>
          </w:rPr>
          <w:t>Tableau 50 Comparaison de population d'étude selon le prise conjoite avec le traitement  et déclaration au médecin  :</w:t>
        </w:r>
      </w:hyperlink>
    </w:p>
    <w:p w14:paraId="10A5AE14" w14:textId="65824A22"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12" w:history="1">
        <w:r w:rsidR="006F25EE" w:rsidRPr="00C44AAB">
          <w:rPr>
            <w:rStyle w:val="Hyperlink"/>
            <w:noProof/>
          </w:rPr>
          <w:t>Tableau 51 Comparaison de population d'étude selon l'effécacité:</w:t>
        </w:r>
      </w:hyperlink>
    </w:p>
    <w:p w14:paraId="3F13FFD2" w14:textId="365617BF"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13" w:history="1">
        <w:r w:rsidR="006F25EE" w:rsidRPr="00C44AAB">
          <w:rPr>
            <w:rStyle w:val="Hyperlink"/>
            <w:noProof/>
          </w:rPr>
          <w:t>Tableau 52 Comparaison de population d'étude selon la profession:</w:t>
        </w:r>
      </w:hyperlink>
    </w:p>
    <w:p w14:paraId="7D49EADC" w14:textId="02594AA0"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14" w:history="1">
        <w:r w:rsidR="006F25EE" w:rsidRPr="00C44AAB">
          <w:rPr>
            <w:rStyle w:val="Hyperlink"/>
            <w:noProof/>
          </w:rPr>
          <w:t>Tableau 53 Comparaison de population d'étude selon la zone de résidence :</w:t>
        </w:r>
      </w:hyperlink>
    </w:p>
    <w:p w14:paraId="17C3F661" w14:textId="64184AA7"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15" w:history="1">
        <w:r w:rsidR="006F25EE" w:rsidRPr="00C44AAB">
          <w:rPr>
            <w:rStyle w:val="Hyperlink"/>
            <w:noProof/>
          </w:rPr>
          <w:t>Tableau 54 Comparaison de population d'étude selon le niveau d'instruction:</w:t>
        </w:r>
      </w:hyperlink>
    </w:p>
    <w:p w14:paraId="53CFB5D6" w14:textId="52C2A7CE" w:rsidR="006F25EE" w:rsidRDefault="00D20671">
      <w:pPr>
        <w:pStyle w:val="TableofFigures"/>
        <w:tabs>
          <w:tab w:val="right" w:leader="dot" w:pos="9062"/>
        </w:tabs>
        <w:rPr>
          <w:rFonts w:asciiTheme="minorHAnsi" w:eastAsiaTheme="minorEastAsia" w:hAnsiTheme="minorHAnsi"/>
          <w:noProof/>
          <w:sz w:val="22"/>
          <w:lang w:val="fr-FR" w:eastAsia="fr-FR"/>
        </w:rPr>
      </w:pPr>
      <w:hyperlink w:anchor="_Toc229617416" w:history="1">
        <w:r w:rsidR="006F25EE" w:rsidRPr="00C44AAB">
          <w:rPr>
            <w:rStyle w:val="Hyperlink"/>
            <w:noProof/>
          </w:rPr>
          <w:t>Tableau 55 Comparaison de population d'étude selon le niveau socio-économique :</w:t>
        </w:r>
      </w:hyperlink>
    </w:p>
    <w:p w14:paraId="67ECC5B6" w14:textId="62FB48F5" w:rsidR="0086407A" w:rsidRDefault="006F25EE">
      <w:pPr>
        <w:rPr>
          <w:rFonts w:eastAsiaTheme="majorEastAsia" w:cstheme="majorBidi"/>
          <w:b/>
          <w:bCs/>
          <w:color w:val="1F4E79" w:themeColor="accent1" w:themeShade="80"/>
          <w:sz w:val="32"/>
          <w:szCs w:val="28"/>
          <w:lang w:val="fr-FR"/>
        </w:rPr>
      </w:pPr>
      <w:r>
        <w:rPr>
          <w:lang w:val="fr-FR"/>
        </w:rPr>
        <w:fldChar w:fldCharType="end"/>
      </w:r>
      <w:r w:rsidR="008920C8" w:rsidRPr="00CB543A">
        <w:rPr>
          <w:lang w:val="fr-FR"/>
        </w:rPr>
        <w:br w:type="page"/>
      </w:r>
    </w:p>
    <w:p w14:paraId="395BA04B" w14:textId="58BA6B57" w:rsidR="0086407A" w:rsidRDefault="0086407A" w:rsidP="0086407A">
      <w:pPr>
        <w:pStyle w:val="Heading1"/>
      </w:pPr>
      <w:bookmarkStart w:id="11" w:name="_Toc229618757"/>
      <w:r>
        <w:lastRenderedPageBreak/>
        <w:t>T</w:t>
      </w:r>
      <w:r w:rsidRPr="0086407A">
        <w:t>able des matières</w:t>
      </w:r>
      <w:bookmarkEnd w:id="11"/>
    </w:p>
    <w:p w14:paraId="69D0233A" w14:textId="47EDE093" w:rsidR="006F25EE" w:rsidRDefault="006F25EE" w:rsidP="006F25EE">
      <w:pPr>
        <w:rPr>
          <w:lang w:val="fr-FR"/>
        </w:rPr>
      </w:pPr>
    </w:p>
    <w:p w14:paraId="13EAF8F1" w14:textId="3701E3F6" w:rsidR="00E2496A" w:rsidRDefault="008758B6">
      <w:pPr>
        <w:pStyle w:val="TOC1"/>
        <w:tabs>
          <w:tab w:val="right" w:leader="dot" w:pos="9062"/>
        </w:tabs>
        <w:rPr>
          <w:rFonts w:asciiTheme="minorHAnsi" w:eastAsiaTheme="minorEastAsia" w:hAnsiTheme="minorHAnsi"/>
          <w:noProof/>
          <w:sz w:val="22"/>
          <w:lang w:eastAsia="fr-FR"/>
        </w:rPr>
      </w:pPr>
      <w:r>
        <w:fldChar w:fldCharType="begin"/>
      </w:r>
      <w:r>
        <w:instrText xml:space="preserve"> TOC \o "1-2" \h \z \u </w:instrText>
      </w:r>
      <w:r>
        <w:fldChar w:fldCharType="separate"/>
      </w:r>
      <w:hyperlink w:anchor="_Toc229618747" w:history="1">
        <w:r w:rsidR="00E2496A" w:rsidRPr="00A52800">
          <w:rPr>
            <w:rStyle w:val="Hyperlink"/>
            <w:noProof/>
            <w:lang w:eastAsia="fr-FR"/>
          </w:rPr>
          <w:t>Page de garde</w:t>
        </w:r>
        <w:r w:rsidR="00E2496A">
          <w:rPr>
            <w:noProof/>
            <w:webHidden/>
          </w:rPr>
          <w:tab/>
        </w:r>
        <w:r w:rsidR="00E2496A">
          <w:rPr>
            <w:noProof/>
            <w:webHidden/>
          </w:rPr>
          <w:fldChar w:fldCharType="begin"/>
        </w:r>
        <w:r w:rsidR="00E2496A">
          <w:rPr>
            <w:noProof/>
            <w:webHidden/>
          </w:rPr>
          <w:instrText xml:space="preserve"> PAGEREF _Toc229618747 \h </w:instrText>
        </w:r>
        <w:r w:rsidR="00E2496A">
          <w:rPr>
            <w:noProof/>
            <w:webHidden/>
          </w:rPr>
        </w:r>
        <w:r w:rsidR="00E2496A">
          <w:rPr>
            <w:noProof/>
            <w:webHidden/>
          </w:rPr>
          <w:fldChar w:fldCharType="separate"/>
        </w:r>
        <w:r w:rsidR="00983108">
          <w:rPr>
            <w:noProof/>
            <w:webHidden/>
          </w:rPr>
          <w:t>I</w:t>
        </w:r>
        <w:r w:rsidR="00E2496A">
          <w:rPr>
            <w:noProof/>
            <w:webHidden/>
          </w:rPr>
          <w:fldChar w:fldCharType="end"/>
        </w:r>
      </w:hyperlink>
    </w:p>
    <w:p w14:paraId="385CE43B" w14:textId="2EB97A45" w:rsidR="00E2496A" w:rsidRDefault="00D20671">
      <w:pPr>
        <w:pStyle w:val="TOC1"/>
        <w:tabs>
          <w:tab w:val="right" w:leader="dot" w:pos="9062"/>
        </w:tabs>
        <w:rPr>
          <w:rFonts w:asciiTheme="minorHAnsi" w:eastAsiaTheme="minorEastAsia" w:hAnsiTheme="minorHAnsi"/>
          <w:noProof/>
          <w:sz w:val="22"/>
          <w:lang w:eastAsia="fr-FR"/>
        </w:rPr>
      </w:pPr>
      <w:hyperlink w:anchor="_Toc229618748" w:history="1">
        <w:r w:rsidR="00E2496A" w:rsidRPr="00A52800">
          <w:rPr>
            <w:rStyle w:val="Hyperlink"/>
            <w:rFonts w:eastAsia="Times New Roman"/>
            <w:b/>
            <w:bCs/>
            <w:i/>
            <w:iCs/>
            <w:noProof/>
            <w:lang w:eastAsia="fr-FR"/>
          </w:rPr>
          <w:t>Remerciements</w:t>
        </w:r>
        <w:r w:rsidR="00E2496A">
          <w:rPr>
            <w:noProof/>
            <w:webHidden/>
          </w:rPr>
          <w:tab/>
        </w:r>
        <w:r w:rsidR="00E2496A">
          <w:rPr>
            <w:noProof/>
            <w:webHidden/>
          </w:rPr>
          <w:fldChar w:fldCharType="begin"/>
        </w:r>
        <w:r w:rsidR="00E2496A">
          <w:rPr>
            <w:noProof/>
            <w:webHidden/>
          </w:rPr>
          <w:instrText xml:space="preserve"> PAGEREF _Toc229618748 \h </w:instrText>
        </w:r>
        <w:r w:rsidR="00E2496A">
          <w:rPr>
            <w:noProof/>
            <w:webHidden/>
          </w:rPr>
        </w:r>
        <w:r w:rsidR="00E2496A">
          <w:rPr>
            <w:noProof/>
            <w:webHidden/>
          </w:rPr>
          <w:fldChar w:fldCharType="separate"/>
        </w:r>
        <w:r w:rsidR="00983108">
          <w:rPr>
            <w:noProof/>
            <w:webHidden/>
          </w:rPr>
          <w:t>II</w:t>
        </w:r>
        <w:r w:rsidR="00E2496A">
          <w:rPr>
            <w:noProof/>
            <w:webHidden/>
          </w:rPr>
          <w:fldChar w:fldCharType="end"/>
        </w:r>
      </w:hyperlink>
    </w:p>
    <w:p w14:paraId="5EAC8B7D" w14:textId="05A0304A" w:rsidR="00E2496A" w:rsidRDefault="00D20671">
      <w:pPr>
        <w:pStyle w:val="TOC1"/>
        <w:tabs>
          <w:tab w:val="right" w:leader="dot" w:pos="9062"/>
        </w:tabs>
        <w:rPr>
          <w:rFonts w:asciiTheme="minorHAnsi" w:eastAsiaTheme="minorEastAsia" w:hAnsiTheme="minorHAnsi"/>
          <w:noProof/>
          <w:sz w:val="22"/>
          <w:lang w:eastAsia="fr-FR"/>
        </w:rPr>
      </w:pPr>
      <w:hyperlink w:anchor="_Toc229618749" w:history="1">
        <w:r w:rsidR="00E2496A" w:rsidRPr="00A52800">
          <w:rPr>
            <w:rStyle w:val="Hyperlink"/>
            <w:rFonts w:ascii="Brush Script MT" w:eastAsia="Calibri" w:hAnsi="Brush Script MT" w:cs="Arial"/>
            <w:noProof/>
          </w:rPr>
          <w:t>Dédicace</w:t>
        </w:r>
        <w:r w:rsidR="00E2496A">
          <w:rPr>
            <w:noProof/>
            <w:webHidden/>
          </w:rPr>
          <w:tab/>
        </w:r>
        <w:r w:rsidR="00E2496A">
          <w:rPr>
            <w:noProof/>
            <w:webHidden/>
          </w:rPr>
          <w:fldChar w:fldCharType="begin"/>
        </w:r>
        <w:r w:rsidR="00E2496A">
          <w:rPr>
            <w:noProof/>
            <w:webHidden/>
          </w:rPr>
          <w:instrText xml:space="preserve"> PAGEREF _Toc229618749 \h </w:instrText>
        </w:r>
        <w:r w:rsidR="00E2496A">
          <w:rPr>
            <w:noProof/>
            <w:webHidden/>
          </w:rPr>
        </w:r>
        <w:r w:rsidR="00E2496A">
          <w:rPr>
            <w:noProof/>
            <w:webHidden/>
          </w:rPr>
          <w:fldChar w:fldCharType="separate"/>
        </w:r>
        <w:r w:rsidR="00983108">
          <w:rPr>
            <w:noProof/>
            <w:webHidden/>
          </w:rPr>
          <w:t>III</w:t>
        </w:r>
        <w:r w:rsidR="00E2496A">
          <w:rPr>
            <w:noProof/>
            <w:webHidden/>
          </w:rPr>
          <w:fldChar w:fldCharType="end"/>
        </w:r>
      </w:hyperlink>
    </w:p>
    <w:p w14:paraId="1C70355F" w14:textId="780AB770" w:rsidR="00E2496A" w:rsidRDefault="00D20671">
      <w:pPr>
        <w:pStyle w:val="TOC1"/>
        <w:tabs>
          <w:tab w:val="right" w:leader="dot" w:pos="9062"/>
        </w:tabs>
        <w:rPr>
          <w:rFonts w:asciiTheme="minorHAnsi" w:eastAsiaTheme="minorEastAsia" w:hAnsiTheme="minorHAnsi"/>
          <w:noProof/>
          <w:sz w:val="22"/>
          <w:lang w:eastAsia="fr-FR"/>
        </w:rPr>
      </w:pPr>
      <w:hyperlink w:anchor="_Toc229618750" w:history="1">
        <w:r w:rsidR="00E2496A" w:rsidRPr="00A52800">
          <w:rPr>
            <w:rStyle w:val="Hyperlink"/>
            <w:rFonts w:ascii="Brush Script MT" w:eastAsia="Calibri" w:hAnsi="Brush Script MT" w:cs="Arial"/>
            <w:noProof/>
          </w:rPr>
          <w:t>Dédicace</w:t>
        </w:r>
        <w:r w:rsidR="00E2496A">
          <w:rPr>
            <w:noProof/>
            <w:webHidden/>
          </w:rPr>
          <w:tab/>
        </w:r>
        <w:r w:rsidR="00E2496A">
          <w:rPr>
            <w:noProof/>
            <w:webHidden/>
          </w:rPr>
          <w:fldChar w:fldCharType="begin"/>
        </w:r>
        <w:r w:rsidR="00E2496A">
          <w:rPr>
            <w:noProof/>
            <w:webHidden/>
          </w:rPr>
          <w:instrText xml:space="preserve"> PAGEREF _Toc229618750 \h </w:instrText>
        </w:r>
        <w:r w:rsidR="00E2496A">
          <w:rPr>
            <w:noProof/>
            <w:webHidden/>
          </w:rPr>
        </w:r>
        <w:r w:rsidR="00E2496A">
          <w:rPr>
            <w:noProof/>
            <w:webHidden/>
          </w:rPr>
          <w:fldChar w:fldCharType="separate"/>
        </w:r>
        <w:r w:rsidR="00983108">
          <w:rPr>
            <w:noProof/>
            <w:webHidden/>
          </w:rPr>
          <w:t>IV</w:t>
        </w:r>
        <w:r w:rsidR="00E2496A">
          <w:rPr>
            <w:noProof/>
            <w:webHidden/>
          </w:rPr>
          <w:fldChar w:fldCharType="end"/>
        </w:r>
      </w:hyperlink>
    </w:p>
    <w:p w14:paraId="17BC33C3" w14:textId="10D3EEFF" w:rsidR="00E2496A" w:rsidRDefault="00D20671">
      <w:pPr>
        <w:pStyle w:val="TOC1"/>
        <w:tabs>
          <w:tab w:val="right" w:leader="dot" w:pos="9062"/>
        </w:tabs>
        <w:rPr>
          <w:rFonts w:asciiTheme="minorHAnsi" w:eastAsiaTheme="minorEastAsia" w:hAnsiTheme="minorHAnsi"/>
          <w:noProof/>
          <w:sz w:val="22"/>
          <w:lang w:eastAsia="fr-FR"/>
        </w:rPr>
      </w:pPr>
      <w:hyperlink w:anchor="_Toc229618751" w:history="1">
        <w:r w:rsidR="00E2496A" w:rsidRPr="00A52800">
          <w:rPr>
            <w:rStyle w:val="Hyperlink"/>
            <w:noProof/>
            <w:lang w:eastAsia="fr-FR"/>
          </w:rPr>
          <w:t>Résumé</w:t>
        </w:r>
        <w:r w:rsidR="00E2496A">
          <w:rPr>
            <w:noProof/>
            <w:webHidden/>
          </w:rPr>
          <w:tab/>
        </w:r>
        <w:r w:rsidR="00E2496A">
          <w:rPr>
            <w:noProof/>
            <w:webHidden/>
          </w:rPr>
          <w:fldChar w:fldCharType="begin"/>
        </w:r>
        <w:r w:rsidR="00E2496A">
          <w:rPr>
            <w:noProof/>
            <w:webHidden/>
          </w:rPr>
          <w:instrText xml:space="preserve"> PAGEREF _Toc229618751 \h </w:instrText>
        </w:r>
        <w:r w:rsidR="00E2496A">
          <w:rPr>
            <w:noProof/>
            <w:webHidden/>
          </w:rPr>
        </w:r>
        <w:r w:rsidR="00E2496A">
          <w:rPr>
            <w:noProof/>
            <w:webHidden/>
          </w:rPr>
          <w:fldChar w:fldCharType="separate"/>
        </w:r>
        <w:r w:rsidR="00983108">
          <w:rPr>
            <w:noProof/>
            <w:webHidden/>
          </w:rPr>
          <w:t>V</w:t>
        </w:r>
        <w:r w:rsidR="00E2496A">
          <w:rPr>
            <w:noProof/>
            <w:webHidden/>
          </w:rPr>
          <w:fldChar w:fldCharType="end"/>
        </w:r>
      </w:hyperlink>
    </w:p>
    <w:p w14:paraId="2A1A86CC" w14:textId="4A14ADF5" w:rsidR="00E2496A" w:rsidRDefault="00D20671">
      <w:pPr>
        <w:pStyle w:val="TOC1"/>
        <w:tabs>
          <w:tab w:val="right" w:leader="dot" w:pos="9062"/>
        </w:tabs>
        <w:rPr>
          <w:rFonts w:asciiTheme="minorHAnsi" w:eastAsiaTheme="minorEastAsia" w:hAnsiTheme="minorHAnsi"/>
          <w:noProof/>
          <w:sz w:val="22"/>
          <w:lang w:eastAsia="fr-FR"/>
        </w:rPr>
      </w:pPr>
      <w:hyperlink w:anchor="_Toc229618752" w:history="1">
        <w:r w:rsidR="00E2496A" w:rsidRPr="00A52800">
          <w:rPr>
            <w:rStyle w:val="Hyperlink"/>
            <w:noProof/>
            <w:lang w:val="en-US" w:eastAsia="fr-FR"/>
          </w:rPr>
          <w:t>Abstract</w:t>
        </w:r>
        <w:r w:rsidR="00E2496A">
          <w:rPr>
            <w:noProof/>
            <w:webHidden/>
          </w:rPr>
          <w:tab/>
        </w:r>
        <w:r w:rsidR="00E2496A">
          <w:rPr>
            <w:noProof/>
            <w:webHidden/>
          </w:rPr>
          <w:fldChar w:fldCharType="begin"/>
        </w:r>
        <w:r w:rsidR="00E2496A">
          <w:rPr>
            <w:noProof/>
            <w:webHidden/>
          </w:rPr>
          <w:instrText xml:space="preserve"> PAGEREF _Toc229618752 \h </w:instrText>
        </w:r>
        <w:r w:rsidR="00E2496A">
          <w:rPr>
            <w:noProof/>
            <w:webHidden/>
          </w:rPr>
        </w:r>
        <w:r w:rsidR="00E2496A">
          <w:rPr>
            <w:noProof/>
            <w:webHidden/>
          </w:rPr>
          <w:fldChar w:fldCharType="separate"/>
        </w:r>
        <w:r w:rsidR="00983108">
          <w:rPr>
            <w:noProof/>
            <w:webHidden/>
          </w:rPr>
          <w:t>VI</w:t>
        </w:r>
        <w:r w:rsidR="00E2496A">
          <w:rPr>
            <w:noProof/>
            <w:webHidden/>
          </w:rPr>
          <w:fldChar w:fldCharType="end"/>
        </w:r>
      </w:hyperlink>
    </w:p>
    <w:p w14:paraId="56B21A79" w14:textId="591BAE49" w:rsidR="00E2496A" w:rsidRDefault="00D20671">
      <w:pPr>
        <w:pStyle w:val="TOC1"/>
        <w:tabs>
          <w:tab w:val="right" w:leader="dot" w:pos="9062"/>
        </w:tabs>
        <w:rPr>
          <w:rFonts w:asciiTheme="minorHAnsi" w:eastAsiaTheme="minorEastAsia" w:hAnsiTheme="minorHAnsi"/>
          <w:noProof/>
          <w:sz w:val="22"/>
          <w:lang w:eastAsia="fr-FR"/>
        </w:rPr>
      </w:pPr>
      <w:hyperlink w:anchor="_Toc229618753" w:history="1">
        <w:r w:rsidR="00E2496A" w:rsidRPr="00A52800">
          <w:rPr>
            <w:rStyle w:val="Hyperlink"/>
            <w:noProof/>
            <w:rtl/>
            <w:lang w:eastAsia="fr-FR"/>
          </w:rPr>
          <w:t>الملخص</w:t>
        </w:r>
        <w:r w:rsidR="00E2496A">
          <w:rPr>
            <w:noProof/>
            <w:webHidden/>
          </w:rPr>
          <w:tab/>
        </w:r>
        <w:r w:rsidR="00E2496A">
          <w:rPr>
            <w:noProof/>
            <w:webHidden/>
          </w:rPr>
          <w:fldChar w:fldCharType="begin"/>
        </w:r>
        <w:r w:rsidR="00E2496A">
          <w:rPr>
            <w:noProof/>
            <w:webHidden/>
          </w:rPr>
          <w:instrText xml:space="preserve"> PAGEREF _Toc229618753 \h </w:instrText>
        </w:r>
        <w:r w:rsidR="00E2496A">
          <w:rPr>
            <w:noProof/>
            <w:webHidden/>
          </w:rPr>
        </w:r>
        <w:r w:rsidR="00E2496A">
          <w:rPr>
            <w:noProof/>
            <w:webHidden/>
          </w:rPr>
          <w:fldChar w:fldCharType="separate"/>
        </w:r>
        <w:r w:rsidR="00983108">
          <w:rPr>
            <w:noProof/>
            <w:webHidden/>
          </w:rPr>
          <w:t>VII</w:t>
        </w:r>
        <w:r w:rsidR="00E2496A">
          <w:rPr>
            <w:noProof/>
            <w:webHidden/>
          </w:rPr>
          <w:fldChar w:fldCharType="end"/>
        </w:r>
      </w:hyperlink>
    </w:p>
    <w:p w14:paraId="09AE700C" w14:textId="349EA791" w:rsidR="00E2496A" w:rsidRDefault="00D20671">
      <w:pPr>
        <w:pStyle w:val="TOC1"/>
        <w:tabs>
          <w:tab w:val="right" w:leader="dot" w:pos="9062"/>
        </w:tabs>
        <w:rPr>
          <w:rFonts w:asciiTheme="minorHAnsi" w:eastAsiaTheme="minorEastAsia" w:hAnsiTheme="minorHAnsi"/>
          <w:noProof/>
          <w:sz w:val="22"/>
          <w:lang w:eastAsia="fr-FR"/>
        </w:rPr>
      </w:pPr>
      <w:hyperlink w:anchor="_Toc229618754" w:history="1">
        <w:r w:rsidR="00E2496A" w:rsidRPr="00A52800">
          <w:rPr>
            <w:rStyle w:val="Hyperlink"/>
            <w:noProof/>
          </w:rPr>
          <w:t>Liste</w:t>
        </w:r>
        <w:r w:rsidR="00E2496A" w:rsidRPr="00A52800">
          <w:rPr>
            <w:rStyle w:val="Hyperlink"/>
            <w:rFonts w:eastAsia="Times New Roman"/>
            <w:noProof/>
            <w:lang w:eastAsia="fr-FR"/>
          </w:rPr>
          <w:t xml:space="preserve"> des abréviations :</w:t>
        </w:r>
        <w:r w:rsidR="00E2496A">
          <w:rPr>
            <w:noProof/>
            <w:webHidden/>
          </w:rPr>
          <w:tab/>
        </w:r>
        <w:r w:rsidR="00E2496A">
          <w:rPr>
            <w:noProof/>
            <w:webHidden/>
          </w:rPr>
          <w:fldChar w:fldCharType="begin"/>
        </w:r>
        <w:r w:rsidR="00E2496A">
          <w:rPr>
            <w:noProof/>
            <w:webHidden/>
          </w:rPr>
          <w:instrText xml:space="preserve"> PAGEREF _Toc229618754 \h </w:instrText>
        </w:r>
        <w:r w:rsidR="00E2496A">
          <w:rPr>
            <w:noProof/>
            <w:webHidden/>
          </w:rPr>
        </w:r>
        <w:r w:rsidR="00E2496A">
          <w:rPr>
            <w:noProof/>
            <w:webHidden/>
          </w:rPr>
          <w:fldChar w:fldCharType="separate"/>
        </w:r>
        <w:r w:rsidR="00983108">
          <w:rPr>
            <w:noProof/>
            <w:webHidden/>
          </w:rPr>
          <w:t>VIII</w:t>
        </w:r>
        <w:r w:rsidR="00E2496A">
          <w:rPr>
            <w:noProof/>
            <w:webHidden/>
          </w:rPr>
          <w:fldChar w:fldCharType="end"/>
        </w:r>
      </w:hyperlink>
    </w:p>
    <w:p w14:paraId="040D38E8" w14:textId="222E6C04" w:rsidR="00E2496A" w:rsidRDefault="00D20671">
      <w:pPr>
        <w:pStyle w:val="TOC1"/>
        <w:tabs>
          <w:tab w:val="right" w:leader="dot" w:pos="9062"/>
        </w:tabs>
        <w:rPr>
          <w:rFonts w:asciiTheme="minorHAnsi" w:eastAsiaTheme="minorEastAsia" w:hAnsiTheme="minorHAnsi"/>
          <w:noProof/>
          <w:sz w:val="22"/>
          <w:lang w:eastAsia="fr-FR"/>
        </w:rPr>
      </w:pPr>
      <w:hyperlink w:anchor="_Toc229618755" w:history="1">
        <w:r w:rsidR="00E2496A" w:rsidRPr="00A52800">
          <w:rPr>
            <w:rStyle w:val="Hyperlink"/>
            <w:noProof/>
          </w:rPr>
          <w:t>Liste des figures</w:t>
        </w:r>
        <w:r w:rsidR="00E2496A">
          <w:rPr>
            <w:noProof/>
            <w:webHidden/>
          </w:rPr>
          <w:tab/>
        </w:r>
        <w:r w:rsidR="00E2496A">
          <w:rPr>
            <w:noProof/>
            <w:webHidden/>
          </w:rPr>
          <w:fldChar w:fldCharType="begin"/>
        </w:r>
        <w:r w:rsidR="00E2496A">
          <w:rPr>
            <w:noProof/>
            <w:webHidden/>
          </w:rPr>
          <w:instrText xml:space="preserve"> PAGEREF _Toc229618755 \h </w:instrText>
        </w:r>
        <w:r w:rsidR="00E2496A">
          <w:rPr>
            <w:noProof/>
            <w:webHidden/>
          </w:rPr>
        </w:r>
        <w:r w:rsidR="00E2496A">
          <w:rPr>
            <w:noProof/>
            <w:webHidden/>
          </w:rPr>
          <w:fldChar w:fldCharType="separate"/>
        </w:r>
        <w:r w:rsidR="00983108">
          <w:rPr>
            <w:noProof/>
            <w:webHidden/>
          </w:rPr>
          <w:t>X</w:t>
        </w:r>
        <w:r w:rsidR="00E2496A">
          <w:rPr>
            <w:noProof/>
            <w:webHidden/>
          </w:rPr>
          <w:fldChar w:fldCharType="end"/>
        </w:r>
      </w:hyperlink>
    </w:p>
    <w:p w14:paraId="0A4CC6C5" w14:textId="1CEB510D" w:rsidR="00E2496A" w:rsidRDefault="00D20671">
      <w:pPr>
        <w:pStyle w:val="TOC1"/>
        <w:tabs>
          <w:tab w:val="right" w:leader="dot" w:pos="9062"/>
        </w:tabs>
        <w:rPr>
          <w:rFonts w:asciiTheme="minorHAnsi" w:eastAsiaTheme="minorEastAsia" w:hAnsiTheme="minorHAnsi"/>
          <w:noProof/>
          <w:sz w:val="22"/>
          <w:lang w:eastAsia="fr-FR"/>
        </w:rPr>
      </w:pPr>
      <w:hyperlink w:anchor="_Toc229618756" w:history="1">
        <w:r w:rsidR="00E2496A" w:rsidRPr="00A52800">
          <w:rPr>
            <w:rStyle w:val="Hyperlink"/>
            <w:noProof/>
          </w:rPr>
          <w:t>Liste des tablaux</w:t>
        </w:r>
        <w:r w:rsidR="00E2496A">
          <w:rPr>
            <w:noProof/>
            <w:webHidden/>
          </w:rPr>
          <w:tab/>
        </w:r>
        <w:r w:rsidR="00E2496A">
          <w:rPr>
            <w:noProof/>
            <w:webHidden/>
          </w:rPr>
          <w:fldChar w:fldCharType="begin"/>
        </w:r>
        <w:r w:rsidR="00E2496A">
          <w:rPr>
            <w:noProof/>
            <w:webHidden/>
          </w:rPr>
          <w:instrText xml:space="preserve"> PAGEREF _Toc229618756 \h </w:instrText>
        </w:r>
        <w:r w:rsidR="00E2496A">
          <w:rPr>
            <w:noProof/>
            <w:webHidden/>
          </w:rPr>
        </w:r>
        <w:r w:rsidR="00E2496A">
          <w:rPr>
            <w:noProof/>
            <w:webHidden/>
          </w:rPr>
          <w:fldChar w:fldCharType="separate"/>
        </w:r>
        <w:r w:rsidR="00983108">
          <w:rPr>
            <w:noProof/>
            <w:webHidden/>
          </w:rPr>
          <w:t>XII</w:t>
        </w:r>
        <w:r w:rsidR="00E2496A">
          <w:rPr>
            <w:noProof/>
            <w:webHidden/>
          </w:rPr>
          <w:fldChar w:fldCharType="end"/>
        </w:r>
      </w:hyperlink>
    </w:p>
    <w:p w14:paraId="3E7226AB" w14:textId="7DCD9856" w:rsidR="00E2496A" w:rsidRDefault="00D20671">
      <w:pPr>
        <w:pStyle w:val="TOC1"/>
        <w:tabs>
          <w:tab w:val="right" w:leader="dot" w:pos="9062"/>
        </w:tabs>
        <w:rPr>
          <w:rFonts w:asciiTheme="minorHAnsi" w:eastAsiaTheme="minorEastAsia" w:hAnsiTheme="minorHAnsi"/>
          <w:noProof/>
          <w:sz w:val="22"/>
          <w:lang w:eastAsia="fr-FR"/>
        </w:rPr>
      </w:pPr>
      <w:hyperlink w:anchor="_Toc229618757" w:history="1">
        <w:r w:rsidR="00E2496A" w:rsidRPr="00A52800">
          <w:rPr>
            <w:rStyle w:val="Hyperlink"/>
            <w:noProof/>
          </w:rPr>
          <w:t>Table des matières</w:t>
        </w:r>
        <w:r w:rsidR="00E2496A">
          <w:rPr>
            <w:noProof/>
            <w:webHidden/>
          </w:rPr>
          <w:tab/>
        </w:r>
        <w:r w:rsidR="00E2496A">
          <w:rPr>
            <w:noProof/>
            <w:webHidden/>
          </w:rPr>
          <w:fldChar w:fldCharType="begin"/>
        </w:r>
        <w:r w:rsidR="00E2496A">
          <w:rPr>
            <w:noProof/>
            <w:webHidden/>
          </w:rPr>
          <w:instrText xml:space="preserve"> PAGEREF _Toc229618757 \h </w:instrText>
        </w:r>
        <w:r w:rsidR="00E2496A">
          <w:rPr>
            <w:noProof/>
            <w:webHidden/>
          </w:rPr>
        </w:r>
        <w:r w:rsidR="00E2496A">
          <w:rPr>
            <w:noProof/>
            <w:webHidden/>
          </w:rPr>
          <w:fldChar w:fldCharType="separate"/>
        </w:r>
        <w:r w:rsidR="00983108">
          <w:rPr>
            <w:noProof/>
            <w:webHidden/>
          </w:rPr>
          <w:t>XIV</w:t>
        </w:r>
        <w:r w:rsidR="00E2496A">
          <w:rPr>
            <w:noProof/>
            <w:webHidden/>
          </w:rPr>
          <w:fldChar w:fldCharType="end"/>
        </w:r>
      </w:hyperlink>
    </w:p>
    <w:p w14:paraId="3C424351" w14:textId="4500BD89" w:rsidR="00E2496A" w:rsidRDefault="00D20671">
      <w:pPr>
        <w:pStyle w:val="TOC1"/>
        <w:tabs>
          <w:tab w:val="right" w:leader="dot" w:pos="9062"/>
        </w:tabs>
        <w:rPr>
          <w:rFonts w:asciiTheme="minorHAnsi" w:eastAsiaTheme="minorEastAsia" w:hAnsiTheme="minorHAnsi"/>
          <w:noProof/>
          <w:sz w:val="22"/>
          <w:lang w:eastAsia="fr-FR"/>
        </w:rPr>
      </w:pPr>
      <w:hyperlink r:id="rId9" w:anchor="_Toc229618758" w:history="1">
        <w:r w:rsidR="00E2496A" w:rsidRPr="00A52800">
          <w:rPr>
            <w:rStyle w:val="Hyperlink"/>
            <w:rFonts w:cstheme="majorBidi"/>
            <w:b/>
            <w:bCs/>
            <w:noProof/>
          </w:rPr>
          <w:t>Introduction</w:t>
        </w:r>
        <w:r w:rsidR="00E2496A">
          <w:rPr>
            <w:noProof/>
            <w:webHidden/>
          </w:rPr>
          <w:tab/>
        </w:r>
        <w:r w:rsidR="00E2496A">
          <w:rPr>
            <w:noProof/>
            <w:webHidden/>
          </w:rPr>
          <w:fldChar w:fldCharType="begin"/>
        </w:r>
        <w:r w:rsidR="00E2496A">
          <w:rPr>
            <w:noProof/>
            <w:webHidden/>
          </w:rPr>
          <w:instrText xml:space="preserve"> PAGEREF _Toc229618758 \h </w:instrText>
        </w:r>
        <w:r w:rsidR="00E2496A">
          <w:rPr>
            <w:noProof/>
            <w:webHidden/>
          </w:rPr>
        </w:r>
        <w:r w:rsidR="00E2496A">
          <w:rPr>
            <w:noProof/>
            <w:webHidden/>
          </w:rPr>
          <w:fldChar w:fldCharType="separate"/>
        </w:r>
        <w:r w:rsidR="00983108">
          <w:rPr>
            <w:noProof/>
            <w:webHidden/>
          </w:rPr>
          <w:t>1</w:t>
        </w:r>
        <w:r w:rsidR="00E2496A">
          <w:rPr>
            <w:noProof/>
            <w:webHidden/>
          </w:rPr>
          <w:fldChar w:fldCharType="end"/>
        </w:r>
      </w:hyperlink>
    </w:p>
    <w:p w14:paraId="551D420E" w14:textId="25D37F57" w:rsidR="00E2496A" w:rsidRDefault="00D20671">
      <w:pPr>
        <w:pStyle w:val="TOC1"/>
        <w:tabs>
          <w:tab w:val="right" w:leader="dot" w:pos="9062"/>
        </w:tabs>
        <w:rPr>
          <w:rFonts w:asciiTheme="minorHAnsi" w:eastAsiaTheme="minorEastAsia" w:hAnsiTheme="minorHAnsi"/>
          <w:noProof/>
          <w:sz w:val="22"/>
          <w:lang w:eastAsia="fr-FR"/>
        </w:rPr>
      </w:pPr>
      <w:hyperlink w:anchor="_Toc229618759" w:history="1">
        <w:r w:rsidR="00E2496A" w:rsidRPr="00A52800">
          <w:rPr>
            <w:rStyle w:val="Hyperlink"/>
            <w:rFonts w:eastAsia="Times New Roman"/>
            <w:noProof/>
            <w:lang w:eastAsia="fr-FR"/>
          </w:rPr>
          <w:t>Introduction générale</w:t>
        </w:r>
        <w:r w:rsidR="00E2496A">
          <w:rPr>
            <w:noProof/>
            <w:webHidden/>
          </w:rPr>
          <w:tab/>
        </w:r>
        <w:r w:rsidR="00E2496A">
          <w:rPr>
            <w:noProof/>
            <w:webHidden/>
          </w:rPr>
          <w:fldChar w:fldCharType="begin"/>
        </w:r>
        <w:r w:rsidR="00E2496A">
          <w:rPr>
            <w:noProof/>
            <w:webHidden/>
          </w:rPr>
          <w:instrText xml:space="preserve"> PAGEREF _Toc229618759 \h </w:instrText>
        </w:r>
        <w:r w:rsidR="00E2496A">
          <w:rPr>
            <w:noProof/>
            <w:webHidden/>
          </w:rPr>
        </w:r>
        <w:r w:rsidR="00E2496A">
          <w:rPr>
            <w:noProof/>
            <w:webHidden/>
          </w:rPr>
          <w:fldChar w:fldCharType="separate"/>
        </w:r>
        <w:r w:rsidR="00983108">
          <w:rPr>
            <w:noProof/>
            <w:webHidden/>
          </w:rPr>
          <w:t>2</w:t>
        </w:r>
        <w:r w:rsidR="00E2496A">
          <w:rPr>
            <w:noProof/>
            <w:webHidden/>
          </w:rPr>
          <w:fldChar w:fldCharType="end"/>
        </w:r>
      </w:hyperlink>
    </w:p>
    <w:p w14:paraId="5E7C05CD" w14:textId="5EF8AF69" w:rsidR="00E2496A" w:rsidRDefault="00D20671">
      <w:pPr>
        <w:pStyle w:val="TOC1"/>
        <w:tabs>
          <w:tab w:val="right" w:leader="dot" w:pos="9062"/>
        </w:tabs>
        <w:rPr>
          <w:rFonts w:asciiTheme="minorHAnsi" w:eastAsiaTheme="minorEastAsia" w:hAnsiTheme="minorHAnsi"/>
          <w:noProof/>
          <w:sz w:val="22"/>
          <w:lang w:eastAsia="fr-FR"/>
        </w:rPr>
      </w:pPr>
      <w:hyperlink w:anchor="_Toc229618760" w:history="1">
        <w:r w:rsidR="00E2496A" w:rsidRPr="00A52800">
          <w:rPr>
            <w:rStyle w:val="Hyperlink"/>
            <w:rFonts w:eastAsia="Times New Roman"/>
            <w:noProof/>
            <w:lang w:eastAsia="fr-FR"/>
          </w:rPr>
          <w:t>Problématique :</w:t>
        </w:r>
        <w:r w:rsidR="00E2496A">
          <w:rPr>
            <w:noProof/>
            <w:webHidden/>
          </w:rPr>
          <w:tab/>
        </w:r>
        <w:r w:rsidR="00E2496A">
          <w:rPr>
            <w:noProof/>
            <w:webHidden/>
          </w:rPr>
          <w:fldChar w:fldCharType="begin"/>
        </w:r>
        <w:r w:rsidR="00E2496A">
          <w:rPr>
            <w:noProof/>
            <w:webHidden/>
          </w:rPr>
          <w:instrText xml:space="preserve"> PAGEREF _Toc229618760 \h </w:instrText>
        </w:r>
        <w:r w:rsidR="00E2496A">
          <w:rPr>
            <w:noProof/>
            <w:webHidden/>
          </w:rPr>
        </w:r>
        <w:r w:rsidR="00E2496A">
          <w:rPr>
            <w:noProof/>
            <w:webHidden/>
          </w:rPr>
          <w:fldChar w:fldCharType="separate"/>
        </w:r>
        <w:r w:rsidR="00983108">
          <w:rPr>
            <w:noProof/>
            <w:webHidden/>
          </w:rPr>
          <w:t>2</w:t>
        </w:r>
        <w:r w:rsidR="00E2496A">
          <w:rPr>
            <w:noProof/>
            <w:webHidden/>
          </w:rPr>
          <w:fldChar w:fldCharType="end"/>
        </w:r>
      </w:hyperlink>
    </w:p>
    <w:p w14:paraId="56F766D5" w14:textId="70A82060" w:rsidR="00E2496A" w:rsidRDefault="00D20671">
      <w:pPr>
        <w:pStyle w:val="TOC1"/>
        <w:tabs>
          <w:tab w:val="right" w:leader="dot" w:pos="9062"/>
        </w:tabs>
        <w:rPr>
          <w:rFonts w:asciiTheme="minorHAnsi" w:eastAsiaTheme="minorEastAsia" w:hAnsiTheme="minorHAnsi"/>
          <w:noProof/>
          <w:sz w:val="22"/>
          <w:lang w:eastAsia="fr-FR"/>
        </w:rPr>
      </w:pPr>
      <w:hyperlink w:anchor="_Toc229618761" w:history="1">
        <w:r w:rsidR="00E2496A" w:rsidRPr="00A52800">
          <w:rPr>
            <w:rStyle w:val="Hyperlink"/>
            <w:rFonts w:eastAsia="Times New Roman"/>
            <w:noProof/>
            <w:lang w:eastAsia="fr-FR"/>
          </w:rPr>
          <w:t>Objectifs de l'étude :</w:t>
        </w:r>
        <w:r w:rsidR="00E2496A">
          <w:rPr>
            <w:noProof/>
            <w:webHidden/>
          </w:rPr>
          <w:tab/>
        </w:r>
        <w:r w:rsidR="00E2496A">
          <w:rPr>
            <w:noProof/>
            <w:webHidden/>
          </w:rPr>
          <w:fldChar w:fldCharType="begin"/>
        </w:r>
        <w:r w:rsidR="00E2496A">
          <w:rPr>
            <w:noProof/>
            <w:webHidden/>
          </w:rPr>
          <w:instrText xml:space="preserve"> PAGEREF _Toc229618761 \h </w:instrText>
        </w:r>
        <w:r w:rsidR="00E2496A">
          <w:rPr>
            <w:noProof/>
            <w:webHidden/>
          </w:rPr>
        </w:r>
        <w:r w:rsidR="00E2496A">
          <w:rPr>
            <w:noProof/>
            <w:webHidden/>
          </w:rPr>
          <w:fldChar w:fldCharType="separate"/>
        </w:r>
        <w:r w:rsidR="00983108">
          <w:rPr>
            <w:noProof/>
            <w:webHidden/>
          </w:rPr>
          <w:t>3</w:t>
        </w:r>
        <w:r w:rsidR="00E2496A">
          <w:rPr>
            <w:noProof/>
            <w:webHidden/>
          </w:rPr>
          <w:fldChar w:fldCharType="end"/>
        </w:r>
      </w:hyperlink>
    </w:p>
    <w:p w14:paraId="6C30DFA7" w14:textId="7886C5BC" w:rsidR="00E2496A" w:rsidRDefault="00D20671">
      <w:pPr>
        <w:pStyle w:val="TOC1"/>
        <w:tabs>
          <w:tab w:val="right" w:leader="dot" w:pos="9062"/>
        </w:tabs>
        <w:rPr>
          <w:rFonts w:asciiTheme="minorHAnsi" w:eastAsiaTheme="minorEastAsia" w:hAnsiTheme="minorHAnsi"/>
          <w:noProof/>
          <w:sz w:val="22"/>
          <w:lang w:eastAsia="fr-FR"/>
        </w:rPr>
      </w:pPr>
      <w:hyperlink r:id="rId10" w:anchor="_Toc229618762" w:history="1">
        <w:r w:rsidR="00E2496A" w:rsidRPr="00A52800">
          <w:rPr>
            <w:rStyle w:val="Hyperlink"/>
            <w:noProof/>
          </w:rPr>
          <w:t>Partie théorique</w:t>
        </w:r>
        <w:r w:rsidR="00E2496A">
          <w:rPr>
            <w:noProof/>
            <w:webHidden/>
          </w:rPr>
          <w:tab/>
        </w:r>
        <w:r w:rsidR="00E2496A">
          <w:rPr>
            <w:noProof/>
            <w:webHidden/>
          </w:rPr>
          <w:fldChar w:fldCharType="begin"/>
        </w:r>
        <w:r w:rsidR="00E2496A">
          <w:rPr>
            <w:noProof/>
            <w:webHidden/>
          </w:rPr>
          <w:instrText xml:space="preserve"> PAGEREF _Toc229618762 \h </w:instrText>
        </w:r>
        <w:r w:rsidR="00E2496A">
          <w:rPr>
            <w:noProof/>
            <w:webHidden/>
          </w:rPr>
        </w:r>
        <w:r w:rsidR="00E2496A">
          <w:rPr>
            <w:noProof/>
            <w:webHidden/>
          </w:rPr>
          <w:fldChar w:fldCharType="separate"/>
        </w:r>
        <w:r w:rsidR="00983108">
          <w:rPr>
            <w:noProof/>
            <w:webHidden/>
          </w:rPr>
          <w:t>4</w:t>
        </w:r>
        <w:r w:rsidR="00E2496A">
          <w:rPr>
            <w:noProof/>
            <w:webHidden/>
          </w:rPr>
          <w:fldChar w:fldCharType="end"/>
        </w:r>
      </w:hyperlink>
    </w:p>
    <w:p w14:paraId="2A01078D" w14:textId="32D01E62" w:rsidR="00E2496A" w:rsidRDefault="00D20671">
      <w:pPr>
        <w:pStyle w:val="TOC1"/>
        <w:tabs>
          <w:tab w:val="right" w:leader="dot" w:pos="9062"/>
        </w:tabs>
        <w:rPr>
          <w:rFonts w:asciiTheme="minorHAnsi" w:eastAsiaTheme="minorEastAsia" w:hAnsiTheme="minorHAnsi"/>
          <w:noProof/>
          <w:sz w:val="22"/>
          <w:lang w:eastAsia="fr-FR"/>
        </w:rPr>
      </w:pPr>
      <w:hyperlink w:anchor="_Toc229618763" w:history="1">
        <w:r w:rsidR="00E2496A" w:rsidRPr="00A52800">
          <w:rPr>
            <w:rStyle w:val="Hyperlink"/>
            <w:noProof/>
          </w:rPr>
          <w:t>Chapitre 01: Généralités sur le diabète type 2</w:t>
        </w:r>
        <w:r w:rsidR="00E2496A">
          <w:rPr>
            <w:noProof/>
            <w:webHidden/>
          </w:rPr>
          <w:tab/>
        </w:r>
        <w:r w:rsidR="00E2496A">
          <w:rPr>
            <w:noProof/>
            <w:webHidden/>
          </w:rPr>
          <w:fldChar w:fldCharType="begin"/>
        </w:r>
        <w:r w:rsidR="00E2496A">
          <w:rPr>
            <w:noProof/>
            <w:webHidden/>
          </w:rPr>
          <w:instrText xml:space="preserve"> PAGEREF _Toc229618763 \h </w:instrText>
        </w:r>
        <w:r w:rsidR="00E2496A">
          <w:rPr>
            <w:noProof/>
            <w:webHidden/>
          </w:rPr>
        </w:r>
        <w:r w:rsidR="00E2496A">
          <w:rPr>
            <w:noProof/>
            <w:webHidden/>
          </w:rPr>
          <w:fldChar w:fldCharType="separate"/>
        </w:r>
        <w:r w:rsidR="00983108">
          <w:rPr>
            <w:noProof/>
            <w:webHidden/>
          </w:rPr>
          <w:t>5</w:t>
        </w:r>
        <w:r w:rsidR="00E2496A">
          <w:rPr>
            <w:noProof/>
            <w:webHidden/>
          </w:rPr>
          <w:fldChar w:fldCharType="end"/>
        </w:r>
      </w:hyperlink>
    </w:p>
    <w:p w14:paraId="048B65B2" w14:textId="78D9AA05" w:rsidR="00E2496A" w:rsidRDefault="00D20671">
      <w:pPr>
        <w:pStyle w:val="TOC1"/>
        <w:tabs>
          <w:tab w:val="right" w:leader="dot" w:pos="9062"/>
        </w:tabs>
        <w:rPr>
          <w:rFonts w:asciiTheme="minorHAnsi" w:eastAsiaTheme="minorEastAsia" w:hAnsiTheme="minorHAnsi"/>
          <w:noProof/>
          <w:sz w:val="22"/>
          <w:lang w:eastAsia="fr-FR"/>
        </w:rPr>
      </w:pPr>
      <w:hyperlink w:anchor="_Toc229618764" w:history="1">
        <w:r w:rsidR="00E2496A" w:rsidRPr="00A52800">
          <w:rPr>
            <w:rStyle w:val="Hyperlink"/>
            <w:noProof/>
            <w:lang w:bidi="ar-DZ"/>
          </w:rPr>
          <w:t>1/définition de diabète:</w:t>
        </w:r>
        <w:r w:rsidR="00E2496A">
          <w:rPr>
            <w:noProof/>
            <w:webHidden/>
          </w:rPr>
          <w:tab/>
        </w:r>
        <w:r w:rsidR="00E2496A">
          <w:rPr>
            <w:noProof/>
            <w:webHidden/>
          </w:rPr>
          <w:fldChar w:fldCharType="begin"/>
        </w:r>
        <w:r w:rsidR="00E2496A">
          <w:rPr>
            <w:noProof/>
            <w:webHidden/>
          </w:rPr>
          <w:instrText xml:space="preserve"> PAGEREF _Toc229618764 \h </w:instrText>
        </w:r>
        <w:r w:rsidR="00E2496A">
          <w:rPr>
            <w:noProof/>
            <w:webHidden/>
          </w:rPr>
        </w:r>
        <w:r w:rsidR="00E2496A">
          <w:rPr>
            <w:noProof/>
            <w:webHidden/>
          </w:rPr>
          <w:fldChar w:fldCharType="separate"/>
        </w:r>
        <w:r w:rsidR="00983108">
          <w:rPr>
            <w:noProof/>
            <w:webHidden/>
          </w:rPr>
          <w:t>6</w:t>
        </w:r>
        <w:r w:rsidR="00E2496A">
          <w:rPr>
            <w:noProof/>
            <w:webHidden/>
          </w:rPr>
          <w:fldChar w:fldCharType="end"/>
        </w:r>
      </w:hyperlink>
    </w:p>
    <w:p w14:paraId="72C91D5A" w14:textId="64930FF5" w:rsidR="00E2496A" w:rsidRDefault="00D20671">
      <w:pPr>
        <w:pStyle w:val="TOC1"/>
        <w:tabs>
          <w:tab w:val="right" w:leader="dot" w:pos="9062"/>
        </w:tabs>
        <w:rPr>
          <w:rFonts w:asciiTheme="minorHAnsi" w:eastAsiaTheme="minorEastAsia" w:hAnsiTheme="minorHAnsi"/>
          <w:noProof/>
          <w:sz w:val="22"/>
          <w:lang w:eastAsia="fr-FR"/>
        </w:rPr>
      </w:pPr>
      <w:hyperlink w:anchor="_Toc229618765" w:history="1">
        <w:r w:rsidR="00E2496A" w:rsidRPr="00A52800">
          <w:rPr>
            <w:rStyle w:val="Hyperlink"/>
            <w:rFonts w:eastAsiaTheme="minorBidi"/>
            <w:noProof/>
          </w:rPr>
          <w:t>2/ Épidémiologie du diabète de type 2:</w:t>
        </w:r>
        <w:r w:rsidR="00E2496A">
          <w:rPr>
            <w:noProof/>
            <w:webHidden/>
          </w:rPr>
          <w:tab/>
        </w:r>
        <w:r w:rsidR="00E2496A">
          <w:rPr>
            <w:noProof/>
            <w:webHidden/>
          </w:rPr>
          <w:fldChar w:fldCharType="begin"/>
        </w:r>
        <w:r w:rsidR="00E2496A">
          <w:rPr>
            <w:noProof/>
            <w:webHidden/>
          </w:rPr>
          <w:instrText xml:space="preserve"> PAGEREF _Toc229618765 \h </w:instrText>
        </w:r>
        <w:r w:rsidR="00E2496A">
          <w:rPr>
            <w:noProof/>
            <w:webHidden/>
          </w:rPr>
        </w:r>
        <w:r w:rsidR="00E2496A">
          <w:rPr>
            <w:noProof/>
            <w:webHidden/>
          </w:rPr>
          <w:fldChar w:fldCharType="separate"/>
        </w:r>
        <w:r w:rsidR="00983108">
          <w:rPr>
            <w:noProof/>
            <w:webHidden/>
          </w:rPr>
          <w:t>6</w:t>
        </w:r>
        <w:r w:rsidR="00E2496A">
          <w:rPr>
            <w:noProof/>
            <w:webHidden/>
          </w:rPr>
          <w:fldChar w:fldCharType="end"/>
        </w:r>
      </w:hyperlink>
    </w:p>
    <w:p w14:paraId="2877EEAC" w14:textId="16D270B2" w:rsidR="00E2496A" w:rsidRDefault="00D20671">
      <w:pPr>
        <w:pStyle w:val="TOC2"/>
        <w:tabs>
          <w:tab w:val="right" w:leader="dot" w:pos="9062"/>
        </w:tabs>
        <w:rPr>
          <w:rFonts w:asciiTheme="minorHAnsi" w:eastAsiaTheme="minorEastAsia" w:hAnsiTheme="minorHAnsi"/>
          <w:noProof/>
          <w:sz w:val="22"/>
          <w:lang w:eastAsia="fr-FR"/>
        </w:rPr>
      </w:pPr>
      <w:hyperlink w:anchor="_Toc229618766" w:history="1">
        <w:r w:rsidR="00E2496A" w:rsidRPr="00A52800">
          <w:rPr>
            <w:rStyle w:val="Hyperlink"/>
            <w:rFonts w:eastAsiaTheme="minorBidi"/>
            <w:noProof/>
          </w:rPr>
          <w:t>2-1/ Épidémiologie mondiale:</w:t>
        </w:r>
        <w:r w:rsidR="00E2496A">
          <w:rPr>
            <w:noProof/>
            <w:webHidden/>
          </w:rPr>
          <w:tab/>
        </w:r>
        <w:r w:rsidR="00E2496A">
          <w:rPr>
            <w:noProof/>
            <w:webHidden/>
          </w:rPr>
          <w:fldChar w:fldCharType="begin"/>
        </w:r>
        <w:r w:rsidR="00E2496A">
          <w:rPr>
            <w:noProof/>
            <w:webHidden/>
          </w:rPr>
          <w:instrText xml:space="preserve"> PAGEREF _Toc229618766 \h </w:instrText>
        </w:r>
        <w:r w:rsidR="00E2496A">
          <w:rPr>
            <w:noProof/>
            <w:webHidden/>
          </w:rPr>
        </w:r>
        <w:r w:rsidR="00E2496A">
          <w:rPr>
            <w:noProof/>
            <w:webHidden/>
          </w:rPr>
          <w:fldChar w:fldCharType="separate"/>
        </w:r>
        <w:r w:rsidR="00983108">
          <w:rPr>
            <w:noProof/>
            <w:webHidden/>
          </w:rPr>
          <w:t>6</w:t>
        </w:r>
        <w:r w:rsidR="00E2496A">
          <w:rPr>
            <w:noProof/>
            <w:webHidden/>
          </w:rPr>
          <w:fldChar w:fldCharType="end"/>
        </w:r>
      </w:hyperlink>
    </w:p>
    <w:p w14:paraId="1C0C0265" w14:textId="2CF0D40E" w:rsidR="00E2496A" w:rsidRDefault="00D20671">
      <w:pPr>
        <w:pStyle w:val="TOC2"/>
        <w:tabs>
          <w:tab w:val="right" w:leader="dot" w:pos="9062"/>
        </w:tabs>
        <w:rPr>
          <w:rFonts w:asciiTheme="minorHAnsi" w:eastAsiaTheme="minorEastAsia" w:hAnsiTheme="minorHAnsi"/>
          <w:noProof/>
          <w:sz w:val="22"/>
          <w:lang w:eastAsia="fr-FR"/>
        </w:rPr>
      </w:pPr>
      <w:hyperlink w:anchor="_Toc229618767" w:history="1">
        <w:r w:rsidR="00E2496A" w:rsidRPr="00A52800">
          <w:rPr>
            <w:rStyle w:val="Hyperlink"/>
            <w:noProof/>
          </w:rPr>
          <w:t>2-2/ Épidémiologie du diabète en Algérie:</w:t>
        </w:r>
        <w:r w:rsidR="00E2496A">
          <w:rPr>
            <w:noProof/>
            <w:webHidden/>
          </w:rPr>
          <w:tab/>
        </w:r>
        <w:r w:rsidR="00E2496A">
          <w:rPr>
            <w:noProof/>
            <w:webHidden/>
          </w:rPr>
          <w:fldChar w:fldCharType="begin"/>
        </w:r>
        <w:r w:rsidR="00E2496A">
          <w:rPr>
            <w:noProof/>
            <w:webHidden/>
          </w:rPr>
          <w:instrText xml:space="preserve"> PAGEREF _Toc229618767 \h </w:instrText>
        </w:r>
        <w:r w:rsidR="00E2496A">
          <w:rPr>
            <w:noProof/>
            <w:webHidden/>
          </w:rPr>
        </w:r>
        <w:r w:rsidR="00E2496A">
          <w:rPr>
            <w:noProof/>
            <w:webHidden/>
          </w:rPr>
          <w:fldChar w:fldCharType="separate"/>
        </w:r>
        <w:r w:rsidR="00983108">
          <w:rPr>
            <w:noProof/>
            <w:webHidden/>
          </w:rPr>
          <w:t>6</w:t>
        </w:r>
        <w:r w:rsidR="00E2496A">
          <w:rPr>
            <w:noProof/>
            <w:webHidden/>
          </w:rPr>
          <w:fldChar w:fldCharType="end"/>
        </w:r>
      </w:hyperlink>
    </w:p>
    <w:p w14:paraId="13C4A23A" w14:textId="68727BC9" w:rsidR="00E2496A" w:rsidRDefault="00D20671">
      <w:pPr>
        <w:pStyle w:val="TOC2"/>
        <w:tabs>
          <w:tab w:val="right" w:leader="dot" w:pos="9062"/>
        </w:tabs>
        <w:rPr>
          <w:rFonts w:asciiTheme="minorHAnsi" w:eastAsiaTheme="minorEastAsia" w:hAnsiTheme="minorHAnsi"/>
          <w:noProof/>
          <w:sz w:val="22"/>
          <w:lang w:eastAsia="fr-FR"/>
        </w:rPr>
      </w:pPr>
      <w:hyperlink w:anchor="_Toc229618768" w:history="1">
        <w:r w:rsidR="00E2496A" w:rsidRPr="00A52800">
          <w:rPr>
            <w:rStyle w:val="Hyperlink"/>
            <w:noProof/>
          </w:rPr>
          <w:t>3-3/ Situation régionale (Laghouat):</w:t>
        </w:r>
        <w:r w:rsidR="00E2496A">
          <w:rPr>
            <w:noProof/>
            <w:webHidden/>
          </w:rPr>
          <w:tab/>
        </w:r>
        <w:r w:rsidR="00E2496A">
          <w:rPr>
            <w:noProof/>
            <w:webHidden/>
          </w:rPr>
          <w:fldChar w:fldCharType="begin"/>
        </w:r>
        <w:r w:rsidR="00E2496A">
          <w:rPr>
            <w:noProof/>
            <w:webHidden/>
          </w:rPr>
          <w:instrText xml:space="preserve"> PAGEREF _Toc229618768 \h </w:instrText>
        </w:r>
        <w:r w:rsidR="00E2496A">
          <w:rPr>
            <w:noProof/>
            <w:webHidden/>
          </w:rPr>
        </w:r>
        <w:r w:rsidR="00E2496A">
          <w:rPr>
            <w:noProof/>
            <w:webHidden/>
          </w:rPr>
          <w:fldChar w:fldCharType="separate"/>
        </w:r>
        <w:r w:rsidR="00983108">
          <w:rPr>
            <w:noProof/>
            <w:webHidden/>
          </w:rPr>
          <w:t>7</w:t>
        </w:r>
        <w:r w:rsidR="00E2496A">
          <w:rPr>
            <w:noProof/>
            <w:webHidden/>
          </w:rPr>
          <w:fldChar w:fldCharType="end"/>
        </w:r>
      </w:hyperlink>
    </w:p>
    <w:p w14:paraId="7990541F" w14:textId="2A05C9A9" w:rsidR="00E2496A" w:rsidRDefault="00D20671">
      <w:pPr>
        <w:pStyle w:val="TOC1"/>
        <w:tabs>
          <w:tab w:val="right" w:leader="dot" w:pos="9062"/>
        </w:tabs>
        <w:rPr>
          <w:rFonts w:asciiTheme="minorHAnsi" w:eastAsiaTheme="minorEastAsia" w:hAnsiTheme="minorHAnsi"/>
          <w:noProof/>
          <w:sz w:val="22"/>
          <w:lang w:eastAsia="fr-FR"/>
        </w:rPr>
      </w:pPr>
      <w:hyperlink w:anchor="_Toc229618769" w:history="1">
        <w:r w:rsidR="00E2496A" w:rsidRPr="00A52800">
          <w:rPr>
            <w:rStyle w:val="Hyperlink"/>
            <w:rFonts w:eastAsiaTheme="minorBidi"/>
            <w:noProof/>
          </w:rPr>
          <w:t>3/ Critères de diagnostic du diabète de type 2 :</w:t>
        </w:r>
        <w:r w:rsidR="00E2496A">
          <w:rPr>
            <w:noProof/>
            <w:webHidden/>
          </w:rPr>
          <w:tab/>
        </w:r>
        <w:r w:rsidR="00E2496A">
          <w:rPr>
            <w:noProof/>
            <w:webHidden/>
          </w:rPr>
          <w:fldChar w:fldCharType="begin"/>
        </w:r>
        <w:r w:rsidR="00E2496A">
          <w:rPr>
            <w:noProof/>
            <w:webHidden/>
          </w:rPr>
          <w:instrText xml:space="preserve"> PAGEREF _Toc229618769 \h </w:instrText>
        </w:r>
        <w:r w:rsidR="00E2496A">
          <w:rPr>
            <w:noProof/>
            <w:webHidden/>
          </w:rPr>
        </w:r>
        <w:r w:rsidR="00E2496A">
          <w:rPr>
            <w:noProof/>
            <w:webHidden/>
          </w:rPr>
          <w:fldChar w:fldCharType="separate"/>
        </w:r>
        <w:r w:rsidR="00983108">
          <w:rPr>
            <w:noProof/>
            <w:webHidden/>
          </w:rPr>
          <w:t>7</w:t>
        </w:r>
        <w:r w:rsidR="00E2496A">
          <w:rPr>
            <w:noProof/>
            <w:webHidden/>
          </w:rPr>
          <w:fldChar w:fldCharType="end"/>
        </w:r>
      </w:hyperlink>
    </w:p>
    <w:p w14:paraId="30F82D49" w14:textId="59AF6637" w:rsidR="00E2496A" w:rsidRDefault="00D20671">
      <w:pPr>
        <w:pStyle w:val="TOC1"/>
        <w:tabs>
          <w:tab w:val="right" w:leader="dot" w:pos="9062"/>
        </w:tabs>
        <w:rPr>
          <w:rFonts w:asciiTheme="minorHAnsi" w:eastAsiaTheme="minorEastAsia" w:hAnsiTheme="minorHAnsi"/>
          <w:noProof/>
          <w:sz w:val="22"/>
          <w:lang w:eastAsia="fr-FR"/>
        </w:rPr>
      </w:pPr>
      <w:hyperlink w:anchor="_Toc229618770" w:history="1">
        <w:r w:rsidR="00E2496A" w:rsidRPr="00A52800">
          <w:rPr>
            <w:rStyle w:val="Hyperlink"/>
            <w:noProof/>
            <w:lang w:bidi="ar-DZ"/>
          </w:rPr>
          <w:t>4/Les facteurs de risque :</w:t>
        </w:r>
        <w:r w:rsidR="00E2496A">
          <w:rPr>
            <w:noProof/>
            <w:webHidden/>
          </w:rPr>
          <w:tab/>
        </w:r>
        <w:r w:rsidR="00E2496A">
          <w:rPr>
            <w:noProof/>
            <w:webHidden/>
          </w:rPr>
          <w:fldChar w:fldCharType="begin"/>
        </w:r>
        <w:r w:rsidR="00E2496A">
          <w:rPr>
            <w:noProof/>
            <w:webHidden/>
          </w:rPr>
          <w:instrText xml:space="preserve"> PAGEREF _Toc229618770 \h </w:instrText>
        </w:r>
        <w:r w:rsidR="00E2496A">
          <w:rPr>
            <w:noProof/>
            <w:webHidden/>
          </w:rPr>
        </w:r>
        <w:r w:rsidR="00E2496A">
          <w:rPr>
            <w:noProof/>
            <w:webHidden/>
          </w:rPr>
          <w:fldChar w:fldCharType="separate"/>
        </w:r>
        <w:r w:rsidR="00983108">
          <w:rPr>
            <w:noProof/>
            <w:webHidden/>
          </w:rPr>
          <w:t>8</w:t>
        </w:r>
        <w:r w:rsidR="00E2496A">
          <w:rPr>
            <w:noProof/>
            <w:webHidden/>
          </w:rPr>
          <w:fldChar w:fldCharType="end"/>
        </w:r>
      </w:hyperlink>
    </w:p>
    <w:p w14:paraId="3BEE2575" w14:textId="172AB09E" w:rsidR="00E2496A" w:rsidRDefault="00D20671">
      <w:pPr>
        <w:pStyle w:val="TOC2"/>
        <w:tabs>
          <w:tab w:val="right" w:leader="dot" w:pos="9062"/>
        </w:tabs>
        <w:rPr>
          <w:rFonts w:asciiTheme="minorHAnsi" w:eastAsiaTheme="minorEastAsia" w:hAnsiTheme="minorHAnsi"/>
          <w:noProof/>
          <w:sz w:val="22"/>
          <w:lang w:eastAsia="fr-FR"/>
        </w:rPr>
      </w:pPr>
      <w:hyperlink w:anchor="_Toc229618771" w:history="1">
        <w:r w:rsidR="00E2496A" w:rsidRPr="00A52800">
          <w:rPr>
            <w:rStyle w:val="Hyperlink"/>
            <w:noProof/>
            <w:lang w:bidi="ar-DZ"/>
          </w:rPr>
          <w:t>4-1/ les facteurs non modifiables:</w:t>
        </w:r>
        <w:r w:rsidR="00E2496A">
          <w:rPr>
            <w:noProof/>
            <w:webHidden/>
          </w:rPr>
          <w:tab/>
        </w:r>
        <w:r w:rsidR="00E2496A">
          <w:rPr>
            <w:noProof/>
            <w:webHidden/>
          </w:rPr>
          <w:fldChar w:fldCharType="begin"/>
        </w:r>
        <w:r w:rsidR="00E2496A">
          <w:rPr>
            <w:noProof/>
            <w:webHidden/>
          </w:rPr>
          <w:instrText xml:space="preserve"> PAGEREF _Toc229618771 \h </w:instrText>
        </w:r>
        <w:r w:rsidR="00E2496A">
          <w:rPr>
            <w:noProof/>
            <w:webHidden/>
          </w:rPr>
        </w:r>
        <w:r w:rsidR="00E2496A">
          <w:rPr>
            <w:noProof/>
            <w:webHidden/>
          </w:rPr>
          <w:fldChar w:fldCharType="separate"/>
        </w:r>
        <w:r w:rsidR="00983108">
          <w:rPr>
            <w:noProof/>
            <w:webHidden/>
          </w:rPr>
          <w:t>8</w:t>
        </w:r>
        <w:r w:rsidR="00E2496A">
          <w:rPr>
            <w:noProof/>
            <w:webHidden/>
          </w:rPr>
          <w:fldChar w:fldCharType="end"/>
        </w:r>
      </w:hyperlink>
    </w:p>
    <w:p w14:paraId="3A1FCE79" w14:textId="645E18EC" w:rsidR="00E2496A" w:rsidRDefault="00D20671">
      <w:pPr>
        <w:pStyle w:val="TOC2"/>
        <w:tabs>
          <w:tab w:val="right" w:leader="dot" w:pos="9062"/>
        </w:tabs>
        <w:rPr>
          <w:rFonts w:asciiTheme="minorHAnsi" w:eastAsiaTheme="minorEastAsia" w:hAnsiTheme="minorHAnsi"/>
          <w:noProof/>
          <w:sz w:val="22"/>
          <w:lang w:eastAsia="fr-FR"/>
        </w:rPr>
      </w:pPr>
      <w:hyperlink w:anchor="_Toc229618772" w:history="1">
        <w:r w:rsidR="00E2496A" w:rsidRPr="00A52800">
          <w:rPr>
            <w:rStyle w:val="Hyperlink"/>
            <w:noProof/>
            <w:lang w:bidi="ar-DZ"/>
          </w:rPr>
          <w:t>4-2/les facteurs modifiables :</w:t>
        </w:r>
        <w:r w:rsidR="00E2496A">
          <w:rPr>
            <w:noProof/>
            <w:webHidden/>
          </w:rPr>
          <w:tab/>
        </w:r>
        <w:r w:rsidR="00E2496A">
          <w:rPr>
            <w:noProof/>
            <w:webHidden/>
          </w:rPr>
          <w:fldChar w:fldCharType="begin"/>
        </w:r>
        <w:r w:rsidR="00E2496A">
          <w:rPr>
            <w:noProof/>
            <w:webHidden/>
          </w:rPr>
          <w:instrText xml:space="preserve"> PAGEREF _Toc229618772 \h </w:instrText>
        </w:r>
        <w:r w:rsidR="00E2496A">
          <w:rPr>
            <w:noProof/>
            <w:webHidden/>
          </w:rPr>
        </w:r>
        <w:r w:rsidR="00E2496A">
          <w:rPr>
            <w:noProof/>
            <w:webHidden/>
          </w:rPr>
          <w:fldChar w:fldCharType="separate"/>
        </w:r>
        <w:r w:rsidR="00983108">
          <w:rPr>
            <w:noProof/>
            <w:webHidden/>
          </w:rPr>
          <w:t>9</w:t>
        </w:r>
        <w:r w:rsidR="00E2496A">
          <w:rPr>
            <w:noProof/>
            <w:webHidden/>
          </w:rPr>
          <w:fldChar w:fldCharType="end"/>
        </w:r>
      </w:hyperlink>
    </w:p>
    <w:p w14:paraId="7140D10B" w14:textId="531318EF" w:rsidR="00E2496A" w:rsidRDefault="00D20671">
      <w:pPr>
        <w:pStyle w:val="TOC1"/>
        <w:tabs>
          <w:tab w:val="right" w:leader="dot" w:pos="9062"/>
        </w:tabs>
        <w:rPr>
          <w:rFonts w:asciiTheme="minorHAnsi" w:eastAsiaTheme="minorEastAsia" w:hAnsiTheme="minorHAnsi"/>
          <w:noProof/>
          <w:sz w:val="22"/>
          <w:lang w:eastAsia="fr-FR"/>
        </w:rPr>
      </w:pPr>
      <w:hyperlink w:anchor="_Toc229618773" w:history="1">
        <w:r w:rsidR="00E2496A" w:rsidRPr="00A52800">
          <w:rPr>
            <w:rStyle w:val="Hyperlink"/>
            <w:noProof/>
          </w:rPr>
          <w:t>5/La Physiopathologie:</w:t>
        </w:r>
        <w:r w:rsidR="00E2496A">
          <w:rPr>
            <w:noProof/>
            <w:webHidden/>
          </w:rPr>
          <w:tab/>
        </w:r>
        <w:r w:rsidR="00E2496A">
          <w:rPr>
            <w:noProof/>
            <w:webHidden/>
          </w:rPr>
          <w:fldChar w:fldCharType="begin"/>
        </w:r>
        <w:r w:rsidR="00E2496A">
          <w:rPr>
            <w:noProof/>
            <w:webHidden/>
          </w:rPr>
          <w:instrText xml:space="preserve"> PAGEREF _Toc229618773 \h </w:instrText>
        </w:r>
        <w:r w:rsidR="00E2496A">
          <w:rPr>
            <w:noProof/>
            <w:webHidden/>
          </w:rPr>
        </w:r>
        <w:r w:rsidR="00E2496A">
          <w:rPr>
            <w:noProof/>
            <w:webHidden/>
          </w:rPr>
          <w:fldChar w:fldCharType="separate"/>
        </w:r>
        <w:r w:rsidR="00983108">
          <w:rPr>
            <w:noProof/>
            <w:webHidden/>
          </w:rPr>
          <w:t>11</w:t>
        </w:r>
        <w:r w:rsidR="00E2496A">
          <w:rPr>
            <w:noProof/>
            <w:webHidden/>
          </w:rPr>
          <w:fldChar w:fldCharType="end"/>
        </w:r>
      </w:hyperlink>
    </w:p>
    <w:p w14:paraId="5EA09213" w14:textId="704A1F7A" w:rsidR="00E2496A" w:rsidRDefault="00D20671">
      <w:pPr>
        <w:pStyle w:val="TOC2"/>
        <w:tabs>
          <w:tab w:val="right" w:leader="dot" w:pos="9062"/>
        </w:tabs>
        <w:rPr>
          <w:rFonts w:asciiTheme="minorHAnsi" w:eastAsiaTheme="minorEastAsia" w:hAnsiTheme="minorHAnsi"/>
          <w:noProof/>
          <w:sz w:val="22"/>
          <w:lang w:eastAsia="fr-FR"/>
        </w:rPr>
      </w:pPr>
      <w:hyperlink w:anchor="_Toc229618774" w:history="1">
        <w:r w:rsidR="00E2496A" w:rsidRPr="00A52800">
          <w:rPr>
            <w:rStyle w:val="Hyperlink"/>
            <w:noProof/>
          </w:rPr>
          <w:t>5-1/ L’insulinorésistance :</w:t>
        </w:r>
        <w:r w:rsidR="00E2496A">
          <w:rPr>
            <w:noProof/>
            <w:webHidden/>
          </w:rPr>
          <w:tab/>
        </w:r>
        <w:r w:rsidR="00E2496A">
          <w:rPr>
            <w:noProof/>
            <w:webHidden/>
          </w:rPr>
          <w:fldChar w:fldCharType="begin"/>
        </w:r>
        <w:r w:rsidR="00E2496A">
          <w:rPr>
            <w:noProof/>
            <w:webHidden/>
          </w:rPr>
          <w:instrText xml:space="preserve"> PAGEREF _Toc229618774 \h </w:instrText>
        </w:r>
        <w:r w:rsidR="00E2496A">
          <w:rPr>
            <w:noProof/>
            <w:webHidden/>
          </w:rPr>
        </w:r>
        <w:r w:rsidR="00E2496A">
          <w:rPr>
            <w:noProof/>
            <w:webHidden/>
          </w:rPr>
          <w:fldChar w:fldCharType="separate"/>
        </w:r>
        <w:r w:rsidR="00983108">
          <w:rPr>
            <w:noProof/>
            <w:webHidden/>
          </w:rPr>
          <w:t>11</w:t>
        </w:r>
        <w:r w:rsidR="00E2496A">
          <w:rPr>
            <w:noProof/>
            <w:webHidden/>
          </w:rPr>
          <w:fldChar w:fldCharType="end"/>
        </w:r>
      </w:hyperlink>
    </w:p>
    <w:p w14:paraId="5110BF23" w14:textId="1E886253" w:rsidR="00E2496A" w:rsidRDefault="00D20671">
      <w:pPr>
        <w:pStyle w:val="TOC2"/>
        <w:tabs>
          <w:tab w:val="right" w:leader="dot" w:pos="9062"/>
        </w:tabs>
        <w:rPr>
          <w:rFonts w:asciiTheme="minorHAnsi" w:eastAsiaTheme="minorEastAsia" w:hAnsiTheme="minorHAnsi"/>
          <w:noProof/>
          <w:sz w:val="22"/>
          <w:lang w:eastAsia="fr-FR"/>
        </w:rPr>
      </w:pPr>
      <w:hyperlink w:anchor="_Toc229618775" w:history="1">
        <w:r w:rsidR="00E2496A" w:rsidRPr="00A52800">
          <w:rPr>
            <w:rStyle w:val="Hyperlink"/>
            <w:noProof/>
          </w:rPr>
          <w:t>5-2/L’insulinopénie relative :</w:t>
        </w:r>
        <w:r w:rsidR="00E2496A">
          <w:rPr>
            <w:noProof/>
            <w:webHidden/>
          </w:rPr>
          <w:tab/>
        </w:r>
        <w:r w:rsidR="00E2496A">
          <w:rPr>
            <w:noProof/>
            <w:webHidden/>
          </w:rPr>
          <w:fldChar w:fldCharType="begin"/>
        </w:r>
        <w:r w:rsidR="00E2496A">
          <w:rPr>
            <w:noProof/>
            <w:webHidden/>
          </w:rPr>
          <w:instrText xml:space="preserve"> PAGEREF _Toc229618775 \h </w:instrText>
        </w:r>
        <w:r w:rsidR="00E2496A">
          <w:rPr>
            <w:noProof/>
            <w:webHidden/>
          </w:rPr>
        </w:r>
        <w:r w:rsidR="00E2496A">
          <w:rPr>
            <w:noProof/>
            <w:webHidden/>
          </w:rPr>
          <w:fldChar w:fldCharType="separate"/>
        </w:r>
        <w:r w:rsidR="00983108">
          <w:rPr>
            <w:noProof/>
            <w:webHidden/>
          </w:rPr>
          <w:t>11</w:t>
        </w:r>
        <w:r w:rsidR="00E2496A">
          <w:rPr>
            <w:noProof/>
            <w:webHidden/>
          </w:rPr>
          <w:fldChar w:fldCharType="end"/>
        </w:r>
      </w:hyperlink>
    </w:p>
    <w:p w14:paraId="0A81928F" w14:textId="794E93F9" w:rsidR="00E2496A" w:rsidRDefault="00D20671">
      <w:pPr>
        <w:pStyle w:val="TOC2"/>
        <w:tabs>
          <w:tab w:val="right" w:leader="dot" w:pos="9062"/>
        </w:tabs>
        <w:rPr>
          <w:rFonts w:asciiTheme="minorHAnsi" w:eastAsiaTheme="minorEastAsia" w:hAnsiTheme="minorHAnsi"/>
          <w:noProof/>
          <w:sz w:val="22"/>
          <w:lang w:eastAsia="fr-FR"/>
        </w:rPr>
      </w:pPr>
      <w:hyperlink w:anchor="_Toc229618776" w:history="1">
        <w:r w:rsidR="00E2496A" w:rsidRPr="00A52800">
          <w:rPr>
            <w:rStyle w:val="Hyperlink"/>
            <w:noProof/>
          </w:rPr>
          <w:t>5-3/L’augmentation de la production hépatique de glucose :</w:t>
        </w:r>
        <w:r w:rsidR="00E2496A">
          <w:rPr>
            <w:noProof/>
            <w:webHidden/>
          </w:rPr>
          <w:tab/>
        </w:r>
        <w:r w:rsidR="00E2496A">
          <w:rPr>
            <w:noProof/>
            <w:webHidden/>
          </w:rPr>
          <w:fldChar w:fldCharType="begin"/>
        </w:r>
        <w:r w:rsidR="00E2496A">
          <w:rPr>
            <w:noProof/>
            <w:webHidden/>
          </w:rPr>
          <w:instrText xml:space="preserve"> PAGEREF _Toc229618776 \h </w:instrText>
        </w:r>
        <w:r w:rsidR="00E2496A">
          <w:rPr>
            <w:noProof/>
            <w:webHidden/>
          </w:rPr>
        </w:r>
        <w:r w:rsidR="00E2496A">
          <w:rPr>
            <w:noProof/>
            <w:webHidden/>
          </w:rPr>
          <w:fldChar w:fldCharType="separate"/>
        </w:r>
        <w:r w:rsidR="00983108">
          <w:rPr>
            <w:noProof/>
            <w:webHidden/>
          </w:rPr>
          <w:t>11</w:t>
        </w:r>
        <w:r w:rsidR="00E2496A">
          <w:rPr>
            <w:noProof/>
            <w:webHidden/>
          </w:rPr>
          <w:fldChar w:fldCharType="end"/>
        </w:r>
      </w:hyperlink>
    </w:p>
    <w:p w14:paraId="27E0408E" w14:textId="5F4F8520" w:rsidR="00E2496A" w:rsidRDefault="00D20671">
      <w:pPr>
        <w:pStyle w:val="TOC2"/>
        <w:tabs>
          <w:tab w:val="right" w:leader="dot" w:pos="9062"/>
        </w:tabs>
        <w:rPr>
          <w:rFonts w:asciiTheme="minorHAnsi" w:eastAsiaTheme="minorEastAsia" w:hAnsiTheme="minorHAnsi"/>
          <w:noProof/>
          <w:sz w:val="22"/>
          <w:lang w:eastAsia="fr-FR"/>
        </w:rPr>
      </w:pPr>
      <w:hyperlink w:anchor="_Toc229618777" w:history="1">
        <w:r w:rsidR="00E2496A" w:rsidRPr="00A52800">
          <w:rPr>
            <w:rStyle w:val="Hyperlink"/>
            <w:noProof/>
          </w:rPr>
          <w:t>5-4/la lipotoxicité :</w:t>
        </w:r>
        <w:r w:rsidR="00E2496A">
          <w:rPr>
            <w:noProof/>
            <w:webHidden/>
          </w:rPr>
          <w:tab/>
        </w:r>
        <w:r w:rsidR="00E2496A">
          <w:rPr>
            <w:noProof/>
            <w:webHidden/>
          </w:rPr>
          <w:fldChar w:fldCharType="begin"/>
        </w:r>
        <w:r w:rsidR="00E2496A">
          <w:rPr>
            <w:noProof/>
            <w:webHidden/>
          </w:rPr>
          <w:instrText xml:space="preserve"> PAGEREF _Toc229618777 \h </w:instrText>
        </w:r>
        <w:r w:rsidR="00E2496A">
          <w:rPr>
            <w:noProof/>
            <w:webHidden/>
          </w:rPr>
        </w:r>
        <w:r w:rsidR="00E2496A">
          <w:rPr>
            <w:noProof/>
            <w:webHidden/>
          </w:rPr>
          <w:fldChar w:fldCharType="separate"/>
        </w:r>
        <w:r w:rsidR="00983108">
          <w:rPr>
            <w:noProof/>
            <w:webHidden/>
          </w:rPr>
          <w:t>11</w:t>
        </w:r>
        <w:r w:rsidR="00E2496A">
          <w:rPr>
            <w:noProof/>
            <w:webHidden/>
          </w:rPr>
          <w:fldChar w:fldCharType="end"/>
        </w:r>
      </w:hyperlink>
    </w:p>
    <w:p w14:paraId="611961CC" w14:textId="59C7A9CD" w:rsidR="00E2496A" w:rsidRDefault="00D20671">
      <w:pPr>
        <w:pStyle w:val="TOC2"/>
        <w:tabs>
          <w:tab w:val="right" w:leader="dot" w:pos="9062"/>
        </w:tabs>
        <w:rPr>
          <w:rFonts w:asciiTheme="minorHAnsi" w:eastAsiaTheme="minorEastAsia" w:hAnsiTheme="minorHAnsi"/>
          <w:noProof/>
          <w:sz w:val="22"/>
          <w:lang w:eastAsia="fr-FR"/>
        </w:rPr>
      </w:pPr>
      <w:hyperlink w:anchor="_Toc229618778" w:history="1">
        <w:r w:rsidR="00E2496A" w:rsidRPr="00A52800">
          <w:rPr>
            <w:rStyle w:val="Hyperlink"/>
            <w:noProof/>
          </w:rPr>
          <w:t>5-5/L’Inflammation et stress oxydatif :</w:t>
        </w:r>
        <w:r w:rsidR="00E2496A">
          <w:rPr>
            <w:noProof/>
            <w:webHidden/>
          </w:rPr>
          <w:tab/>
        </w:r>
        <w:r w:rsidR="00E2496A">
          <w:rPr>
            <w:noProof/>
            <w:webHidden/>
          </w:rPr>
          <w:fldChar w:fldCharType="begin"/>
        </w:r>
        <w:r w:rsidR="00E2496A">
          <w:rPr>
            <w:noProof/>
            <w:webHidden/>
          </w:rPr>
          <w:instrText xml:space="preserve"> PAGEREF _Toc229618778 \h </w:instrText>
        </w:r>
        <w:r w:rsidR="00E2496A">
          <w:rPr>
            <w:noProof/>
            <w:webHidden/>
          </w:rPr>
        </w:r>
        <w:r w:rsidR="00E2496A">
          <w:rPr>
            <w:noProof/>
            <w:webHidden/>
          </w:rPr>
          <w:fldChar w:fldCharType="separate"/>
        </w:r>
        <w:r w:rsidR="00983108">
          <w:rPr>
            <w:noProof/>
            <w:webHidden/>
          </w:rPr>
          <w:t>11</w:t>
        </w:r>
        <w:r w:rsidR="00E2496A">
          <w:rPr>
            <w:noProof/>
            <w:webHidden/>
          </w:rPr>
          <w:fldChar w:fldCharType="end"/>
        </w:r>
      </w:hyperlink>
    </w:p>
    <w:p w14:paraId="25C9C3A0" w14:textId="6D893096" w:rsidR="00E2496A" w:rsidRDefault="00D20671">
      <w:pPr>
        <w:pStyle w:val="TOC1"/>
        <w:tabs>
          <w:tab w:val="right" w:leader="dot" w:pos="9062"/>
        </w:tabs>
        <w:rPr>
          <w:rFonts w:asciiTheme="minorHAnsi" w:eastAsiaTheme="minorEastAsia" w:hAnsiTheme="minorHAnsi"/>
          <w:noProof/>
          <w:sz w:val="22"/>
          <w:lang w:eastAsia="fr-FR"/>
        </w:rPr>
      </w:pPr>
      <w:hyperlink w:anchor="_Toc229618779" w:history="1">
        <w:r w:rsidR="00E2496A" w:rsidRPr="00A52800">
          <w:rPr>
            <w:rStyle w:val="Hyperlink"/>
            <w:rFonts w:eastAsiaTheme="minorBidi"/>
            <w:noProof/>
          </w:rPr>
          <w:t>6/ Complications liées au diabète type 2:</w:t>
        </w:r>
        <w:r w:rsidR="00E2496A">
          <w:rPr>
            <w:noProof/>
            <w:webHidden/>
          </w:rPr>
          <w:tab/>
        </w:r>
        <w:r w:rsidR="00E2496A">
          <w:rPr>
            <w:noProof/>
            <w:webHidden/>
          </w:rPr>
          <w:fldChar w:fldCharType="begin"/>
        </w:r>
        <w:r w:rsidR="00E2496A">
          <w:rPr>
            <w:noProof/>
            <w:webHidden/>
          </w:rPr>
          <w:instrText xml:space="preserve"> PAGEREF _Toc229618779 \h </w:instrText>
        </w:r>
        <w:r w:rsidR="00E2496A">
          <w:rPr>
            <w:noProof/>
            <w:webHidden/>
          </w:rPr>
        </w:r>
        <w:r w:rsidR="00E2496A">
          <w:rPr>
            <w:noProof/>
            <w:webHidden/>
          </w:rPr>
          <w:fldChar w:fldCharType="separate"/>
        </w:r>
        <w:r w:rsidR="00983108">
          <w:rPr>
            <w:noProof/>
            <w:webHidden/>
          </w:rPr>
          <w:t>12</w:t>
        </w:r>
        <w:r w:rsidR="00E2496A">
          <w:rPr>
            <w:noProof/>
            <w:webHidden/>
          </w:rPr>
          <w:fldChar w:fldCharType="end"/>
        </w:r>
      </w:hyperlink>
    </w:p>
    <w:p w14:paraId="486295E9" w14:textId="5278F56A" w:rsidR="00E2496A" w:rsidRDefault="00D20671">
      <w:pPr>
        <w:pStyle w:val="TOC2"/>
        <w:tabs>
          <w:tab w:val="right" w:leader="dot" w:pos="9062"/>
        </w:tabs>
        <w:rPr>
          <w:rFonts w:asciiTheme="minorHAnsi" w:eastAsiaTheme="minorEastAsia" w:hAnsiTheme="minorHAnsi"/>
          <w:noProof/>
          <w:sz w:val="22"/>
          <w:lang w:eastAsia="fr-FR"/>
        </w:rPr>
      </w:pPr>
      <w:hyperlink w:anchor="_Toc229618780" w:history="1">
        <w:r w:rsidR="00E2496A" w:rsidRPr="00A52800">
          <w:rPr>
            <w:rStyle w:val="Hyperlink"/>
            <w:rFonts w:eastAsiaTheme="minorBidi"/>
            <w:noProof/>
          </w:rPr>
          <w:t>6-1/ Les complications métaboliques aiguës :</w:t>
        </w:r>
        <w:r w:rsidR="00E2496A">
          <w:rPr>
            <w:noProof/>
            <w:webHidden/>
          </w:rPr>
          <w:tab/>
        </w:r>
        <w:r w:rsidR="00E2496A">
          <w:rPr>
            <w:noProof/>
            <w:webHidden/>
          </w:rPr>
          <w:fldChar w:fldCharType="begin"/>
        </w:r>
        <w:r w:rsidR="00E2496A">
          <w:rPr>
            <w:noProof/>
            <w:webHidden/>
          </w:rPr>
          <w:instrText xml:space="preserve"> PAGEREF _Toc229618780 \h </w:instrText>
        </w:r>
        <w:r w:rsidR="00E2496A">
          <w:rPr>
            <w:noProof/>
            <w:webHidden/>
          </w:rPr>
        </w:r>
        <w:r w:rsidR="00E2496A">
          <w:rPr>
            <w:noProof/>
            <w:webHidden/>
          </w:rPr>
          <w:fldChar w:fldCharType="separate"/>
        </w:r>
        <w:r w:rsidR="00983108">
          <w:rPr>
            <w:noProof/>
            <w:webHidden/>
          </w:rPr>
          <w:t>12</w:t>
        </w:r>
        <w:r w:rsidR="00E2496A">
          <w:rPr>
            <w:noProof/>
            <w:webHidden/>
          </w:rPr>
          <w:fldChar w:fldCharType="end"/>
        </w:r>
      </w:hyperlink>
    </w:p>
    <w:p w14:paraId="091DDBBF" w14:textId="1428D007" w:rsidR="00E2496A" w:rsidRDefault="00D20671">
      <w:pPr>
        <w:pStyle w:val="TOC2"/>
        <w:tabs>
          <w:tab w:val="right" w:leader="dot" w:pos="9062"/>
        </w:tabs>
        <w:rPr>
          <w:rFonts w:asciiTheme="minorHAnsi" w:eastAsiaTheme="minorEastAsia" w:hAnsiTheme="minorHAnsi"/>
          <w:noProof/>
          <w:sz w:val="22"/>
          <w:lang w:eastAsia="fr-FR"/>
        </w:rPr>
      </w:pPr>
      <w:hyperlink w:anchor="_Toc229618781" w:history="1">
        <w:r w:rsidR="00E2496A" w:rsidRPr="00A52800">
          <w:rPr>
            <w:rStyle w:val="Hyperlink"/>
            <w:noProof/>
          </w:rPr>
          <w:t>6-2/ Complications chroniques du diabète de type 2 :</w:t>
        </w:r>
        <w:r w:rsidR="00E2496A">
          <w:rPr>
            <w:noProof/>
            <w:webHidden/>
          </w:rPr>
          <w:tab/>
        </w:r>
        <w:r w:rsidR="00E2496A">
          <w:rPr>
            <w:noProof/>
            <w:webHidden/>
          </w:rPr>
          <w:fldChar w:fldCharType="begin"/>
        </w:r>
        <w:r w:rsidR="00E2496A">
          <w:rPr>
            <w:noProof/>
            <w:webHidden/>
          </w:rPr>
          <w:instrText xml:space="preserve"> PAGEREF _Toc229618781 \h </w:instrText>
        </w:r>
        <w:r w:rsidR="00E2496A">
          <w:rPr>
            <w:noProof/>
            <w:webHidden/>
          </w:rPr>
        </w:r>
        <w:r w:rsidR="00E2496A">
          <w:rPr>
            <w:noProof/>
            <w:webHidden/>
          </w:rPr>
          <w:fldChar w:fldCharType="separate"/>
        </w:r>
        <w:r w:rsidR="00983108">
          <w:rPr>
            <w:noProof/>
            <w:webHidden/>
          </w:rPr>
          <w:t>13</w:t>
        </w:r>
        <w:r w:rsidR="00E2496A">
          <w:rPr>
            <w:noProof/>
            <w:webHidden/>
          </w:rPr>
          <w:fldChar w:fldCharType="end"/>
        </w:r>
      </w:hyperlink>
    </w:p>
    <w:p w14:paraId="5983E888" w14:textId="22945A0C" w:rsidR="00E2496A" w:rsidRDefault="00D20671">
      <w:pPr>
        <w:pStyle w:val="TOC1"/>
        <w:tabs>
          <w:tab w:val="right" w:leader="dot" w:pos="9062"/>
        </w:tabs>
        <w:rPr>
          <w:rFonts w:asciiTheme="minorHAnsi" w:eastAsiaTheme="minorEastAsia" w:hAnsiTheme="minorHAnsi"/>
          <w:noProof/>
          <w:sz w:val="22"/>
          <w:lang w:eastAsia="fr-FR"/>
        </w:rPr>
      </w:pPr>
      <w:hyperlink w:anchor="_Toc229618782" w:history="1">
        <w:r w:rsidR="00E2496A" w:rsidRPr="00A52800">
          <w:rPr>
            <w:rStyle w:val="Hyperlink"/>
            <w:noProof/>
          </w:rPr>
          <w:t>7/Le traitement :</w:t>
        </w:r>
        <w:r w:rsidR="00E2496A">
          <w:rPr>
            <w:noProof/>
            <w:webHidden/>
          </w:rPr>
          <w:tab/>
        </w:r>
        <w:r w:rsidR="00E2496A">
          <w:rPr>
            <w:noProof/>
            <w:webHidden/>
          </w:rPr>
          <w:fldChar w:fldCharType="begin"/>
        </w:r>
        <w:r w:rsidR="00E2496A">
          <w:rPr>
            <w:noProof/>
            <w:webHidden/>
          </w:rPr>
          <w:instrText xml:space="preserve"> PAGEREF _Toc229618782 \h </w:instrText>
        </w:r>
        <w:r w:rsidR="00E2496A">
          <w:rPr>
            <w:noProof/>
            <w:webHidden/>
          </w:rPr>
        </w:r>
        <w:r w:rsidR="00E2496A">
          <w:rPr>
            <w:noProof/>
            <w:webHidden/>
          </w:rPr>
          <w:fldChar w:fldCharType="separate"/>
        </w:r>
        <w:r w:rsidR="00983108">
          <w:rPr>
            <w:noProof/>
            <w:webHidden/>
          </w:rPr>
          <w:t>15</w:t>
        </w:r>
        <w:r w:rsidR="00E2496A">
          <w:rPr>
            <w:noProof/>
            <w:webHidden/>
          </w:rPr>
          <w:fldChar w:fldCharType="end"/>
        </w:r>
      </w:hyperlink>
    </w:p>
    <w:p w14:paraId="347C8173" w14:textId="6A852169" w:rsidR="00E2496A" w:rsidRDefault="00D20671">
      <w:pPr>
        <w:pStyle w:val="TOC2"/>
        <w:tabs>
          <w:tab w:val="right" w:leader="dot" w:pos="9062"/>
        </w:tabs>
        <w:rPr>
          <w:rFonts w:asciiTheme="minorHAnsi" w:eastAsiaTheme="minorEastAsia" w:hAnsiTheme="minorHAnsi"/>
          <w:noProof/>
          <w:sz w:val="22"/>
          <w:lang w:eastAsia="fr-FR"/>
        </w:rPr>
      </w:pPr>
      <w:hyperlink w:anchor="_Toc229618783" w:history="1">
        <w:r w:rsidR="00E2496A" w:rsidRPr="00A52800">
          <w:rPr>
            <w:rStyle w:val="Hyperlink"/>
            <w:noProof/>
          </w:rPr>
          <w:t>7-1/Le Traitement non-médicamenteux (les règles hygiéno-diététiques):</w:t>
        </w:r>
        <w:r w:rsidR="00E2496A">
          <w:rPr>
            <w:noProof/>
            <w:webHidden/>
          </w:rPr>
          <w:tab/>
        </w:r>
        <w:r w:rsidR="00E2496A">
          <w:rPr>
            <w:noProof/>
            <w:webHidden/>
          </w:rPr>
          <w:fldChar w:fldCharType="begin"/>
        </w:r>
        <w:r w:rsidR="00E2496A">
          <w:rPr>
            <w:noProof/>
            <w:webHidden/>
          </w:rPr>
          <w:instrText xml:space="preserve"> PAGEREF _Toc229618783 \h </w:instrText>
        </w:r>
        <w:r w:rsidR="00E2496A">
          <w:rPr>
            <w:noProof/>
            <w:webHidden/>
          </w:rPr>
        </w:r>
        <w:r w:rsidR="00E2496A">
          <w:rPr>
            <w:noProof/>
            <w:webHidden/>
          </w:rPr>
          <w:fldChar w:fldCharType="separate"/>
        </w:r>
        <w:r w:rsidR="00983108">
          <w:rPr>
            <w:noProof/>
            <w:webHidden/>
          </w:rPr>
          <w:t>15</w:t>
        </w:r>
        <w:r w:rsidR="00E2496A">
          <w:rPr>
            <w:noProof/>
            <w:webHidden/>
          </w:rPr>
          <w:fldChar w:fldCharType="end"/>
        </w:r>
      </w:hyperlink>
    </w:p>
    <w:p w14:paraId="277EDCAA" w14:textId="409EBC4D" w:rsidR="00E2496A" w:rsidRDefault="00D20671">
      <w:pPr>
        <w:pStyle w:val="TOC2"/>
        <w:tabs>
          <w:tab w:val="right" w:leader="dot" w:pos="9062"/>
        </w:tabs>
        <w:rPr>
          <w:rFonts w:asciiTheme="minorHAnsi" w:eastAsiaTheme="minorEastAsia" w:hAnsiTheme="minorHAnsi"/>
          <w:noProof/>
          <w:sz w:val="22"/>
          <w:lang w:eastAsia="fr-FR"/>
        </w:rPr>
      </w:pPr>
      <w:hyperlink w:anchor="_Toc229618784" w:history="1">
        <w:r w:rsidR="00E2496A" w:rsidRPr="00A52800">
          <w:rPr>
            <w:rStyle w:val="Hyperlink"/>
            <w:noProof/>
          </w:rPr>
          <w:t>7-2/Le traitement médicamenteux :</w:t>
        </w:r>
        <w:r w:rsidR="00E2496A">
          <w:rPr>
            <w:noProof/>
            <w:webHidden/>
          </w:rPr>
          <w:tab/>
        </w:r>
        <w:r w:rsidR="00E2496A">
          <w:rPr>
            <w:noProof/>
            <w:webHidden/>
          </w:rPr>
          <w:fldChar w:fldCharType="begin"/>
        </w:r>
        <w:r w:rsidR="00E2496A">
          <w:rPr>
            <w:noProof/>
            <w:webHidden/>
          </w:rPr>
          <w:instrText xml:space="preserve"> PAGEREF _Toc229618784 \h </w:instrText>
        </w:r>
        <w:r w:rsidR="00E2496A">
          <w:rPr>
            <w:noProof/>
            <w:webHidden/>
          </w:rPr>
        </w:r>
        <w:r w:rsidR="00E2496A">
          <w:rPr>
            <w:noProof/>
            <w:webHidden/>
          </w:rPr>
          <w:fldChar w:fldCharType="separate"/>
        </w:r>
        <w:r w:rsidR="00983108">
          <w:rPr>
            <w:noProof/>
            <w:webHidden/>
          </w:rPr>
          <w:t>17</w:t>
        </w:r>
        <w:r w:rsidR="00E2496A">
          <w:rPr>
            <w:noProof/>
            <w:webHidden/>
          </w:rPr>
          <w:fldChar w:fldCharType="end"/>
        </w:r>
      </w:hyperlink>
    </w:p>
    <w:p w14:paraId="48E42EF6" w14:textId="43109145" w:rsidR="00E2496A" w:rsidRDefault="00D20671">
      <w:pPr>
        <w:pStyle w:val="TOC2"/>
        <w:tabs>
          <w:tab w:val="right" w:leader="dot" w:pos="9062"/>
        </w:tabs>
        <w:rPr>
          <w:rFonts w:asciiTheme="minorHAnsi" w:eastAsiaTheme="minorEastAsia" w:hAnsiTheme="minorHAnsi"/>
          <w:noProof/>
          <w:sz w:val="22"/>
          <w:lang w:eastAsia="fr-FR"/>
        </w:rPr>
      </w:pPr>
      <w:hyperlink w:anchor="_Toc229618785" w:history="1">
        <w:r w:rsidR="00E2496A" w:rsidRPr="00A52800">
          <w:rPr>
            <w:rStyle w:val="Hyperlink"/>
            <w:noProof/>
          </w:rPr>
          <w:t>7-3/ L’éducation thérapeutique du patient :</w:t>
        </w:r>
        <w:r w:rsidR="00E2496A">
          <w:rPr>
            <w:noProof/>
            <w:webHidden/>
          </w:rPr>
          <w:tab/>
        </w:r>
        <w:r w:rsidR="00E2496A">
          <w:rPr>
            <w:noProof/>
            <w:webHidden/>
          </w:rPr>
          <w:fldChar w:fldCharType="begin"/>
        </w:r>
        <w:r w:rsidR="00E2496A">
          <w:rPr>
            <w:noProof/>
            <w:webHidden/>
          </w:rPr>
          <w:instrText xml:space="preserve"> PAGEREF _Toc229618785 \h </w:instrText>
        </w:r>
        <w:r w:rsidR="00E2496A">
          <w:rPr>
            <w:noProof/>
            <w:webHidden/>
          </w:rPr>
        </w:r>
        <w:r w:rsidR="00E2496A">
          <w:rPr>
            <w:noProof/>
            <w:webHidden/>
          </w:rPr>
          <w:fldChar w:fldCharType="separate"/>
        </w:r>
        <w:r w:rsidR="00983108">
          <w:rPr>
            <w:noProof/>
            <w:webHidden/>
          </w:rPr>
          <w:t>29</w:t>
        </w:r>
        <w:r w:rsidR="00E2496A">
          <w:rPr>
            <w:noProof/>
            <w:webHidden/>
          </w:rPr>
          <w:fldChar w:fldCharType="end"/>
        </w:r>
      </w:hyperlink>
    </w:p>
    <w:p w14:paraId="74EA7EF6" w14:textId="74EAA90A" w:rsidR="00E2496A" w:rsidRDefault="00D20671">
      <w:pPr>
        <w:pStyle w:val="TOC2"/>
        <w:tabs>
          <w:tab w:val="right" w:leader="dot" w:pos="9062"/>
        </w:tabs>
        <w:rPr>
          <w:rFonts w:asciiTheme="minorHAnsi" w:eastAsiaTheme="minorEastAsia" w:hAnsiTheme="minorHAnsi"/>
          <w:noProof/>
          <w:sz w:val="22"/>
          <w:lang w:eastAsia="fr-FR"/>
        </w:rPr>
      </w:pPr>
      <w:hyperlink w:anchor="_Toc229618786" w:history="1">
        <w:r w:rsidR="00E2496A" w:rsidRPr="00A52800">
          <w:rPr>
            <w:rStyle w:val="Hyperlink"/>
            <w:noProof/>
          </w:rPr>
          <w:t>7-4 / Perspective thérapeutique du diabete type 2  :</w:t>
        </w:r>
        <w:r w:rsidR="00E2496A">
          <w:rPr>
            <w:noProof/>
            <w:webHidden/>
          </w:rPr>
          <w:tab/>
        </w:r>
        <w:r w:rsidR="00E2496A">
          <w:rPr>
            <w:noProof/>
            <w:webHidden/>
          </w:rPr>
          <w:fldChar w:fldCharType="begin"/>
        </w:r>
        <w:r w:rsidR="00E2496A">
          <w:rPr>
            <w:noProof/>
            <w:webHidden/>
          </w:rPr>
          <w:instrText xml:space="preserve"> PAGEREF _Toc229618786 \h </w:instrText>
        </w:r>
        <w:r w:rsidR="00E2496A">
          <w:rPr>
            <w:noProof/>
            <w:webHidden/>
          </w:rPr>
        </w:r>
        <w:r w:rsidR="00E2496A">
          <w:rPr>
            <w:noProof/>
            <w:webHidden/>
          </w:rPr>
          <w:fldChar w:fldCharType="separate"/>
        </w:r>
        <w:r w:rsidR="00983108">
          <w:rPr>
            <w:noProof/>
            <w:webHidden/>
          </w:rPr>
          <w:t>31</w:t>
        </w:r>
        <w:r w:rsidR="00E2496A">
          <w:rPr>
            <w:noProof/>
            <w:webHidden/>
          </w:rPr>
          <w:fldChar w:fldCharType="end"/>
        </w:r>
      </w:hyperlink>
    </w:p>
    <w:p w14:paraId="63159D46" w14:textId="34AB6164" w:rsidR="00E2496A" w:rsidRDefault="00D20671">
      <w:pPr>
        <w:pStyle w:val="TOC1"/>
        <w:tabs>
          <w:tab w:val="right" w:leader="dot" w:pos="9062"/>
        </w:tabs>
        <w:rPr>
          <w:rFonts w:asciiTheme="minorHAnsi" w:eastAsiaTheme="minorEastAsia" w:hAnsiTheme="minorHAnsi"/>
          <w:noProof/>
          <w:sz w:val="22"/>
          <w:lang w:eastAsia="fr-FR"/>
        </w:rPr>
      </w:pPr>
      <w:hyperlink w:anchor="_Toc229618787" w:history="1">
        <w:r w:rsidR="00E2496A" w:rsidRPr="00A52800">
          <w:rPr>
            <w:rStyle w:val="Hyperlink"/>
            <w:noProof/>
          </w:rPr>
          <w:t>Chapitre 02 : Les plantes médicinales et diabéte type 2</w:t>
        </w:r>
        <w:r w:rsidR="00E2496A">
          <w:rPr>
            <w:noProof/>
            <w:webHidden/>
          </w:rPr>
          <w:tab/>
        </w:r>
        <w:r w:rsidR="00E2496A">
          <w:rPr>
            <w:noProof/>
            <w:webHidden/>
          </w:rPr>
          <w:fldChar w:fldCharType="begin"/>
        </w:r>
        <w:r w:rsidR="00E2496A">
          <w:rPr>
            <w:noProof/>
            <w:webHidden/>
          </w:rPr>
          <w:instrText xml:space="preserve"> PAGEREF _Toc229618787 \h </w:instrText>
        </w:r>
        <w:r w:rsidR="00E2496A">
          <w:rPr>
            <w:noProof/>
            <w:webHidden/>
          </w:rPr>
        </w:r>
        <w:r w:rsidR="00E2496A">
          <w:rPr>
            <w:noProof/>
            <w:webHidden/>
          </w:rPr>
          <w:fldChar w:fldCharType="separate"/>
        </w:r>
        <w:r w:rsidR="00983108">
          <w:rPr>
            <w:noProof/>
            <w:webHidden/>
          </w:rPr>
          <w:t>32</w:t>
        </w:r>
        <w:r w:rsidR="00E2496A">
          <w:rPr>
            <w:noProof/>
            <w:webHidden/>
          </w:rPr>
          <w:fldChar w:fldCharType="end"/>
        </w:r>
      </w:hyperlink>
    </w:p>
    <w:p w14:paraId="4F3F74A6" w14:textId="55FACBF9" w:rsidR="00E2496A" w:rsidRDefault="00D20671">
      <w:pPr>
        <w:pStyle w:val="TOC1"/>
        <w:tabs>
          <w:tab w:val="right" w:leader="dot" w:pos="9062"/>
        </w:tabs>
        <w:rPr>
          <w:rFonts w:asciiTheme="minorHAnsi" w:eastAsiaTheme="minorEastAsia" w:hAnsiTheme="minorHAnsi"/>
          <w:noProof/>
          <w:sz w:val="22"/>
          <w:lang w:eastAsia="fr-FR"/>
        </w:rPr>
      </w:pPr>
      <w:hyperlink w:anchor="_Toc229618788" w:history="1">
        <w:r w:rsidR="00E2496A" w:rsidRPr="00A52800">
          <w:rPr>
            <w:rStyle w:val="Hyperlink"/>
            <w:rFonts w:eastAsiaTheme="minorBidi"/>
            <w:noProof/>
          </w:rPr>
          <w:t>1/Définition la phytothérapie :</w:t>
        </w:r>
        <w:r w:rsidR="00E2496A">
          <w:rPr>
            <w:noProof/>
            <w:webHidden/>
          </w:rPr>
          <w:tab/>
        </w:r>
        <w:r w:rsidR="00E2496A">
          <w:rPr>
            <w:noProof/>
            <w:webHidden/>
          </w:rPr>
          <w:fldChar w:fldCharType="begin"/>
        </w:r>
        <w:r w:rsidR="00E2496A">
          <w:rPr>
            <w:noProof/>
            <w:webHidden/>
          </w:rPr>
          <w:instrText xml:space="preserve"> PAGEREF _Toc229618788 \h </w:instrText>
        </w:r>
        <w:r w:rsidR="00E2496A">
          <w:rPr>
            <w:noProof/>
            <w:webHidden/>
          </w:rPr>
        </w:r>
        <w:r w:rsidR="00E2496A">
          <w:rPr>
            <w:noProof/>
            <w:webHidden/>
          </w:rPr>
          <w:fldChar w:fldCharType="separate"/>
        </w:r>
        <w:r w:rsidR="00983108">
          <w:rPr>
            <w:noProof/>
            <w:webHidden/>
          </w:rPr>
          <w:t>33</w:t>
        </w:r>
        <w:r w:rsidR="00E2496A">
          <w:rPr>
            <w:noProof/>
            <w:webHidden/>
          </w:rPr>
          <w:fldChar w:fldCharType="end"/>
        </w:r>
      </w:hyperlink>
    </w:p>
    <w:p w14:paraId="506AE590" w14:textId="0F8C20CF" w:rsidR="00E2496A" w:rsidRDefault="00D20671">
      <w:pPr>
        <w:pStyle w:val="TOC1"/>
        <w:tabs>
          <w:tab w:val="right" w:leader="dot" w:pos="9062"/>
        </w:tabs>
        <w:rPr>
          <w:rFonts w:asciiTheme="minorHAnsi" w:eastAsiaTheme="minorEastAsia" w:hAnsiTheme="minorHAnsi"/>
          <w:noProof/>
          <w:sz w:val="22"/>
          <w:lang w:eastAsia="fr-FR"/>
        </w:rPr>
      </w:pPr>
      <w:hyperlink w:anchor="_Toc229618789" w:history="1">
        <w:r w:rsidR="00E2496A" w:rsidRPr="00A52800">
          <w:rPr>
            <w:rStyle w:val="Hyperlink"/>
            <w:rFonts w:eastAsiaTheme="minorBidi"/>
            <w:noProof/>
          </w:rPr>
          <w:t>2/Historique de la phytothérapie:</w:t>
        </w:r>
        <w:r w:rsidR="00E2496A">
          <w:rPr>
            <w:noProof/>
            <w:webHidden/>
          </w:rPr>
          <w:tab/>
        </w:r>
        <w:r w:rsidR="00E2496A">
          <w:rPr>
            <w:noProof/>
            <w:webHidden/>
          </w:rPr>
          <w:fldChar w:fldCharType="begin"/>
        </w:r>
        <w:r w:rsidR="00E2496A">
          <w:rPr>
            <w:noProof/>
            <w:webHidden/>
          </w:rPr>
          <w:instrText xml:space="preserve"> PAGEREF _Toc229618789 \h </w:instrText>
        </w:r>
        <w:r w:rsidR="00E2496A">
          <w:rPr>
            <w:noProof/>
            <w:webHidden/>
          </w:rPr>
        </w:r>
        <w:r w:rsidR="00E2496A">
          <w:rPr>
            <w:noProof/>
            <w:webHidden/>
          </w:rPr>
          <w:fldChar w:fldCharType="separate"/>
        </w:r>
        <w:r w:rsidR="00983108">
          <w:rPr>
            <w:noProof/>
            <w:webHidden/>
          </w:rPr>
          <w:t>33</w:t>
        </w:r>
        <w:r w:rsidR="00E2496A">
          <w:rPr>
            <w:noProof/>
            <w:webHidden/>
          </w:rPr>
          <w:fldChar w:fldCharType="end"/>
        </w:r>
      </w:hyperlink>
    </w:p>
    <w:p w14:paraId="2FF59650" w14:textId="7EFDE207" w:rsidR="00E2496A" w:rsidRDefault="00D20671">
      <w:pPr>
        <w:pStyle w:val="TOC1"/>
        <w:tabs>
          <w:tab w:val="right" w:leader="dot" w:pos="9062"/>
        </w:tabs>
        <w:rPr>
          <w:rFonts w:asciiTheme="minorHAnsi" w:eastAsiaTheme="minorEastAsia" w:hAnsiTheme="minorHAnsi"/>
          <w:noProof/>
          <w:sz w:val="22"/>
          <w:lang w:eastAsia="fr-FR"/>
        </w:rPr>
      </w:pPr>
      <w:hyperlink w:anchor="_Toc229618790" w:history="1">
        <w:r w:rsidR="00E2496A" w:rsidRPr="00A52800">
          <w:rPr>
            <w:rStyle w:val="Hyperlink"/>
            <w:rFonts w:eastAsia="Calibri"/>
            <w:noProof/>
          </w:rPr>
          <w:t>3/Le positionnement de OMS :</w:t>
        </w:r>
        <w:r w:rsidR="00E2496A">
          <w:rPr>
            <w:noProof/>
            <w:webHidden/>
          </w:rPr>
          <w:tab/>
        </w:r>
        <w:r w:rsidR="00E2496A">
          <w:rPr>
            <w:noProof/>
            <w:webHidden/>
          </w:rPr>
          <w:fldChar w:fldCharType="begin"/>
        </w:r>
        <w:r w:rsidR="00E2496A">
          <w:rPr>
            <w:noProof/>
            <w:webHidden/>
          </w:rPr>
          <w:instrText xml:space="preserve"> PAGEREF _Toc229618790 \h </w:instrText>
        </w:r>
        <w:r w:rsidR="00E2496A">
          <w:rPr>
            <w:noProof/>
            <w:webHidden/>
          </w:rPr>
        </w:r>
        <w:r w:rsidR="00E2496A">
          <w:rPr>
            <w:noProof/>
            <w:webHidden/>
          </w:rPr>
          <w:fldChar w:fldCharType="separate"/>
        </w:r>
        <w:r w:rsidR="00983108">
          <w:rPr>
            <w:noProof/>
            <w:webHidden/>
          </w:rPr>
          <w:t>34</w:t>
        </w:r>
        <w:r w:rsidR="00E2496A">
          <w:rPr>
            <w:noProof/>
            <w:webHidden/>
          </w:rPr>
          <w:fldChar w:fldCharType="end"/>
        </w:r>
      </w:hyperlink>
    </w:p>
    <w:p w14:paraId="7B943C19" w14:textId="45A43CEF" w:rsidR="00E2496A" w:rsidRDefault="00D20671">
      <w:pPr>
        <w:pStyle w:val="TOC2"/>
        <w:tabs>
          <w:tab w:val="right" w:leader="dot" w:pos="9062"/>
        </w:tabs>
        <w:rPr>
          <w:rFonts w:asciiTheme="minorHAnsi" w:eastAsiaTheme="minorEastAsia" w:hAnsiTheme="minorHAnsi"/>
          <w:noProof/>
          <w:sz w:val="22"/>
          <w:lang w:eastAsia="fr-FR"/>
        </w:rPr>
      </w:pPr>
      <w:hyperlink w:anchor="_Toc229618791" w:history="1">
        <w:r w:rsidR="00E2496A" w:rsidRPr="00A52800">
          <w:rPr>
            <w:rStyle w:val="Hyperlink"/>
            <w:rFonts w:eastAsia="Times New Roman"/>
            <w:noProof/>
          </w:rPr>
          <w:t>3-1. Politique sur la médecine traditionnelle</w:t>
        </w:r>
        <w:r w:rsidR="00E2496A">
          <w:rPr>
            <w:noProof/>
            <w:webHidden/>
          </w:rPr>
          <w:tab/>
        </w:r>
        <w:r w:rsidR="00E2496A">
          <w:rPr>
            <w:noProof/>
            <w:webHidden/>
          </w:rPr>
          <w:fldChar w:fldCharType="begin"/>
        </w:r>
        <w:r w:rsidR="00E2496A">
          <w:rPr>
            <w:noProof/>
            <w:webHidden/>
          </w:rPr>
          <w:instrText xml:space="preserve"> PAGEREF _Toc229618791 \h </w:instrText>
        </w:r>
        <w:r w:rsidR="00E2496A">
          <w:rPr>
            <w:noProof/>
            <w:webHidden/>
          </w:rPr>
        </w:r>
        <w:r w:rsidR="00E2496A">
          <w:rPr>
            <w:noProof/>
            <w:webHidden/>
          </w:rPr>
          <w:fldChar w:fldCharType="separate"/>
        </w:r>
        <w:r w:rsidR="00983108">
          <w:rPr>
            <w:noProof/>
            <w:webHidden/>
          </w:rPr>
          <w:t>34</w:t>
        </w:r>
        <w:r w:rsidR="00E2496A">
          <w:rPr>
            <w:noProof/>
            <w:webHidden/>
          </w:rPr>
          <w:fldChar w:fldCharType="end"/>
        </w:r>
      </w:hyperlink>
    </w:p>
    <w:p w14:paraId="00D27E67" w14:textId="662FB65C" w:rsidR="00E2496A" w:rsidRDefault="00D20671">
      <w:pPr>
        <w:pStyle w:val="TOC2"/>
        <w:tabs>
          <w:tab w:val="right" w:leader="dot" w:pos="9062"/>
        </w:tabs>
        <w:rPr>
          <w:rFonts w:asciiTheme="minorHAnsi" w:eastAsiaTheme="minorEastAsia" w:hAnsiTheme="minorHAnsi"/>
          <w:noProof/>
          <w:sz w:val="22"/>
          <w:lang w:eastAsia="fr-FR"/>
        </w:rPr>
      </w:pPr>
      <w:hyperlink w:anchor="_Toc229618792" w:history="1">
        <w:r w:rsidR="00E2496A" w:rsidRPr="00A52800">
          <w:rPr>
            <w:rStyle w:val="Hyperlink"/>
            <w:rFonts w:eastAsia="Times New Roman"/>
            <w:noProof/>
          </w:rPr>
          <w:t>1-2. Monographies et contrôle de qualité</w:t>
        </w:r>
        <w:r w:rsidR="00E2496A">
          <w:rPr>
            <w:noProof/>
            <w:webHidden/>
          </w:rPr>
          <w:tab/>
        </w:r>
        <w:r w:rsidR="00E2496A">
          <w:rPr>
            <w:noProof/>
            <w:webHidden/>
          </w:rPr>
          <w:fldChar w:fldCharType="begin"/>
        </w:r>
        <w:r w:rsidR="00E2496A">
          <w:rPr>
            <w:noProof/>
            <w:webHidden/>
          </w:rPr>
          <w:instrText xml:space="preserve"> PAGEREF _Toc229618792 \h </w:instrText>
        </w:r>
        <w:r w:rsidR="00E2496A">
          <w:rPr>
            <w:noProof/>
            <w:webHidden/>
          </w:rPr>
        </w:r>
        <w:r w:rsidR="00E2496A">
          <w:rPr>
            <w:noProof/>
            <w:webHidden/>
          </w:rPr>
          <w:fldChar w:fldCharType="separate"/>
        </w:r>
        <w:r w:rsidR="00983108">
          <w:rPr>
            <w:noProof/>
            <w:webHidden/>
          </w:rPr>
          <w:t>34</w:t>
        </w:r>
        <w:r w:rsidR="00E2496A">
          <w:rPr>
            <w:noProof/>
            <w:webHidden/>
          </w:rPr>
          <w:fldChar w:fldCharType="end"/>
        </w:r>
      </w:hyperlink>
    </w:p>
    <w:p w14:paraId="2647D783" w14:textId="2AFD08A5" w:rsidR="00E2496A" w:rsidRDefault="00D20671">
      <w:pPr>
        <w:pStyle w:val="TOC2"/>
        <w:tabs>
          <w:tab w:val="right" w:leader="dot" w:pos="9062"/>
        </w:tabs>
        <w:rPr>
          <w:rFonts w:asciiTheme="minorHAnsi" w:eastAsiaTheme="minorEastAsia" w:hAnsiTheme="minorHAnsi"/>
          <w:noProof/>
          <w:sz w:val="22"/>
          <w:lang w:eastAsia="fr-FR"/>
        </w:rPr>
      </w:pPr>
      <w:hyperlink w:anchor="_Toc229618793" w:history="1">
        <w:r w:rsidR="00E2496A" w:rsidRPr="00A52800">
          <w:rPr>
            <w:rStyle w:val="Hyperlink"/>
            <w:rFonts w:eastAsia="Times New Roman"/>
            <w:noProof/>
          </w:rPr>
          <w:t>1-3. Guidelines méthodologiques pour la recherche</w:t>
        </w:r>
        <w:r w:rsidR="00E2496A">
          <w:rPr>
            <w:noProof/>
            <w:webHidden/>
          </w:rPr>
          <w:tab/>
        </w:r>
        <w:r w:rsidR="00E2496A">
          <w:rPr>
            <w:noProof/>
            <w:webHidden/>
          </w:rPr>
          <w:fldChar w:fldCharType="begin"/>
        </w:r>
        <w:r w:rsidR="00E2496A">
          <w:rPr>
            <w:noProof/>
            <w:webHidden/>
          </w:rPr>
          <w:instrText xml:space="preserve"> PAGEREF _Toc229618793 \h </w:instrText>
        </w:r>
        <w:r w:rsidR="00E2496A">
          <w:rPr>
            <w:noProof/>
            <w:webHidden/>
          </w:rPr>
        </w:r>
        <w:r w:rsidR="00E2496A">
          <w:rPr>
            <w:noProof/>
            <w:webHidden/>
          </w:rPr>
          <w:fldChar w:fldCharType="separate"/>
        </w:r>
        <w:r w:rsidR="00983108">
          <w:rPr>
            <w:noProof/>
            <w:webHidden/>
          </w:rPr>
          <w:t>35</w:t>
        </w:r>
        <w:r w:rsidR="00E2496A">
          <w:rPr>
            <w:noProof/>
            <w:webHidden/>
          </w:rPr>
          <w:fldChar w:fldCharType="end"/>
        </w:r>
      </w:hyperlink>
    </w:p>
    <w:p w14:paraId="2D2388DF" w14:textId="122285BF" w:rsidR="00E2496A" w:rsidRDefault="00D20671">
      <w:pPr>
        <w:pStyle w:val="TOC1"/>
        <w:tabs>
          <w:tab w:val="right" w:leader="dot" w:pos="9062"/>
        </w:tabs>
        <w:rPr>
          <w:rFonts w:asciiTheme="minorHAnsi" w:eastAsiaTheme="minorEastAsia" w:hAnsiTheme="minorHAnsi"/>
          <w:noProof/>
          <w:sz w:val="22"/>
          <w:lang w:eastAsia="fr-FR"/>
        </w:rPr>
      </w:pPr>
      <w:hyperlink w:anchor="_Toc229618794" w:history="1">
        <w:r w:rsidR="00E2496A" w:rsidRPr="00A52800">
          <w:rPr>
            <w:rStyle w:val="Hyperlink"/>
            <w:noProof/>
          </w:rPr>
          <w:t>4/L'éthique en phytothérapie:</w:t>
        </w:r>
        <w:r w:rsidR="00E2496A">
          <w:rPr>
            <w:noProof/>
            <w:webHidden/>
          </w:rPr>
          <w:tab/>
        </w:r>
        <w:r w:rsidR="00E2496A">
          <w:rPr>
            <w:noProof/>
            <w:webHidden/>
          </w:rPr>
          <w:fldChar w:fldCharType="begin"/>
        </w:r>
        <w:r w:rsidR="00E2496A">
          <w:rPr>
            <w:noProof/>
            <w:webHidden/>
          </w:rPr>
          <w:instrText xml:space="preserve"> PAGEREF _Toc229618794 \h </w:instrText>
        </w:r>
        <w:r w:rsidR="00E2496A">
          <w:rPr>
            <w:noProof/>
            <w:webHidden/>
          </w:rPr>
        </w:r>
        <w:r w:rsidR="00E2496A">
          <w:rPr>
            <w:noProof/>
            <w:webHidden/>
          </w:rPr>
          <w:fldChar w:fldCharType="separate"/>
        </w:r>
        <w:r w:rsidR="00983108">
          <w:rPr>
            <w:noProof/>
            <w:webHidden/>
          </w:rPr>
          <w:t>35</w:t>
        </w:r>
        <w:r w:rsidR="00E2496A">
          <w:rPr>
            <w:noProof/>
            <w:webHidden/>
          </w:rPr>
          <w:fldChar w:fldCharType="end"/>
        </w:r>
      </w:hyperlink>
    </w:p>
    <w:p w14:paraId="47468E8B" w14:textId="1162D30B" w:rsidR="00E2496A" w:rsidRDefault="00D20671">
      <w:pPr>
        <w:pStyle w:val="TOC1"/>
        <w:tabs>
          <w:tab w:val="right" w:leader="dot" w:pos="9062"/>
        </w:tabs>
        <w:rPr>
          <w:rFonts w:asciiTheme="minorHAnsi" w:eastAsiaTheme="minorEastAsia" w:hAnsiTheme="minorHAnsi"/>
          <w:noProof/>
          <w:sz w:val="22"/>
          <w:lang w:eastAsia="fr-FR"/>
        </w:rPr>
      </w:pPr>
      <w:hyperlink w:anchor="_Toc229618795" w:history="1">
        <w:r w:rsidR="00E2496A" w:rsidRPr="00A52800">
          <w:rPr>
            <w:rStyle w:val="Hyperlink"/>
            <w:noProof/>
          </w:rPr>
          <w:t>5/Les données de la littérature en Algérie:</w:t>
        </w:r>
        <w:r w:rsidR="00E2496A">
          <w:rPr>
            <w:noProof/>
            <w:webHidden/>
          </w:rPr>
          <w:tab/>
        </w:r>
        <w:r w:rsidR="00E2496A">
          <w:rPr>
            <w:noProof/>
            <w:webHidden/>
          </w:rPr>
          <w:fldChar w:fldCharType="begin"/>
        </w:r>
        <w:r w:rsidR="00E2496A">
          <w:rPr>
            <w:noProof/>
            <w:webHidden/>
          </w:rPr>
          <w:instrText xml:space="preserve"> PAGEREF _Toc229618795 \h </w:instrText>
        </w:r>
        <w:r w:rsidR="00E2496A">
          <w:rPr>
            <w:noProof/>
            <w:webHidden/>
          </w:rPr>
        </w:r>
        <w:r w:rsidR="00E2496A">
          <w:rPr>
            <w:noProof/>
            <w:webHidden/>
          </w:rPr>
          <w:fldChar w:fldCharType="separate"/>
        </w:r>
        <w:r w:rsidR="00983108">
          <w:rPr>
            <w:noProof/>
            <w:webHidden/>
          </w:rPr>
          <w:t>36</w:t>
        </w:r>
        <w:r w:rsidR="00E2496A">
          <w:rPr>
            <w:noProof/>
            <w:webHidden/>
          </w:rPr>
          <w:fldChar w:fldCharType="end"/>
        </w:r>
      </w:hyperlink>
    </w:p>
    <w:p w14:paraId="78D73D2D" w14:textId="1C795625" w:rsidR="00E2496A" w:rsidRDefault="00D20671">
      <w:pPr>
        <w:pStyle w:val="TOC1"/>
        <w:tabs>
          <w:tab w:val="right" w:leader="dot" w:pos="9062"/>
        </w:tabs>
        <w:rPr>
          <w:rFonts w:asciiTheme="minorHAnsi" w:eastAsiaTheme="minorEastAsia" w:hAnsiTheme="minorHAnsi"/>
          <w:noProof/>
          <w:sz w:val="22"/>
          <w:lang w:eastAsia="fr-FR"/>
        </w:rPr>
      </w:pPr>
      <w:hyperlink w:anchor="_Toc229618796" w:history="1">
        <w:r w:rsidR="00E2496A" w:rsidRPr="00A52800">
          <w:rPr>
            <w:rStyle w:val="Hyperlink"/>
            <w:noProof/>
          </w:rPr>
          <w:t>6/Les types de la phytothérapie :</w:t>
        </w:r>
        <w:r w:rsidR="00E2496A">
          <w:rPr>
            <w:noProof/>
            <w:webHidden/>
          </w:rPr>
          <w:tab/>
        </w:r>
        <w:r w:rsidR="00E2496A">
          <w:rPr>
            <w:noProof/>
            <w:webHidden/>
          </w:rPr>
          <w:fldChar w:fldCharType="begin"/>
        </w:r>
        <w:r w:rsidR="00E2496A">
          <w:rPr>
            <w:noProof/>
            <w:webHidden/>
          </w:rPr>
          <w:instrText xml:space="preserve"> PAGEREF _Toc229618796 \h </w:instrText>
        </w:r>
        <w:r w:rsidR="00E2496A">
          <w:rPr>
            <w:noProof/>
            <w:webHidden/>
          </w:rPr>
        </w:r>
        <w:r w:rsidR="00E2496A">
          <w:rPr>
            <w:noProof/>
            <w:webHidden/>
          </w:rPr>
          <w:fldChar w:fldCharType="separate"/>
        </w:r>
        <w:r w:rsidR="00983108">
          <w:rPr>
            <w:noProof/>
            <w:webHidden/>
          </w:rPr>
          <w:t>37</w:t>
        </w:r>
        <w:r w:rsidR="00E2496A">
          <w:rPr>
            <w:noProof/>
            <w:webHidden/>
          </w:rPr>
          <w:fldChar w:fldCharType="end"/>
        </w:r>
      </w:hyperlink>
    </w:p>
    <w:p w14:paraId="7452E539" w14:textId="42A13432" w:rsidR="00E2496A" w:rsidRDefault="00D20671">
      <w:pPr>
        <w:pStyle w:val="TOC2"/>
        <w:tabs>
          <w:tab w:val="right" w:leader="dot" w:pos="9062"/>
        </w:tabs>
        <w:rPr>
          <w:rFonts w:asciiTheme="minorHAnsi" w:eastAsiaTheme="minorEastAsia" w:hAnsiTheme="minorHAnsi"/>
          <w:noProof/>
          <w:sz w:val="22"/>
          <w:lang w:eastAsia="fr-FR"/>
        </w:rPr>
      </w:pPr>
      <w:hyperlink w:anchor="_Toc229618797" w:history="1">
        <w:r w:rsidR="00E2496A" w:rsidRPr="00A52800">
          <w:rPr>
            <w:rStyle w:val="Hyperlink"/>
            <w:noProof/>
          </w:rPr>
          <w:t>6-1/ La phytothérapie traditionnelle:</w:t>
        </w:r>
        <w:r w:rsidR="00E2496A">
          <w:rPr>
            <w:noProof/>
            <w:webHidden/>
          </w:rPr>
          <w:tab/>
        </w:r>
        <w:r w:rsidR="00E2496A">
          <w:rPr>
            <w:noProof/>
            <w:webHidden/>
          </w:rPr>
          <w:fldChar w:fldCharType="begin"/>
        </w:r>
        <w:r w:rsidR="00E2496A">
          <w:rPr>
            <w:noProof/>
            <w:webHidden/>
          </w:rPr>
          <w:instrText xml:space="preserve"> PAGEREF _Toc229618797 \h </w:instrText>
        </w:r>
        <w:r w:rsidR="00E2496A">
          <w:rPr>
            <w:noProof/>
            <w:webHidden/>
          </w:rPr>
        </w:r>
        <w:r w:rsidR="00E2496A">
          <w:rPr>
            <w:noProof/>
            <w:webHidden/>
          </w:rPr>
          <w:fldChar w:fldCharType="separate"/>
        </w:r>
        <w:r w:rsidR="00983108">
          <w:rPr>
            <w:noProof/>
            <w:webHidden/>
          </w:rPr>
          <w:t>37</w:t>
        </w:r>
        <w:r w:rsidR="00E2496A">
          <w:rPr>
            <w:noProof/>
            <w:webHidden/>
          </w:rPr>
          <w:fldChar w:fldCharType="end"/>
        </w:r>
      </w:hyperlink>
    </w:p>
    <w:p w14:paraId="2B30C1E8" w14:textId="14C1D7B2" w:rsidR="00E2496A" w:rsidRDefault="00D20671">
      <w:pPr>
        <w:pStyle w:val="TOC2"/>
        <w:tabs>
          <w:tab w:val="right" w:leader="dot" w:pos="9062"/>
        </w:tabs>
        <w:rPr>
          <w:rFonts w:asciiTheme="minorHAnsi" w:eastAsiaTheme="minorEastAsia" w:hAnsiTheme="minorHAnsi"/>
          <w:noProof/>
          <w:sz w:val="22"/>
          <w:lang w:eastAsia="fr-FR"/>
        </w:rPr>
      </w:pPr>
      <w:hyperlink w:anchor="_Toc229618798" w:history="1">
        <w:r w:rsidR="00E2496A" w:rsidRPr="00A52800">
          <w:rPr>
            <w:rStyle w:val="Hyperlink"/>
            <w:noProof/>
          </w:rPr>
          <w:t>6-2/la phytothérapie moderne :</w:t>
        </w:r>
        <w:r w:rsidR="00E2496A">
          <w:rPr>
            <w:noProof/>
            <w:webHidden/>
          </w:rPr>
          <w:tab/>
        </w:r>
        <w:r w:rsidR="00E2496A">
          <w:rPr>
            <w:noProof/>
            <w:webHidden/>
          </w:rPr>
          <w:fldChar w:fldCharType="begin"/>
        </w:r>
        <w:r w:rsidR="00E2496A">
          <w:rPr>
            <w:noProof/>
            <w:webHidden/>
          </w:rPr>
          <w:instrText xml:space="preserve"> PAGEREF _Toc229618798 \h </w:instrText>
        </w:r>
        <w:r w:rsidR="00E2496A">
          <w:rPr>
            <w:noProof/>
            <w:webHidden/>
          </w:rPr>
        </w:r>
        <w:r w:rsidR="00E2496A">
          <w:rPr>
            <w:noProof/>
            <w:webHidden/>
          </w:rPr>
          <w:fldChar w:fldCharType="separate"/>
        </w:r>
        <w:r w:rsidR="00983108">
          <w:rPr>
            <w:noProof/>
            <w:webHidden/>
          </w:rPr>
          <w:t>37</w:t>
        </w:r>
        <w:r w:rsidR="00E2496A">
          <w:rPr>
            <w:noProof/>
            <w:webHidden/>
          </w:rPr>
          <w:fldChar w:fldCharType="end"/>
        </w:r>
      </w:hyperlink>
    </w:p>
    <w:p w14:paraId="088BA10D" w14:textId="235E90CD" w:rsidR="00E2496A" w:rsidRDefault="00D20671">
      <w:pPr>
        <w:pStyle w:val="TOC2"/>
        <w:tabs>
          <w:tab w:val="right" w:leader="dot" w:pos="9062"/>
        </w:tabs>
        <w:rPr>
          <w:rFonts w:asciiTheme="minorHAnsi" w:eastAsiaTheme="minorEastAsia" w:hAnsiTheme="minorHAnsi"/>
          <w:noProof/>
          <w:sz w:val="22"/>
          <w:lang w:eastAsia="fr-FR"/>
        </w:rPr>
      </w:pPr>
      <w:hyperlink w:anchor="_Toc229618799" w:history="1">
        <w:r w:rsidR="00E2496A" w:rsidRPr="00A52800">
          <w:rPr>
            <w:rStyle w:val="Hyperlink"/>
            <w:noProof/>
          </w:rPr>
          <w:t>6-3/ L’aromathérapie :</w:t>
        </w:r>
        <w:r w:rsidR="00E2496A">
          <w:rPr>
            <w:noProof/>
            <w:webHidden/>
          </w:rPr>
          <w:tab/>
        </w:r>
        <w:r w:rsidR="00E2496A">
          <w:rPr>
            <w:noProof/>
            <w:webHidden/>
          </w:rPr>
          <w:fldChar w:fldCharType="begin"/>
        </w:r>
        <w:r w:rsidR="00E2496A">
          <w:rPr>
            <w:noProof/>
            <w:webHidden/>
          </w:rPr>
          <w:instrText xml:space="preserve"> PAGEREF _Toc229618799 \h </w:instrText>
        </w:r>
        <w:r w:rsidR="00E2496A">
          <w:rPr>
            <w:noProof/>
            <w:webHidden/>
          </w:rPr>
        </w:r>
        <w:r w:rsidR="00E2496A">
          <w:rPr>
            <w:noProof/>
            <w:webHidden/>
          </w:rPr>
          <w:fldChar w:fldCharType="separate"/>
        </w:r>
        <w:r w:rsidR="00983108">
          <w:rPr>
            <w:noProof/>
            <w:webHidden/>
          </w:rPr>
          <w:t>37</w:t>
        </w:r>
        <w:r w:rsidR="00E2496A">
          <w:rPr>
            <w:noProof/>
            <w:webHidden/>
          </w:rPr>
          <w:fldChar w:fldCharType="end"/>
        </w:r>
      </w:hyperlink>
    </w:p>
    <w:p w14:paraId="6FAE12F0" w14:textId="74C68426" w:rsidR="00E2496A" w:rsidRDefault="00D20671">
      <w:pPr>
        <w:pStyle w:val="TOC2"/>
        <w:tabs>
          <w:tab w:val="right" w:leader="dot" w:pos="9062"/>
        </w:tabs>
        <w:rPr>
          <w:rFonts w:asciiTheme="minorHAnsi" w:eastAsiaTheme="minorEastAsia" w:hAnsiTheme="minorHAnsi"/>
          <w:noProof/>
          <w:sz w:val="22"/>
          <w:lang w:eastAsia="fr-FR"/>
        </w:rPr>
      </w:pPr>
      <w:hyperlink w:anchor="_Toc229618800" w:history="1">
        <w:r w:rsidR="00E2496A" w:rsidRPr="00A52800">
          <w:rPr>
            <w:rStyle w:val="Hyperlink"/>
            <w:noProof/>
          </w:rPr>
          <w:t>6-4/La gemmotherapie :</w:t>
        </w:r>
        <w:r w:rsidR="00E2496A">
          <w:rPr>
            <w:noProof/>
            <w:webHidden/>
          </w:rPr>
          <w:tab/>
        </w:r>
        <w:r w:rsidR="00E2496A">
          <w:rPr>
            <w:noProof/>
            <w:webHidden/>
          </w:rPr>
          <w:fldChar w:fldCharType="begin"/>
        </w:r>
        <w:r w:rsidR="00E2496A">
          <w:rPr>
            <w:noProof/>
            <w:webHidden/>
          </w:rPr>
          <w:instrText xml:space="preserve"> PAGEREF _Toc229618800 \h </w:instrText>
        </w:r>
        <w:r w:rsidR="00E2496A">
          <w:rPr>
            <w:noProof/>
            <w:webHidden/>
          </w:rPr>
        </w:r>
        <w:r w:rsidR="00E2496A">
          <w:rPr>
            <w:noProof/>
            <w:webHidden/>
          </w:rPr>
          <w:fldChar w:fldCharType="separate"/>
        </w:r>
        <w:r w:rsidR="00983108">
          <w:rPr>
            <w:noProof/>
            <w:webHidden/>
          </w:rPr>
          <w:t>38</w:t>
        </w:r>
        <w:r w:rsidR="00E2496A">
          <w:rPr>
            <w:noProof/>
            <w:webHidden/>
          </w:rPr>
          <w:fldChar w:fldCharType="end"/>
        </w:r>
      </w:hyperlink>
    </w:p>
    <w:p w14:paraId="04196944" w14:textId="713C7BFD" w:rsidR="00E2496A" w:rsidRDefault="00D20671">
      <w:pPr>
        <w:pStyle w:val="TOC2"/>
        <w:tabs>
          <w:tab w:val="right" w:leader="dot" w:pos="9062"/>
        </w:tabs>
        <w:rPr>
          <w:rFonts w:asciiTheme="minorHAnsi" w:eastAsiaTheme="minorEastAsia" w:hAnsiTheme="minorHAnsi"/>
          <w:noProof/>
          <w:sz w:val="22"/>
          <w:lang w:eastAsia="fr-FR"/>
        </w:rPr>
      </w:pPr>
      <w:hyperlink w:anchor="_Toc229618801" w:history="1">
        <w:r w:rsidR="00E2496A" w:rsidRPr="00A52800">
          <w:rPr>
            <w:rStyle w:val="Hyperlink"/>
            <w:noProof/>
          </w:rPr>
          <w:t>6-5/ La phytothérapie nutritionnelle :</w:t>
        </w:r>
        <w:r w:rsidR="00E2496A">
          <w:rPr>
            <w:noProof/>
            <w:webHidden/>
          </w:rPr>
          <w:tab/>
        </w:r>
        <w:r w:rsidR="00E2496A">
          <w:rPr>
            <w:noProof/>
            <w:webHidden/>
          </w:rPr>
          <w:fldChar w:fldCharType="begin"/>
        </w:r>
        <w:r w:rsidR="00E2496A">
          <w:rPr>
            <w:noProof/>
            <w:webHidden/>
          </w:rPr>
          <w:instrText xml:space="preserve"> PAGEREF _Toc229618801 \h </w:instrText>
        </w:r>
        <w:r w:rsidR="00E2496A">
          <w:rPr>
            <w:noProof/>
            <w:webHidden/>
          </w:rPr>
        </w:r>
        <w:r w:rsidR="00E2496A">
          <w:rPr>
            <w:noProof/>
            <w:webHidden/>
          </w:rPr>
          <w:fldChar w:fldCharType="separate"/>
        </w:r>
        <w:r w:rsidR="00983108">
          <w:rPr>
            <w:noProof/>
            <w:webHidden/>
          </w:rPr>
          <w:t>38</w:t>
        </w:r>
        <w:r w:rsidR="00E2496A">
          <w:rPr>
            <w:noProof/>
            <w:webHidden/>
          </w:rPr>
          <w:fldChar w:fldCharType="end"/>
        </w:r>
      </w:hyperlink>
    </w:p>
    <w:p w14:paraId="5DE814B7" w14:textId="5FF3BB24" w:rsidR="00E2496A" w:rsidRDefault="00D20671">
      <w:pPr>
        <w:pStyle w:val="TOC1"/>
        <w:tabs>
          <w:tab w:val="right" w:leader="dot" w:pos="9062"/>
        </w:tabs>
        <w:rPr>
          <w:rFonts w:asciiTheme="minorHAnsi" w:eastAsiaTheme="minorEastAsia" w:hAnsiTheme="minorHAnsi"/>
          <w:noProof/>
          <w:sz w:val="22"/>
          <w:lang w:eastAsia="fr-FR"/>
        </w:rPr>
      </w:pPr>
      <w:hyperlink w:anchor="_Toc229618802" w:history="1">
        <w:r w:rsidR="00E2496A" w:rsidRPr="00A52800">
          <w:rPr>
            <w:rStyle w:val="Hyperlink"/>
            <w:noProof/>
          </w:rPr>
          <w:t>7 /Modalités de Préparation et Formes Galéniques:</w:t>
        </w:r>
        <w:r w:rsidR="00E2496A">
          <w:rPr>
            <w:noProof/>
            <w:webHidden/>
          </w:rPr>
          <w:tab/>
        </w:r>
        <w:r w:rsidR="00E2496A">
          <w:rPr>
            <w:noProof/>
            <w:webHidden/>
          </w:rPr>
          <w:fldChar w:fldCharType="begin"/>
        </w:r>
        <w:r w:rsidR="00E2496A">
          <w:rPr>
            <w:noProof/>
            <w:webHidden/>
          </w:rPr>
          <w:instrText xml:space="preserve"> PAGEREF _Toc229618802 \h </w:instrText>
        </w:r>
        <w:r w:rsidR="00E2496A">
          <w:rPr>
            <w:noProof/>
            <w:webHidden/>
          </w:rPr>
        </w:r>
        <w:r w:rsidR="00E2496A">
          <w:rPr>
            <w:noProof/>
            <w:webHidden/>
          </w:rPr>
          <w:fldChar w:fldCharType="separate"/>
        </w:r>
        <w:r w:rsidR="00983108">
          <w:rPr>
            <w:noProof/>
            <w:webHidden/>
          </w:rPr>
          <w:t>38</w:t>
        </w:r>
        <w:r w:rsidR="00E2496A">
          <w:rPr>
            <w:noProof/>
            <w:webHidden/>
          </w:rPr>
          <w:fldChar w:fldCharType="end"/>
        </w:r>
      </w:hyperlink>
    </w:p>
    <w:p w14:paraId="2B6FA778" w14:textId="76A7518B" w:rsidR="00E2496A" w:rsidRDefault="00D20671">
      <w:pPr>
        <w:pStyle w:val="TOC2"/>
        <w:tabs>
          <w:tab w:val="right" w:leader="dot" w:pos="9062"/>
        </w:tabs>
        <w:rPr>
          <w:rFonts w:asciiTheme="minorHAnsi" w:eastAsiaTheme="minorEastAsia" w:hAnsiTheme="minorHAnsi"/>
          <w:noProof/>
          <w:sz w:val="22"/>
          <w:lang w:eastAsia="fr-FR"/>
        </w:rPr>
      </w:pPr>
      <w:hyperlink w:anchor="_Toc229618803" w:history="1">
        <w:r w:rsidR="00E2496A" w:rsidRPr="00A52800">
          <w:rPr>
            <w:rStyle w:val="Hyperlink"/>
            <w:noProof/>
          </w:rPr>
          <w:t>7-1/L'Infusion :</w:t>
        </w:r>
        <w:r w:rsidR="00E2496A">
          <w:rPr>
            <w:noProof/>
            <w:webHidden/>
          </w:rPr>
          <w:tab/>
        </w:r>
        <w:r w:rsidR="00E2496A">
          <w:rPr>
            <w:noProof/>
            <w:webHidden/>
          </w:rPr>
          <w:fldChar w:fldCharType="begin"/>
        </w:r>
        <w:r w:rsidR="00E2496A">
          <w:rPr>
            <w:noProof/>
            <w:webHidden/>
          </w:rPr>
          <w:instrText xml:space="preserve"> PAGEREF _Toc229618803 \h </w:instrText>
        </w:r>
        <w:r w:rsidR="00E2496A">
          <w:rPr>
            <w:noProof/>
            <w:webHidden/>
          </w:rPr>
        </w:r>
        <w:r w:rsidR="00E2496A">
          <w:rPr>
            <w:noProof/>
            <w:webHidden/>
          </w:rPr>
          <w:fldChar w:fldCharType="separate"/>
        </w:r>
        <w:r w:rsidR="00983108">
          <w:rPr>
            <w:noProof/>
            <w:webHidden/>
          </w:rPr>
          <w:t>38</w:t>
        </w:r>
        <w:r w:rsidR="00E2496A">
          <w:rPr>
            <w:noProof/>
            <w:webHidden/>
          </w:rPr>
          <w:fldChar w:fldCharType="end"/>
        </w:r>
      </w:hyperlink>
    </w:p>
    <w:p w14:paraId="75786B26" w14:textId="1963353B" w:rsidR="00E2496A" w:rsidRDefault="00D20671">
      <w:pPr>
        <w:pStyle w:val="TOC2"/>
        <w:tabs>
          <w:tab w:val="right" w:leader="dot" w:pos="9062"/>
        </w:tabs>
        <w:rPr>
          <w:rFonts w:asciiTheme="minorHAnsi" w:eastAsiaTheme="minorEastAsia" w:hAnsiTheme="minorHAnsi"/>
          <w:noProof/>
          <w:sz w:val="22"/>
          <w:lang w:eastAsia="fr-FR"/>
        </w:rPr>
      </w:pPr>
      <w:hyperlink w:anchor="_Toc229618804" w:history="1">
        <w:r w:rsidR="00E2496A" w:rsidRPr="00A52800">
          <w:rPr>
            <w:rStyle w:val="Hyperlink"/>
            <w:noProof/>
          </w:rPr>
          <w:t>7-2/La Macération :</w:t>
        </w:r>
        <w:r w:rsidR="00E2496A">
          <w:rPr>
            <w:noProof/>
            <w:webHidden/>
          </w:rPr>
          <w:tab/>
        </w:r>
        <w:r w:rsidR="00E2496A">
          <w:rPr>
            <w:noProof/>
            <w:webHidden/>
          </w:rPr>
          <w:fldChar w:fldCharType="begin"/>
        </w:r>
        <w:r w:rsidR="00E2496A">
          <w:rPr>
            <w:noProof/>
            <w:webHidden/>
          </w:rPr>
          <w:instrText xml:space="preserve"> PAGEREF _Toc229618804 \h </w:instrText>
        </w:r>
        <w:r w:rsidR="00E2496A">
          <w:rPr>
            <w:noProof/>
            <w:webHidden/>
          </w:rPr>
        </w:r>
        <w:r w:rsidR="00E2496A">
          <w:rPr>
            <w:noProof/>
            <w:webHidden/>
          </w:rPr>
          <w:fldChar w:fldCharType="separate"/>
        </w:r>
        <w:r w:rsidR="00983108">
          <w:rPr>
            <w:noProof/>
            <w:webHidden/>
          </w:rPr>
          <w:t>39</w:t>
        </w:r>
        <w:r w:rsidR="00E2496A">
          <w:rPr>
            <w:noProof/>
            <w:webHidden/>
          </w:rPr>
          <w:fldChar w:fldCharType="end"/>
        </w:r>
      </w:hyperlink>
    </w:p>
    <w:p w14:paraId="27B398BA" w14:textId="5DB80D7A" w:rsidR="00E2496A" w:rsidRDefault="00D20671">
      <w:pPr>
        <w:pStyle w:val="TOC2"/>
        <w:tabs>
          <w:tab w:val="right" w:leader="dot" w:pos="9062"/>
        </w:tabs>
        <w:rPr>
          <w:rFonts w:asciiTheme="minorHAnsi" w:eastAsiaTheme="minorEastAsia" w:hAnsiTheme="minorHAnsi"/>
          <w:noProof/>
          <w:sz w:val="22"/>
          <w:lang w:eastAsia="fr-FR"/>
        </w:rPr>
      </w:pPr>
      <w:hyperlink w:anchor="_Toc229618805" w:history="1">
        <w:r w:rsidR="00E2496A" w:rsidRPr="00A52800">
          <w:rPr>
            <w:rStyle w:val="Hyperlink"/>
            <w:noProof/>
          </w:rPr>
          <w:t>7-3/Les Extraits :</w:t>
        </w:r>
        <w:r w:rsidR="00E2496A">
          <w:rPr>
            <w:noProof/>
            <w:webHidden/>
          </w:rPr>
          <w:tab/>
        </w:r>
        <w:r w:rsidR="00E2496A">
          <w:rPr>
            <w:noProof/>
            <w:webHidden/>
          </w:rPr>
          <w:fldChar w:fldCharType="begin"/>
        </w:r>
        <w:r w:rsidR="00E2496A">
          <w:rPr>
            <w:noProof/>
            <w:webHidden/>
          </w:rPr>
          <w:instrText xml:space="preserve"> PAGEREF _Toc229618805 \h </w:instrText>
        </w:r>
        <w:r w:rsidR="00E2496A">
          <w:rPr>
            <w:noProof/>
            <w:webHidden/>
          </w:rPr>
        </w:r>
        <w:r w:rsidR="00E2496A">
          <w:rPr>
            <w:noProof/>
            <w:webHidden/>
          </w:rPr>
          <w:fldChar w:fldCharType="separate"/>
        </w:r>
        <w:r w:rsidR="00983108">
          <w:rPr>
            <w:noProof/>
            <w:webHidden/>
          </w:rPr>
          <w:t>39</w:t>
        </w:r>
        <w:r w:rsidR="00E2496A">
          <w:rPr>
            <w:noProof/>
            <w:webHidden/>
          </w:rPr>
          <w:fldChar w:fldCharType="end"/>
        </w:r>
      </w:hyperlink>
    </w:p>
    <w:p w14:paraId="2FF6DE3B" w14:textId="4160C4D9" w:rsidR="00E2496A" w:rsidRDefault="00D20671">
      <w:pPr>
        <w:pStyle w:val="TOC2"/>
        <w:tabs>
          <w:tab w:val="right" w:leader="dot" w:pos="9062"/>
        </w:tabs>
        <w:rPr>
          <w:rFonts w:asciiTheme="minorHAnsi" w:eastAsiaTheme="minorEastAsia" w:hAnsiTheme="minorHAnsi"/>
          <w:noProof/>
          <w:sz w:val="22"/>
          <w:lang w:eastAsia="fr-FR"/>
        </w:rPr>
      </w:pPr>
      <w:hyperlink w:anchor="_Toc229618806" w:history="1">
        <w:r w:rsidR="00E2496A" w:rsidRPr="00A52800">
          <w:rPr>
            <w:rStyle w:val="Hyperlink"/>
            <w:noProof/>
          </w:rPr>
          <w:t>7-4/La Teinture :</w:t>
        </w:r>
        <w:r w:rsidR="00E2496A">
          <w:rPr>
            <w:noProof/>
            <w:webHidden/>
          </w:rPr>
          <w:tab/>
        </w:r>
        <w:r w:rsidR="00E2496A">
          <w:rPr>
            <w:noProof/>
            <w:webHidden/>
          </w:rPr>
          <w:fldChar w:fldCharType="begin"/>
        </w:r>
        <w:r w:rsidR="00E2496A">
          <w:rPr>
            <w:noProof/>
            <w:webHidden/>
          </w:rPr>
          <w:instrText xml:space="preserve"> PAGEREF _Toc229618806 \h </w:instrText>
        </w:r>
        <w:r w:rsidR="00E2496A">
          <w:rPr>
            <w:noProof/>
            <w:webHidden/>
          </w:rPr>
        </w:r>
        <w:r w:rsidR="00E2496A">
          <w:rPr>
            <w:noProof/>
            <w:webHidden/>
          </w:rPr>
          <w:fldChar w:fldCharType="separate"/>
        </w:r>
        <w:r w:rsidR="00983108">
          <w:rPr>
            <w:noProof/>
            <w:webHidden/>
          </w:rPr>
          <w:t>39</w:t>
        </w:r>
        <w:r w:rsidR="00E2496A">
          <w:rPr>
            <w:noProof/>
            <w:webHidden/>
          </w:rPr>
          <w:fldChar w:fldCharType="end"/>
        </w:r>
      </w:hyperlink>
    </w:p>
    <w:p w14:paraId="2CB83BED" w14:textId="372FAE93" w:rsidR="00E2496A" w:rsidRDefault="00D20671">
      <w:pPr>
        <w:pStyle w:val="TOC2"/>
        <w:tabs>
          <w:tab w:val="right" w:leader="dot" w:pos="9062"/>
        </w:tabs>
        <w:rPr>
          <w:rFonts w:asciiTheme="minorHAnsi" w:eastAsiaTheme="minorEastAsia" w:hAnsiTheme="minorHAnsi"/>
          <w:noProof/>
          <w:sz w:val="22"/>
          <w:lang w:eastAsia="fr-FR"/>
        </w:rPr>
      </w:pPr>
      <w:hyperlink w:anchor="_Toc229618807" w:history="1">
        <w:r w:rsidR="00E2496A" w:rsidRPr="00A52800">
          <w:rPr>
            <w:rStyle w:val="Hyperlink"/>
            <w:noProof/>
          </w:rPr>
          <w:t>7-5/Le Sirop :</w:t>
        </w:r>
        <w:r w:rsidR="00E2496A">
          <w:rPr>
            <w:noProof/>
            <w:webHidden/>
          </w:rPr>
          <w:tab/>
        </w:r>
        <w:r w:rsidR="00E2496A">
          <w:rPr>
            <w:noProof/>
            <w:webHidden/>
          </w:rPr>
          <w:fldChar w:fldCharType="begin"/>
        </w:r>
        <w:r w:rsidR="00E2496A">
          <w:rPr>
            <w:noProof/>
            <w:webHidden/>
          </w:rPr>
          <w:instrText xml:space="preserve"> PAGEREF _Toc229618807 \h </w:instrText>
        </w:r>
        <w:r w:rsidR="00E2496A">
          <w:rPr>
            <w:noProof/>
            <w:webHidden/>
          </w:rPr>
        </w:r>
        <w:r w:rsidR="00E2496A">
          <w:rPr>
            <w:noProof/>
            <w:webHidden/>
          </w:rPr>
          <w:fldChar w:fldCharType="separate"/>
        </w:r>
        <w:r w:rsidR="00983108">
          <w:rPr>
            <w:noProof/>
            <w:webHidden/>
          </w:rPr>
          <w:t>39</w:t>
        </w:r>
        <w:r w:rsidR="00E2496A">
          <w:rPr>
            <w:noProof/>
            <w:webHidden/>
          </w:rPr>
          <w:fldChar w:fldCharType="end"/>
        </w:r>
      </w:hyperlink>
    </w:p>
    <w:p w14:paraId="32DFB94E" w14:textId="7A08657E" w:rsidR="00E2496A" w:rsidRDefault="00D20671">
      <w:pPr>
        <w:pStyle w:val="TOC2"/>
        <w:tabs>
          <w:tab w:val="right" w:leader="dot" w:pos="9062"/>
        </w:tabs>
        <w:rPr>
          <w:rFonts w:asciiTheme="minorHAnsi" w:eastAsiaTheme="minorEastAsia" w:hAnsiTheme="minorHAnsi"/>
          <w:noProof/>
          <w:sz w:val="22"/>
          <w:lang w:eastAsia="fr-FR"/>
        </w:rPr>
      </w:pPr>
      <w:hyperlink w:anchor="_Toc229618808" w:history="1">
        <w:r w:rsidR="00E2496A" w:rsidRPr="00A52800">
          <w:rPr>
            <w:rStyle w:val="Hyperlink"/>
            <w:noProof/>
          </w:rPr>
          <w:t>7-6/Le Cataplasme :</w:t>
        </w:r>
        <w:r w:rsidR="00E2496A">
          <w:rPr>
            <w:noProof/>
            <w:webHidden/>
          </w:rPr>
          <w:tab/>
        </w:r>
        <w:r w:rsidR="00E2496A">
          <w:rPr>
            <w:noProof/>
            <w:webHidden/>
          </w:rPr>
          <w:fldChar w:fldCharType="begin"/>
        </w:r>
        <w:r w:rsidR="00E2496A">
          <w:rPr>
            <w:noProof/>
            <w:webHidden/>
          </w:rPr>
          <w:instrText xml:space="preserve"> PAGEREF _Toc229618808 \h </w:instrText>
        </w:r>
        <w:r w:rsidR="00E2496A">
          <w:rPr>
            <w:noProof/>
            <w:webHidden/>
          </w:rPr>
        </w:r>
        <w:r w:rsidR="00E2496A">
          <w:rPr>
            <w:noProof/>
            <w:webHidden/>
          </w:rPr>
          <w:fldChar w:fldCharType="separate"/>
        </w:r>
        <w:r w:rsidR="00983108">
          <w:rPr>
            <w:noProof/>
            <w:webHidden/>
          </w:rPr>
          <w:t>39</w:t>
        </w:r>
        <w:r w:rsidR="00E2496A">
          <w:rPr>
            <w:noProof/>
            <w:webHidden/>
          </w:rPr>
          <w:fldChar w:fldCharType="end"/>
        </w:r>
      </w:hyperlink>
    </w:p>
    <w:p w14:paraId="4BD4C6BE" w14:textId="0C24F74D" w:rsidR="00E2496A" w:rsidRDefault="00D20671">
      <w:pPr>
        <w:pStyle w:val="TOC2"/>
        <w:tabs>
          <w:tab w:val="right" w:leader="dot" w:pos="9062"/>
        </w:tabs>
        <w:rPr>
          <w:rFonts w:asciiTheme="minorHAnsi" w:eastAsiaTheme="minorEastAsia" w:hAnsiTheme="minorHAnsi"/>
          <w:noProof/>
          <w:sz w:val="22"/>
          <w:lang w:eastAsia="fr-FR"/>
        </w:rPr>
      </w:pPr>
      <w:hyperlink w:anchor="_Toc229618809" w:history="1">
        <w:r w:rsidR="00E2496A" w:rsidRPr="00A52800">
          <w:rPr>
            <w:rStyle w:val="Hyperlink"/>
            <w:noProof/>
          </w:rPr>
          <w:t>7-7/Techniques Avancées</w:t>
        </w:r>
        <w:r w:rsidR="00E2496A">
          <w:rPr>
            <w:noProof/>
            <w:webHidden/>
          </w:rPr>
          <w:tab/>
        </w:r>
        <w:r w:rsidR="00E2496A">
          <w:rPr>
            <w:noProof/>
            <w:webHidden/>
          </w:rPr>
          <w:fldChar w:fldCharType="begin"/>
        </w:r>
        <w:r w:rsidR="00E2496A">
          <w:rPr>
            <w:noProof/>
            <w:webHidden/>
          </w:rPr>
          <w:instrText xml:space="preserve"> PAGEREF _Toc229618809 \h </w:instrText>
        </w:r>
        <w:r w:rsidR="00E2496A">
          <w:rPr>
            <w:noProof/>
            <w:webHidden/>
          </w:rPr>
        </w:r>
        <w:r w:rsidR="00E2496A">
          <w:rPr>
            <w:noProof/>
            <w:webHidden/>
          </w:rPr>
          <w:fldChar w:fldCharType="separate"/>
        </w:r>
        <w:r w:rsidR="00983108">
          <w:rPr>
            <w:noProof/>
            <w:webHidden/>
          </w:rPr>
          <w:t>39</w:t>
        </w:r>
        <w:r w:rsidR="00E2496A">
          <w:rPr>
            <w:noProof/>
            <w:webHidden/>
          </w:rPr>
          <w:fldChar w:fldCharType="end"/>
        </w:r>
      </w:hyperlink>
    </w:p>
    <w:p w14:paraId="3CD945F5" w14:textId="2680DACA" w:rsidR="00E2496A" w:rsidRDefault="00D20671">
      <w:pPr>
        <w:pStyle w:val="TOC1"/>
        <w:tabs>
          <w:tab w:val="right" w:leader="dot" w:pos="9062"/>
        </w:tabs>
        <w:rPr>
          <w:rFonts w:asciiTheme="minorHAnsi" w:eastAsiaTheme="minorEastAsia" w:hAnsiTheme="minorHAnsi"/>
          <w:noProof/>
          <w:sz w:val="22"/>
          <w:lang w:eastAsia="fr-FR"/>
        </w:rPr>
      </w:pPr>
      <w:hyperlink w:anchor="_Toc229618810" w:history="1">
        <w:r w:rsidR="00E2496A" w:rsidRPr="00A52800">
          <w:rPr>
            <w:rStyle w:val="Hyperlink"/>
            <w:noProof/>
          </w:rPr>
          <w:t>8/Les voies d'administration :</w:t>
        </w:r>
        <w:r w:rsidR="00E2496A">
          <w:rPr>
            <w:noProof/>
            <w:webHidden/>
          </w:rPr>
          <w:tab/>
        </w:r>
        <w:r w:rsidR="00E2496A">
          <w:rPr>
            <w:noProof/>
            <w:webHidden/>
          </w:rPr>
          <w:fldChar w:fldCharType="begin"/>
        </w:r>
        <w:r w:rsidR="00E2496A">
          <w:rPr>
            <w:noProof/>
            <w:webHidden/>
          </w:rPr>
          <w:instrText xml:space="preserve"> PAGEREF _Toc229618810 \h </w:instrText>
        </w:r>
        <w:r w:rsidR="00E2496A">
          <w:rPr>
            <w:noProof/>
            <w:webHidden/>
          </w:rPr>
        </w:r>
        <w:r w:rsidR="00E2496A">
          <w:rPr>
            <w:noProof/>
            <w:webHidden/>
          </w:rPr>
          <w:fldChar w:fldCharType="separate"/>
        </w:r>
        <w:r w:rsidR="00983108">
          <w:rPr>
            <w:noProof/>
            <w:webHidden/>
          </w:rPr>
          <w:t>40</w:t>
        </w:r>
        <w:r w:rsidR="00E2496A">
          <w:rPr>
            <w:noProof/>
            <w:webHidden/>
          </w:rPr>
          <w:fldChar w:fldCharType="end"/>
        </w:r>
      </w:hyperlink>
    </w:p>
    <w:p w14:paraId="765DA729" w14:textId="60D047E4" w:rsidR="00E2496A" w:rsidRDefault="00D20671">
      <w:pPr>
        <w:pStyle w:val="TOC1"/>
        <w:tabs>
          <w:tab w:val="right" w:leader="dot" w:pos="9062"/>
        </w:tabs>
        <w:rPr>
          <w:rFonts w:asciiTheme="minorHAnsi" w:eastAsiaTheme="minorEastAsia" w:hAnsiTheme="minorHAnsi"/>
          <w:noProof/>
          <w:sz w:val="22"/>
          <w:lang w:eastAsia="fr-FR"/>
        </w:rPr>
      </w:pPr>
      <w:hyperlink w:anchor="_Toc229618811" w:history="1">
        <w:r w:rsidR="00E2496A" w:rsidRPr="00A52800">
          <w:rPr>
            <w:rStyle w:val="Hyperlink"/>
            <w:noProof/>
          </w:rPr>
          <w:t>9 /Les mécanismes d'action :</w:t>
        </w:r>
        <w:r w:rsidR="00E2496A">
          <w:rPr>
            <w:noProof/>
            <w:webHidden/>
          </w:rPr>
          <w:tab/>
        </w:r>
        <w:r w:rsidR="00E2496A">
          <w:rPr>
            <w:noProof/>
            <w:webHidden/>
          </w:rPr>
          <w:fldChar w:fldCharType="begin"/>
        </w:r>
        <w:r w:rsidR="00E2496A">
          <w:rPr>
            <w:noProof/>
            <w:webHidden/>
          </w:rPr>
          <w:instrText xml:space="preserve"> PAGEREF _Toc229618811 \h </w:instrText>
        </w:r>
        <w:r w:rsidR="00E2496A">
          <w:rPr>
            <w:noProof/>
            <w:webHidden/>
          </w:rPr>
        </w:r>
        <w:r w:rsidR="00E2496A">
          <w:rPr>
            <w:noProof/>
            <w:webHidden/>
          </w:rPr>
          <w:fldChar w:fldCharType="separate"/>
        </w:r>
        <w:r w:rsidR="00983108">
          <w:rPr>
            <w:noProof/>
            <w:webHidden/>
          </w:rPr>
          <w:t>41</w:t>
        </w:r>
        <w:r w:rsidR="00E2496A">
          <w:rPr>
            <w:noProof/>
            <w:webHidden/>
          </w:rPr>
          <w:fldChar w:fldCharType="end"/>
        </w:r>
      </w:hyperlink>
    </w:p>
    <w:p w14:paraId="01E2C3F6" w14:textId="37B43A0F" w:rsidR="00E2496A" w:rsidRDefault="00D20671">
      <w:pPr>
        <w:pStyle w:val="TOC2"/>
        <w:tabs>
          <w:tab w:val="right" w:leader="dot" w:pos="9062"/>
        </w:tabs>
        <w:rPr>
          <w:rFonts w:asciiTheme="minorHAnsi" w:eastAsiaTheme="minorEastAsia" w:hAnsiTheme="minorHAnsi"/>
          <w:noProof/>
          <w:sz w:val="22"/>
          <w:lang w:eastAsia="fr-FR"/>
        </w:rPr>
      </w:pPr>
      <w:hyperlink w:anchor="_Toc229618812" w:history="1">
        <w:r w:rsidR="00E2496A" w:rsidRPr="00A52800">
          <w:rPr>
            <w:rStyle w:val="Hyperlink"/>
            <w:noProof/>
          </w:rPr>
          <w:t>9-1/La stimulation de la sécrétion d’insuline:</w:t>
        </w:r>
        <w:r w:rsidR="00E2496A">
          <w:rPr>
            <w:noProof/>
            <w:webHidden/>
          </w:rPr>
          <w:tab/>
        </w:r>
        <w:r w:rsidR="00E2496A">
          <w:rPr>
            <w:noProof/>
            <w:webHidden/>
          </w:rPr>
          <w:fldChar w:fldCharType="begin"/>
        </w:r>
        <w:r w:rsidR="00E2496A">
          <w:rPr>
            <w:noProof/>
            <w:webHidden/>
          </w:rPr>
          <w:instrText xml:space="preserve"> PAGEREF _Toc229618812 \h </w:instrText>
        </w:r>
        <w:r w:rsidR="00E2496A">
          <w:rPr>
            <w:noProof/>
            <w:webHidden/>
          </w:rPr>
        </w:r>
        <w:r w:rsidR="00E2496A">
          <w:rPr>
            <w:noProof/>
            <w:webHidden/>
          </w:rPr>
          <w:fldChar w:fldCharType="separate"/>
        </w:r>
        <w:r w:rsidR="00983108">
          <w:rPr>
            <w:noProof/>
            <w:webHidden/>
          </w:rPr>
          <w:t>41</w:t>
        </w:r>
        <w:r w:rsidR="00E2496A">
          <w:rPr>
            <w:noProof/>
            <w:webHidden/>
          </w:rPr>
          <w:fldChar w:fldCharType="end"/>
        </w:r>
      </w:hyperlink>
    </w:p>
    <w:p w14:paraId="738475C7" w14:textId="3F07E2C5" w:rsidR="00E2496A" w:rsidRDefault="00D20671">
      <w:pPr>
        <w:pStyle w:val="TOC2"/>
        <w:tabs>
          <w:tab w:val="right" w:leader="dot" w:pos="9062"/>
        </w:tabs>
        <w:rPr>
          <w:rFonts w:asciiTheme="minorHAnsi" w:eastAsiaTheme="minorEastAsia" w:hAnsiTheme="minorHAnsi"/>
          <w:noProof/>
          <w:sz w:val="22"/>
          <w:lang w:eastAsia="fr-FR"/>
        </w:rPr>
      </w:pPr>
      <w:hyperlink w:anchor="_Toc229618813" w:history="1">
        <w:r w:rsidR="00E2496A" w:rsidRPr="00A52800">
          <w:rPr>
            <w:rStyle w:val="Hyperlink"/>
            <w:noProof/>
          </w:rPr>
          <w:t>9-2/L’amélioration de la sensibilité à l’insuline:</w:t>
        </w:r>
        <w:r w:rsidR="00E2496A">
          <w:rPr>
            <w:noProof/>
            <w:webHidden/>
          </w:rPr>
          <w:tab/>
        </w:r>
        <w:r w:rsidR="00E2496A">
          <w:rPr>
            <w:noProof/>
            <w:webHidden/>
          </w:rPr>
          <w:fldChar w:fldCharType="begin"/>
        </w:r>
        <w:r w:rsidR="00E2496A">
          <w:rPr>
            <w:noProof/>
            <w:webHidden/>
          </w:rPr>
          <w:instrText xml:space="preserve"> PAGEREF _Toc229618813 \h </w:instrText>
        </w:r>
        <w:r w:rsidR="00E2496A">
          <w:rPr>
            <w:noProof/>
            <w:webHidden/>
          </w:rPr>
        </w:r>
        <w:r w:rsidR="00E2496A">
          <w:rPr>
            <w:noProof/>
            <w:webHidden/>
          </w:rPr>
          <w:fldChar w:fldCharType="separate"/>
        </w:r>
        <w:r w:rsidR="00983108">
          <w:rPr>
            <w:noProof/>
            <w:webHidden/>
          </w:rPr>
          <w:t>41</w:t>
        </w:r>
        <w:r w:rsidR="00E2496A">
          <w:rPr>
            <w:noProof/>
            <w:webHidden/>
          </w:rPr>
          <w:fldChar w:fldCharType="end"/>
        </w:r>
      </w:hyperlink>
    </w:p>
    <w:p w14:paraId="3BA74317" w14:textId="30B97B8D" w:rsidR="00E2496A" w:rsidRDefault="00D20671">
      <w:pPr>
        <w:pStyle w:val="TOC2"/>
        <w:tabs>
          <w:tab w:val="right" w:leader="dot" w:pos="9062"/>
        </w:tabs>
        <w:rPr>
          <w:rFonts w:asciiTheme="minorHAnsi" w:eastAsiaTheme="minorEastAsia" w:hAnsiTheme="minorHAnsi"/>
          <w:noProof/>
          <w:sz w:val="22"/>
          <w:lang w:eastAsia="fr-FR"/>
        </w:rPr>
      </w:pPr>
      <w:hyperlink w:anchor="_Toc229618814" w:history="1">
        <w:r w:rsidR="00E2496A" w:rsidRPr="00A52800">
          <w:rPr>
            <w:rStyle w:val="Hyperlink"/>
            <w:noProof/>
          </w:rPr>
          <w:t>9-3/Le ralentissement l’absorption intestinale des glucides :</w:t>
        </w:r>
        <w:r w:rsidR="00E2496A">
          <w:rPr>
            <w:noProof/>
            <w:webHidden/>
          </w:rPr>
          <w:tab/>
        </w:r>
        <w:r w:rsidR="00E2496A">
          <w:rPr>
            <w:noProof/>
            <w:webHidden/>
          </w:rPr>
          <w:fldChar w:fldCharType="begin"/>
        </w:r>
        <w:r w:rsidR="00E2496A">
          <w:rPr>
            <w:noProof/>
            <w:webHidden/>
          </w:rPr>
          <w:instrText xml:space="preserve"> PAGEREF _Toc229618814 \h </w:instrText>
        </w:r>
        <w:r w:rsidR="00E2496A">
          <w:rPr>
            <w:noProof/>
            <w:webHidden/>
          </w:rPr>
        </w:r>
        <w:r w:rsidR="00E2496A">
          <w:rPr>
            <w:noProof/>
            <w:webHidden/>
          </w:rPr>
          <w:fldChar w:fldCharType="separate"/>
        </w:r>
        <w:r w:rsidR="00983108">
          <w:rPr>
            <w:noProof/>
            <w:webHidden/>
          </w:rPr>
          <w:t>41</w:t>
        </w:r>
        <w:r w:rsidR="00E2496A">
          <w:rPr>
            <w:noProof/>
            <w:webHidden/>
          </w:rPr>
          <w:fldChar w:fldCharType="end"/>
        </w:r>
      </w:hyperlink>
    </w:p>
    <w:p w14:paraId="1AC59436" w14:textId="73B60C0C" w:rsidR="00E2496A" w:rsidRDefault="00D20671">
      <w:pPr>
        <w:pStyle w:val="TOC2"/>
        <w:tabs>
          <w:tab w:val="right" w:leader="dot" w:pos="9062"/>
        </w:tabs>
        <w:rPr>
          <w:rFonts w:asciiTheme="minorHAnsi" w:eastAsiaTheme="minorEastAsia" w:hAnsiTheme="minorHAnsi"/>
          <w:noProof/>
          <w:sz w:val="22"/>
          <w:lang w:eastAsia="fr-FR"/>
        </w:rPr>
      </w:pPr>
      <w:hyperlink w:anchor="_Toc229618815" w:history="1">
        <w:r w:rsidR="00E2496A" w:rsidRPr="00A52800">
          <w:rPr>
            <w:rStyle w:val="Hyperlink"/>
            <w:noProof/>
          </w:rPr>
          <w:t>9-4/L’inhibition des enzymes digestifs:</w:t>
        </w:r>
        <w:r w:rsidR="00E2496A">
          <w:rPr>
            <w:noProof/>
            <w:webHidden/>
          </w:rPr>
          <w:tab/>
        </w:r>
        <w:r w:rsidR="00E2496A">
          <w:rPr>
            <w:noProof/>
            <w:webHidden/>
          </w:rPr>
          <w:fldChar w:fldCharType="begin"/>
        </w:r>
        <w:r w:rsidR="00E2496A">
          <w:rPr>
            <w:noProof/>
            <w:webHidden/>
          </w:rPr>
          <w:instrText xml:space="preserve"> PAGEREF _Toc229618815 \h </w:instrText>
        </w:r>
        <w:r w:rsidR="00E2496A">
          <w:rPr>
            <w:noProof/>
            <w:webHidden/>
          </w:rPr>
        </w:r>
        <w:r w:rsidR="00E2496A">
          <w:rPr>
            <w:noProof/>
            <w:webHidden/>
          </w:rPr>
          <w:fldChar w:fldCharType="separate"/>
        </w:r>
        <w:r w:rsidR="00983108">
          <w:rPr>
            <w:noProof/>
            <w:webHidden/>
          </w:rPr>
          <w:t>41</w:t>
        </w:r>
        <w:r w:rsidR="00E2496A">
          <w:rPr>
            <w:noProof/>
            <w:webHidden/>
          </w:rPr>
          <w:fldChar w:fldCharType="end"/>
        </w:r>
      </w:hyperlink>
    </w:p>
    <w:p w14:paraId="28D3A0B4" w14:textId="56878EC8" w:rsidR="00E2496A" w:rsidRDefault="00D20671">
      <w:pPr>
        <w:pStyle w:val="TOC2"/>
        <w:tabs>
          <w:tab w:val="right" w:leader="dot" w:pos="9062"/>
        </w:tabs>
        <w:rPr>
          <w:rFonts w:asciiTheme="minorHAnsi" w:eastAsiaTheme="minorEastAsia" w:hAnsiTheme="minorHAnsi"/>
          <w:noProof/>
          <w:sz w:val="22"/>
          <w:lang w:eastAsia="fr-FR"/>
        </w:rPr>
      </w:pPr>
      <w:hyperlink w:anchor="_Toc229618816" w:history="1">
        <w:r w:rsidR="00E2496A" w:rsidRPr="00A52800">
          <w:rPr>
            <w:rStyle w:val="Hyperlink"/>
            <w:noProof/>
          </w:rPr>
          <w:t>9-5/Les effets antioxydants et anti-inflammatoires:</w:t>
        </w:r>
        <w:r w:rsidR="00E2496A">
          <w:rPr>
            <w:noProof/>
            <w:webHidden/>
          </w:rPr>
          <w:tab/>
        </w:r>
        <w:r w:rsidR="00E2496A">
          <w:rPr>
            <w:noProof/>
            <w:webHidden/>
          </w:rPr>
          <w:fldChar w:fldCharType="begin"/>
        </w:r>
        <w:r w:rsidR="00E2496A">
          <w:rPr>
            <w:noProof/>
            <w:webHidden/>
          </w:rPr>
          <w:instrText xml:space="preserve"> PAGEREF _Toc229618816 \h </w:instrText>
        </w:r>
        <w:r w:rsidR="00E2496A">
          <w:rPr>
            <w:noProof/>
            <w:webHidden/>
          </w:rPr>
        </w:r>
        <w:r w:rsidR="00E2496A">
          <w:rPr>
            <w:noProof/>
            <w:webHidden/>
          </w:rPr>
          <w:fldChar w:fldCharType="separate"/>
        </w:r>
        <w:r w:rsidR="00983108">
          <w:rPr>
            <w:noProof/>
            <w:webHidden/>
          </w:rPr>
          <w:t>42</w:t>
        </w:r>
        <w:r w:rsidR="00E2496A">
          <w:rPr>
            <w:noProof/>
            <w:webHidden/>
          </w:rPr>
          <w:fldChar w:fldCharType="end"/>
        </w:r>
      </w:hyperlink>
    </w:p>
    <w:p w14:paraId="59C8DEFF" w14:textId="4A7AC92E" w:rsidR="00E2496A" w:rsidRDefault="00D20671">
      <w:pPr>
        <w:pStyle w:val="TOC1"/>
        <w:tabs>
          <w:tab w:val="right" w:leader="dot" w:pos="9062"/>
        </w:tabs>
        <w:rPr>
          <w:rFonts w:asciiTheme="minorHAnsi" w:eastAsiaTheme="minorEastAsia" w:hAnsiTheme="minorHAnsi"/>
          <w:noProof/>
          <w:sz w:val="22"/>
          <w:lang w:eastAsia="fr-FR"/>
        </w:rPr>
      </w:pPr>
      <w:hyperlink w:anchor="_Toc229618817" w:history="1">
        <w:r w:rsidR="00E2496A" w:rsidRPr="00A52800">
          <w:rPr>
            <w:rStyle w:val="Hyperlink"/>
            <w:noProof/>
          </w:rPr>
          <w:t>10/Principes actifs hypoglycémiants:</w:t>
        </w:r>
        <w:r w:rsidR="00E2496A">
          <w:rPr>
            <w:noProof/>
            <w:webHidden/>
          </w:rPr>
          <w:tab/>
        </w:r>
        <w:r w:rsidR="00E2496A">
          <w:rPr>
            <w:noProof/>
            <w:webHidden/>
          </w:rPr>
          <w:fldChar w:fldCharType="begin"/>
        </w:r>
        <w:r w:rsidR="00E2496A">
          <w:rPr>
            <w:noProof/>
            <w:webHidden/>
          </w:rPr>
          <w:instrText xml:space="preserve"> PAGEREF _Toc229618817 \h </w:instrText>
        </w:r>
        <w:r w:rsidR="00E2496A">
          <w:rPr>
            <w:noProof/>
            <w:webHidden/>
          </w:rPr>
        </w:r>
        <w:r w:rsidR="00E2496A">
          <w:rPr>
            <w:noProof/>
            <w:webHidden/>
          </w:rPr>
          <w:fldChar w:fldCharType="separate"/>
        </w:r>
        <w:r w:rsidR="00983108">
          <w:rPr>
            <w:noProof/>
            <w:webHidden/>
          </w:rPr>
          <w:t>42</w:t>
        </w:r>
        <w:r w:rsidR="00E2496A">
          <w:rPr>
            <w:noProof/>
            <w:webHidden/>
          </w:rPr>
          <w:fldChar w:fldCharType="end"/>
        </w:r>
      </w:hyperlink>
    </w:p>
    <w:p w14:paraId="0A1FD307" w14:textId="77F2A285" w:rsidR="00E2496A" w:rsidRDefault="00D20671">
      <w:pPr>
        <w:pStyle w:val="TOC2"/>
        <w:tabs>
          <w:tab w:val="right" w:leader="dot" w:pos="9062"/>
        </w:tabs>
        <w:rPr>
          <w:rFonts w:asciiTheme="minorHAnsi" w:eastAsiaTheme="minorEastAsia" w:hAnsiTheme="minorHAnsi"/>
          <w:noProof/>
          <w:sz w:val="22"/>
          <w:lang w:eastAsia="fr-FR"/>
        </w:rPr>
      </w:pPr>
      <w:hyperlink w:anchor="_Toc229618818" w:history="1">
        <w:r w:rsidR="00E2496A" w:rsidRPr="00A52800">
          <w:rPr>
            <w:rStyle w:val="Hyperlink"/>
            <w:noProof/>
          </w:rPr>
          <w:t>10-1/les alcaloides:</w:t>
        </w:r>
        <w:r w:rsidR="00E2496A">
          <w:rPr>
            <w:noProof/>
            <w:webHidden/>
          </w:rPr>
          <w:tab/>
        </w:r>
        <w:r w:rsidR="00E2496A">
          <w:rPr>
            <w:noProof/>
            <w:webHidden/>
          </w:rPr>
          <w:fldChar w:fldCharType="begin"/>
        </w:r>
        <w:r w:rsidR="00E2496A">
          <w:rPr>
            <w:noProof/>
            <w:webHidden/>
          </w:rPr>
          <w:instrText xml:space="preserve"> PAGEREF _Toc229618818 \h </w:instrText>
        </w:r>
        <w:r w:rsidR="00E2496A">
          <w:rPr>
            <w:noProof/>
            <w:webHidden/>
          </w:rPr>
        </w:r>
        <w:r w:rsidR="00E2496A">
          <w:rPr>
            <w:noProof/>
            <w:webHidden/>
          </w:rPr>
          <w:fldChar w:fldCharType="separate"/>
        </w:r>
        <w:r w:rsidR="00983108">
          <w:rPr>
            <w:noProof/>
            <w:webHidden/>
          </w:rPr>
          <w:t>42</w:t>
        </w:r>
        <w:r w:rsidR="00E2496A">
          <w:rPr>
            <w:noProof/>
            <w:webHidden/>
          </w:rPr>
          <w:fldChar w:fldCharType="end"/>
        </w:r>
      </w:hyperlink>
    </w:p>
    <w:p w14:paraId="01EF66B9" w14:textId="05C01111" w:rsidR="00E2496A" w:rsidRDefault="00D20671">
      <w:pPr>
        <w:pStyle w:val="TOC2"/>
        <w:tabs>
          <w:tab w:val="right" w:leader="dot" w:pos="9062"/>
        </w:tabs>
        <w:rPr>
          <w:rFonts w:asciiTheme="minorHAnsi" w:eastAsiaTheme="minorEastAsia" w:hAnsiTheme="minorHAnsi"/>
          <w:noProof/>
          <w:sz w:val="22"/>
          <w:lang w:eastAsia="fr-FR"/>
        </w:rPr>
      </w:pPr>
      <w:hyperlink w:anchor="_Toc229618819" w:history="1">
        <w:r w:rsidR="00E2496A" w:rsidRPr="00A52800">
          <w:rPr>
            <w:rStyle w:val="Hyperlink"/>
            <w:noProof/>
          </w:rPr>
          <w:t>10-2/ Polyphénols:</w:t>
        </w:r>
        <w:r w:rsidR="00E2496A">
          <w:rPr>
            <w:noProof/>
            <w:webHidden/>
          </w:rPr>
          <w:tab/>
        </w:r>
        <w:r w:rsidR="00E2496A">
          <w:rPr>
            <w:noProof/>
            <w:webHidden/>
          </w:rPr>
          <w:fldChar w:fldCharType="begin"/>
        </w:r>
        <w:r w:rsidR="00E2496A">
          <w:rPr>
            <w:noProof/>
            <w:webHidden/>
          </w:rPr>
          <w:instrText xml:space="preserve"> PAGEREF _Toc229618819 \h </w:instrText>
        </w:r>
        <w:r w:rsidR="00E2496A">
          <w:rPr>
            <w:noProof/>
            <w:webHidden/>
          </w:rPr>
        </w:r>
        <w:r w:rsidR="00E2496A">
          <w:rPr>
            <w:noProof/>
            <w:webHidden/>
          </w:rPr>
          <w:fldChar w:fldCharType="separate"/>
        </w:r>
        <w:r w:rsidR="00983108">
          <w:rPr>
            <w:noProof/>
            <w:webHidden/>
          </w:rPr>
          <w:t>43</w:t>
        </w:r>
        <w:r w:rsidR="00E2496A">
          <w:rPr>
            <w:noProof/>
            <w:webHidden/>
          </w:rPr>
          <w:fldChar w:fldCharType="end"/>
        </w:r>
      </w:hyperlink>
    </w:p>
    <w:p w14:paraId="58447D01" w14:textId="310843FD" w:rsidR="00E2496A" w:rsidRDefault="00D20671">
      <w:pPr>
        <w:pStyle w:val="TOC2"/>
        <w:tabs>
          <w:tab w:val="right" w:leader="dot" w:pos="9062"/>
        </w:tabs>
        <w:rPr>
          <w:rFonts w:asciiTheme="minorHAnsi" w:eastAsiaTheme="minorEastAsia" w:hAnsiTheme="minorHAnsi"/>
          <w:noProof/>
          <w:sz w:val="22"/>
          <w:lang w:eastAsia="fr-FR"/>
        </w:rPr>
      </w:pPr>
      <w:hyperlink w:anchor="_Toc229618820" w:history="1">
        <w:r w:rsidR="00E2496A" w:rsidRPr="00A52800">
          <w:rPr>
            <w:rStyle w:val="Hyperlink"/>
            <w:noProof/>
          </w:rPr>
          <w:t>10-3/Terpènes:</w:t>
        </w:r>
        <w:r w:rsidR="00E2496A">
          <w:rPr>
            <w:noProof/>
            <w:webHidden/>
          </w:rPr>
          <w:tab/>
        </w:r>
        <w:r w:rsidR="00E2496A">
          <w:rPr>
            <w:noProof/>
            <w:webHidden/>
          </w:rPr>
          <w:fldChar w:fldCharType="begin"/>
        </w:r>
        <w:r w:rsidR="00E2496A">
          <w:rPr>
            <w:noProof/>
            <w:webHidden/>
          </w:rPr>
          <w:instrText xml:space="preserve"> PAGEREF _Toc229618820 \h </w:instrText>
        </w:r>
        <w:r w:rsidR="00E2496A">
          <w:rPr>
            <w:noProof/>
            <w:webHidden/>
          </w:rPr>
        </w:r>
        <w:r w:rsidR="00E2496A">
          <w:rPr>
            <w:noProof/>
            <w:webHidden/>
          </w:rPr>
          <w:fldChar w:fldCharType="separate"/>
        </w:r>
        <w:r w:rsidR="00983108">
          <w:rPr>
            <w:noProof/>
            <w:webHidden/>
          </w:rPr>
          <w:t>43</w:t>
        </w:r>
        <w:r w:rsidR="00E2496A">
          <w:rPr>
            <w:noProof/>
            <w:webHidden/>
          </w:rPr>
          <w:fldChar w:fldCharType="end"/>
        </w:r>
      </w:hyperlink>
    </w:p>
    <w:p w14:paraId="567C793D" w14:textId="1B6BEA54" w:rsidR="00E2496A" w:rsidRDefault="00D20671">
      <w:pPr>
        <w:pStyle w:val="TOC2"/>
        <w:tabs>
          <w:tab w:val="right" w:leader="dot" w:pos="9062"/>
        </w:tabs>
        <w:rPr>
          <w:rFonts w:asciiTheme="minorHAnsi" w:eastAsiaTheme="minorEastAsia" w:hAnsiTheme="minorHAnsi"/>
          <w:noProof/>
          <w:sz w:val="22"/>
          <w:lang w:eastAsia="fr-FR"/>
        </w:rPr>
      </w:pPr>
      <w:hyperlink w:anchor="_Toc229618821" w:history="1">
        <w:r w:rsidR="00E2496A" w:rsidRPr="00A52800">
          <w:rPr>
            <w:rStyle w:val="Hyperlink"/>
            <w:noProof/>
          </w:rPr>
          <w:t>10-4/Les polysaccharides :</w:t>
        </w:r>
        <w:r w:rsidR="00E2496A">
          <w:rPr>
            <w:noProof/>
            <w:webHidden/>
          </w:rPr>
          <w:tab/>
        </w:r>
        <w:r w:rsidR="00E2496A">
          <w:rPr>
            <w:noProof/>
            <w:webHidden/>
          </w:rPr>
          <w:fldChar w:fldCharType="begin"/>
        </w:r>
        <w:r w:rsidR="00E2496A">
          <w:rPr>
            <w:noProof/>
            <w:webHidden/>
          </w:rPr>
          <w:instrText xml:space="preserve"> PAGEREF _Toc229618821 \h </w:instrText>
        </w:r>
        <w:r w:rsidR="00E2496A">
          <w:rPr>
            <w:noProof/>
            <w:webHidden/>
          </w:rPr>
        </w:r>
        <w:r w:rsidR="00E2496A">
          <w:rPr>
            <w:noProof/>
            <w:webHidden/>
          </w:rPr>
          <w:fldChar w:fldCharType="separate"/>
        </w:r>
        <w:r w:rsidR="00983108">
          <w:rPr>
            <w:noProof/>
            <w:webHidden/>
          </w:rPr>
          <w:t>43</w:t>
        </w:r>
        <w:r w:rsidR="00E2496A">
          <w:rPr>
            <w:noProof/>
            <w:webHidden/>
          </w:rPr>
          <w:fldChar w:fldCharType="end"/>
        </w:r>
      </w:hyperlink>
    </w:p>
    <w:p w14:paraId="0043FCE5" w14:textId="01F68FEF" w:rsidR="00E2496A" w:rsidRDefault="00D20671">
      <w:pPr>
        <w:pStyle w:val="TOC2"/>
        <w:tabs>
          <w:tab w:val="right" w:leader="dot" w:pos="9062"/>
        </w:tabs>
        <w:rPr>
          <w:rFonts w:asciiTheme="minorHAnsi" w:eastAsiaTheme="minorEastAsia" w:hAnsiTheme="minorHAnsi"/>
          <w:noProof/>
          <w:sz w:val="22"/>
          <w:lang w:eastAsia="fr-FR"/>
        </w:rPr>
      </w:pPr>
      <w:hyperlink w:anchor="_Toc229618822" w:history="1">
        <w:r w:rsidR="00E2496A" w:rsidRPr="00A52800">
          <w:rPr>
            <w:rStyle w:val="Hyperlink"/>
            <w:noProof/>
          </w:rPr>
          <w:t>10-5/Polypeptides et les acides amines :</w:t>
        </w:r>
        <w:r w:rsidR="00E2496A">
          <w:rPr>
            <w:noProof/>
            <w:webHidden/>
          </w:rPr>
          <w:tab/>
        </w:r>
        <w:r w:rsidR="00E2496A">
          <w:rPr>
            <w:noProof/>
            <w:webHidden/>
          </w:rPr>
          <w:fldChar w:fldCharType="begin"/>
        </w:r>
        <w:r w:rsidR="00E2496A">
          <w:rPr>
            <w:noProof/>
            <w:webHidden/>
          </w:rPr>
          <w:instrText xml:space="preserve"> PAGEREF _Toc229618822 \h </w:instrText>
        </w:r>
        <w:r w:rsidR="00E2496A">
          <w:rPr>
            <w:noProof/>
            <w:webHidden/>
          </w:rPr>
        </w:r>
        <w:r w:rsidR="00E2496A">
          <w:rPr>
            <w:noProof/>
            <w:webHidden/>
          </w:rPr>
          <w:fldChar w:fldCharType="separate"/>
        </w:r>
        <w:r w:rsidR="00983108">
          <w:rPr>
            <w:noProof/>
            <w:webHidden/>
          </w:rPr>
          <w:t>44</w:t>
        </w:r>
        <w:r w:rsidR="00E2496A">
          <w:rPr>
            <w:noProof/>
            <w:webHidden/>
          </w:rPr>
          <w:fldChar w:fldCharType="end"/>
        </w:r>
      </w:hyperlink>
    </w:p>
    <w:p w14:paraId="4B49879A" w14:textId="740EE469" w:rsidR="00E2496A" w:rsidRDefault="00D20671">
      <w:pPr>
        <w:pStyle w:val="TOC1"/>
        <w:tabs>
          <w:tab w:val="right" w:leader="dot" w:pos="9062"/>
        </w:tabs>
        <w:rPr>
          <w:rFonts w:asciiTheme="minorHAnsi" w:eastAsiaTheme="minorEastAsia" w:hAnsiTheme="minorHAnsi"/>
          <w:noProof/>
          <w:sz w:val="22"/>
          <w:lang w:eastAsia="fr-FR"/>
        </w:rPr>
      </w:pPr>
      <w:hyperlink w:anchor="_Toc229618823" w:history="1">
        <w:r w:rsidR="00E2496A" w:rsidRPr="00A52800">
          <w:rPr>
            <w:rStyle w:val="Hyperlink"/>
            <w:rFonts w:eastAsia="Calibri"/>
            <w:noProof/>
          </w:rPr>
          <w:t>11/ Les perspectives de la phytothérapie :</w:t>
        </w:r>
        <w:r w:rsidR="00E2496A">
          <w:rPr>
            <w:noProof/>
            <w:webHidden/>
          </w:rPr>
          <w:tab/>
        </w:r>
        <w:r w:rsidR="00E2496A">
          <w:rPr>
            <w:noProof/>
            <w:webHidden/>
          </w:rPr>
          <w:fldChar w:fldCharType="begin"/>
        </w:r>
        <w:r w:rsidR="00E2496A">
          <w:rPr>
            <w:noProof/>
            <w:webHidden/>
          </w:rPr>
          <w:instrText xml:space="preserve"> PAGEREF _Toc229618823 \h </w:instrText>
        </w:r>
        <w:r w:rsidR="00E2496A">
          <w:rPr>
            <w:noProof/>
            <w:webHidden/>
          </w:rPr>
        </w:r>
        <w:r w:rsidR="00E2496A">
          <w:rPr>
            <w:noProof/>
            <w:webHidden/>
          </w:rPr>
          <w:fldChar w:fldCharType="separate"/>
        </w:r>
        <w:r w:rsidR="00983108">
          <w:rPr>
            <w:noProof/>
            <w:webHidden/>
          </w:rPr>
          <w:t>44</w:t>
        </w:r>
        <w:r w:rsidR="00E2496A">
          <w:rPr>
            <w:noProof/>
            <w:webHidden/>
          </w:rPr>
          <w:fldChar w:fldCharType="end"/>
        </w:r>
      </w:hyperlink>
    </w:p>
    <w:p w14:paraId="5EE3F171" w14:textId="6F415D10" w:rsidR="00E2496A" w:rsidRDefault="00D20671">
      <w:pPr>
        <w:pStyle w:val="TOC1"/>
        <w:tabs>
          <w:tab w:val="right" w:leader="dot" w:pos="9062"/>
        </w:tabs>
        <w:rPr>
          <w:rFonts w:asciiTheme="minorHAnsi" w:eastAsiaTheme="minorEastAsia" w:hAnsiTheme="minorHAnsi"/>
          <w:noProof/>
          <w:sz w:val="22"/>
          <w:lang w:eastAsia="fr-FR"/>
        </w:rPr>
      </w:pPr>
      <w:hyperlink w:anchor="_Toc229618824" w:history="1">
        <w:r w:rsidR="00E2496A" w:rsidRPr="00A52800">
          <w:rPr>
            <w:rStyle w:val="Hyperlink"/>
            <w:noProof/>
            <w:lang w:bidi="ar-DZ"/>
          </w:rPr>
          <w:t>Chapitre 3 : Les plantes médicinales anti diabètique en Algerie</w:t>
        </w:r>
        <w:r w:rsidR="00E2496A">
          <w:rPr>
            <w:noProof/>
            <w:webHidden/>
          </w:rPr>
          <w:tab/>
        </w:r>
        <w:r w:rsidR="00E2496A">
          <w:rPr>
            <w:noProof/>
            <w:webHidden/>
          </w:rPr>
          <w:fldChar w:fldCharType="begin"/>
        </w:r>
        <w:r w:rsidR="00E2496A">
          <w:rPr>
            <w:noProof/>
            <w:webHidden/>
          </w:rPr>
          <w:instrText xml:space="preserve"> PAGEREF _Toc229618824 \h </w:instrText>
        </w:r>
        <w:r w:rsidR="00E2496A">
          <w:rPr>
            <w:noProof/>
            <w:webHidden/>
          </w:rPr>
        </w:r>
        <w:r w:rsidR="00E2496A">
          <w:rPr>
            <w:noProof/>
            <w:webHidden/>
          </w:rPr>
          <w:fldChar w:fldCharType="separate"/>
        </w:r>
        <w:r w:rsidR="00983108">
          <w:rPr>
            <w:noProof/>
            <w:webHidden/>
          </w:rPr>
          <w:t>46</w:t>
        </w:r>
        <w:r w:rsidR="00E2496A">
          <w:rPr>
            <w:noProof/>
            <w:webHidden/>
          </w:rPr>
          <w:fldChar w:fldCharType="end"/>
        </w:r>
      </w:hyperlink>
    </w:p>
    <w:p w14:paraId="69B263C0" w14:textId="3729452F" w:rsidR="00E2496A" w:rsidRDefault="00D20671">
      <w:pPr>
        <w:pStyle w:val="TOC1"/>
        <w:tabs>
          <w:tab w:val="right" w:leader="dot" w:pos="9062"/>
        </w:tabs>
        <w:rPr>
          <w:rFonts w:asciiTheme="minorHAnsi" w:eastAsiaTheme="minorEastAsia" w:hAnsiTheme="minorHAnsi"/>
          <w:noProof/>
          <w:sz w:val="22"/>
          <w:lang w:eastAsia="fr-FR"/>
        </w:rPr>
      </w:pPr>
      <w:hyperlink w:anchor="_Toc229618825" w:history="1">
        <w:r w:rsidR="00E2496A" w:rsidRPr="00A52800">
          <w:rPr>
            <w:rStyle w:val="Hyperlink"/>
            <w:noProof/>
            <w:shd w:val="clear" w:color="auto" w:fill="FFFFFF"/>
          </w:rPr>
          <w:t>1/les plantes les plus utilisées chez les patients diabétiques à l'Algerie :</w:t>
        </w:r>
        <w:r w:rsidR="00E2496A">
          <w:rPr>
            <w:noProof/>
            <w:webHidden/>
          </w:rPr>
          <w:tab/>
        </w:r>
        <w:r w:rsidR="00E2496A">
          <w:rPr>
            <w:noProof/>
            <w:webHidden/>
          </w:rPr>
          <w:fldChar w:fldCharType="begin"/>
        </w:r>
        <w:r w:rsidR="00E2496A">
          <w:rPr>
            <w:noProof/>
            <w:webHidden/>
          </w:rPr>
          <w:instrText xml:space="preserve"> PAGEREF _Toc229618825 \h </w:instrText>
        </w:r>
        <w:r w:rsidR="00E2496A">
          <w:rPr>
            <w:noProof/>
            <w:webHidden/>
          </w:rPr>
        </w:r>
        <w:r w:rsidR="00E2496A">
          <w:rPr>
            <w:noProof/>
            <w:webHidden/>
          </w:rPr>
          <w:fldChar w:fldCharType="separate"/>
        </w:r>
        <w:r w:rsidR="00983108">
          <w:rPr>
            <w:noProof/>
            <w:webHidden/>
          </w:rPr>
          <w:t>47</w:t>
        </w:r>
        <w:r w:rsidR="00E2496A">
          <w:rPr>
            <w:noProof/>
            <w:webHidden/>
          </w:rPr>
          <w:fldChar w:fldCharType="end"/>
        </w:r>
      </w:hyperlink>
    </w:p>
    <w:p w14:paraId="7BA9A592" w14:textId="276EC59F" w:rsidR="00E2496A" w:rsidRDefault="00D20671">
      <w:pPr>
        <w:pStyle w:val="TOC2"/>
        <w:tabs>
          <w:tab w:val="right" w:leader="dot" w:pos="9062"/>
        </w:tabs>
        <w:rPr>
          <w:rFonts w:asciiTheme="minorHAnsi" w:eastAsiaTheme="minorEastAsia" w:hAnsiTheme="minorHAnsi"/>
          <w:noProof/>
          <w:sz w:val="22"/>
          <w:lang w:eastAsia="fr-FR"/>
        </w:rPr>
      </w:pPr>
      <w:hyperlink w:anchor="_Toc229618826" w:history="1">
        <w:r w:rsidR="00E2496A" w:rsidRPr="00A52800">
          <w:rPr>
            <w:rStyle w:val="Hyperlink"/>
            <w:noProof/>
          </w:rPr>
          <w:t>1-1/Asteraceae :</w:t>
        </w:r>
        <w:r w:rsidR="00E2496A">
          <w:rPr>
            <w:noProof/>
            <w:webHidden/>
          </w:rPr>
          <w:tab/>
        </w:r>
        <w:r w:rsidR="00E2496A">
          <w:rPr>
            <w:noProof/>
            <w:webHidden/>
          </w:rPr>
          <w:fldChar w:fldCharType="begin"/>
        </w:r>
        <w:r w:rsidR="00E2496A">
          <w:rPr>
            <w:noProof/>
            <w:webHidden/>
          </w:rPr>
          <w:instrText xml:space="preserve"> PAGEREF _Toc229618826 \h </w:instrText>
        </w:r>
        <w:r w:rsidR="00E2496A">
          <w:rPr>
            <w:noProof/>
            <w:webHidden/>
          </w:rPr>
        </w:r>
        <w:r w:rsidR="00E2496A">
          <w:rPr>
            <w:noProof/>
            <w:webHidden/>
          </w:rPr>
          <w:fldChar w:fldCharType="separate"/>
        </w:r>
        <w:r w:rsidR="00983108">
          <w:rPr>
            <w:noProof/>
            <w:webHidden/>
          </w:rPr>
          <w:t>47</w:t>
        </w:r>
        <w:r w:rsidR="00E2496A">
          <w:rPr>
            <w:noProof/>
            <w:webHidden/>
          </w:rPr>
          <w:fldChar w:fldCharType="end"/>
        </w:r>
      </w:hyperlink>
    </w:p>
    <w:p w14:paraId="3641D6AA" w14:textId="1F412622" w:rsidR="00E2496A" w:rsidRDefault="00D20671">
      <w:pPr>
        <w:pStyle w:val="TOC2"/>
        <w:tabs>
          <w:tab w:val="right" w:leader="dot" w:pos="9062"/>
        </w:tabs>
        <w:rPr>
          <w:rFonts w:asciiTheme="minorHAnsi" w:eastAsiaTheme="minorEastAsia" w:hAnsiTheme="minorHAnsi"/>
          <w:noProof/>
          <w:sz w:val="22"/>
          <w:lang w:eastAsia="fr-FR"/>
        </w:rPr>
      </w:pPr>
      <w:hyperlink w:anchor="_Toc229618827" w:history="1">
        <w:r w:rsidR="00E2496A" w:rsidRPr="00A52800">
          <w:rPr>
            <w:rStyle w:val="Hyperlink"/>
            <w:noProof/>
          </w:rPr>
          <w:t>1-2/ Lamiaceae :</w:t>
        </w:r>
        <w:r w:rsidR="00E2496A">
          <w:rPr>
            <w:noProof/>
            <w:webHidden/>
          </w:rPr>
          <w:tab/>
        </w:r>
        <w:r w:rsidR="00E2496A">
          <w:rPr>
            <w:noProof/>
            <w:webHidden/>
          </w:rPr>
          <w:fldChar w:fldCharType="begin"/>
        </w:r>
        <w:r w:rsidR="00E2496A">
          <w:rPr>
            <w:noProof/>
            <w:webHidden/>
          </w:rPr>
          <w:instrText xml:space="preserve"> PAGEREF _Toc229618827 \h </w:instrText>
        </w:r>
        <w:r w:rsidR="00E2496A">
          <w:rPr>
            <w:noProof/>
            <w:webHidden/>
          </w:rPr>
        </w:r>
        <w:r w:rsidR="00E2496A">
          <w:rPr>
            <w:noProof/>
            <w:webHidden/>
          </w:rPr>
          <w:fldChar w:fldCharType="separate"/>
        </w:r>
        <w:r w:rsidR="00983108">
          <w:rPr>
            <w:noProof/>
            <w:webHidden/>
          </w:rPr>
          <w:t>51</w:t>
        </w:r>
        <w:r w:rsidR="00E2496A">
          <w:rPr>
            <w:noProof/>
            <w:webHidden/>
          </w:rPr>
          <w:fldChar w:fldCharType="end"/>
        </w:r>
      </w:hyperlink>
    </w:p>
    <w:p w14:paraId="16D4FEB8" w14:textId="12088B0B" w:rsidR="00E2496A" w:rsidRDefault="00D20671">
      <w:pPr>
        <w:pStyle w:val="TOC2"/>
        <w:tabs>
          <w:tab w:val="right" w:leader="dot" w:pos="9062"/>
        </w:tabs>
        <w:rPr>
          <w:rFonts w:asciiTheme="minorHAnsi" w:eastAsiaTheme="minorEastAsia" w:hAnsiTheme="minorHAnsi"/>
          <w:noProof/>
          <w:sz w:val="22"/>
          <w:lang w:eastAsia="fr-FR"/>
        </w:rPr>
      </w:pPr>
      <w:hyperlink w:anchor="_Toc229618828" w:history="1">
        <w:r w:rsidR="00E2496A" w:rsidRPr="00A52800">
          <w:rPr>
            <w:rStyle w:val="Hyperlink"/>
            <w:noProof/>
          </w:rPr>
          <w:t>1-3/ Apiaceae</w:t>
        </w:r>
        <w:r w:rsidR="00E2496A">
          <w:rPr>
            <w:noProof/>
            <w:webHidden/>
          </w:rPr>
          <w:tab/>
        </w:r>
        <w:r w:rsidR="00E2496A">
          <w:rPr>
            <w:noProof/>
            <w:webHidden/>
          </w:rPr>
          <w:fldChar w:fldCharType="begin"/>
        </w:r>
        <w:r w:rsidR="00E2496A">
          <w:rPr>
            <w:noProof/>
            <w:webHidden/>
          </w:rPr>
          <w:instrText xml:space="preserve"> PAGEREF _Toc229618828 \h </w:instrText>
        </w:r>
        <w:r w:rsidR="00E2496A">
          <w:rPr>
            <w:noProof/>
            <w:webHidden/>
          </w:rPr>
        </w:r>
        <w:r w:rsidR="00E2496A">
          <w:rPr>
            <w:noProof/>
            <w:webHidden/>
          </w:rPr>
          <w:fldChar w:fldCharType="separate"/>
        </w:r>
        <w:r w:rsidR="00983108">
          <w:rPr>
            <w:noProof/>
            <w:webHidden/>
          </w:rPr>
          <w:t>58</w:t>
        </w:r>
        <w:r w:rsidR="00E2496A">
          <w:rPr>
            <w:noProof/>
            <w:webHidden/>
          </w:rPr>
          <w:fldChar w:fldCharType="end"/>
        </w:r>
      </w:hyperlink>
    </w:p>
    <w:p w14:paraId="043C8CD9" w14:textId="3F776DC1" w:rsidR="00E2496A" w:rsidRDefault="00D20671">
      <w:pPr>
        <w:pStyle w:val="TOC2"/>
        <w:tabs>
          <w:tab w:val="right" w:leader="dot" w:pos="9062"/>
        </w:tabs>
        <w:rPr>
          <w:rFonts w:asciiTheme="minorHAnsi" w:eastAsiaTheme="minorEastAsia" w:hAnsiTheme="minorHAnsi"/>
          <w:noProof/>
          <w:sz w:val="22"/>
          <w:lang w:eastAsia="fr-FR"/>
        </w:rPr>
      </w:pPr>
      <w:hyperlink w:anchor="_Toc229618829" w:history="1">
        <w:r w:rsidR="00E2496A" w:rsidRPr="00A52800">
          <w:rPr>
            <w:rStyle w:val="Hyperlink"/>
            <w:noProof/>
          </w:rPr>
          <w:t>1-4/Fabaceae</w:t>
        </w:r>
        <w:r w:rsidR="00E2496A">
          <w:rPr>
            <w:noProof/>
            <w:webHidden/>
          </w:rPr>
          <w:tab/>
        </w:r>
        <w:r w:rsidR="00E2496A">
          <w:rPr>
            <w:noProof/>
            <w:webHidden/>
          </w:rPr>
          <w:fldChar w:fldCharType="begin"/>
        </w:r>
        <w:r w:rsidR="00E2496A">
          <w:rPr>
            <w:noProof/>
            <w:webHidden/>
          </w:rPr>
          <w:instrText xml:space="preserve"> PAGEREF _Toc229618829 \h </w:instrText>
        </w:r>
        <w:r w:rsidR="00E2496A">
          <w:rPr>
            <w:noProof/>
            <w:webHidden/>
          </w:rPr>
        </w:r>
        <w:r w:rsidR="00E2496A">
          <w:rPr>
            <w:noProof/>
            <w:webHidden/>
          </w:rPr>
          <w:fldChar w:fldCharType="separate"/>
        </w:r>
        <w:r w:rsidR="00983108">
          <w:rPr>
            <w:noProof/>
            <w:webHidden/>
          </w:rPr>
          <w:t>60</w:t>
        </w:r>
        <w:r w:rsidR="00E2496A">
          <w:rPr>
            <w:noProof/>
            <w:webHidden/>
          </w:rPr>
          <w:fldChar w:fldCharType="end"/>
        </w:r>
      </w:hyperlink>
    </w:p>
    <w:p w14:paraId="21F4168F" w14:textId="00DC3CAD" w:rsidR="00E2496A" w:rsidRDefault="00D20671">
      <w:pPr>
        <w:pStyle w:val="TOC2"/>
        <w:tabs>
          <w:tab w:val="right" w:leader="dot" w:pos="9062"/>
        </w:tabs>
        <w:rPr>
          <w:rFonts w:asciiTheme="minorHAnsi" w:eastAsiaTheme="minorEastAsia" w:hAnsiTheme="minorHAnsi"/>
          <w:noProof/>
          <w:sz w:val="22"/>
          <w:lang w:eastAsia="fr-FR"/>
        </w:rPr>
      </w:pPr>
      <w:hyperlink w:anchor="_Toc229618830" w:history="1">
        <w:r w:rsidR="00E2496A" w:rsidRPr="00A52800">
          <w:rPr>
            <w:rStyle w:val="Hyperlink"/>
            <w:noProof/>
          </w:rPr>
          <w:t>1-5/ Oleaceae :</w:t>
        </w:r>
        <w:r w:rsidR="00E2496A">
          <w:rPr>
            <w:noProof/>
            <w:webHidden/>
          </w:rPr>
          <w:tab/>
        </w:r>
        <w:r w:rsidR="00E2496A">
          <w:rPr>
            <w:noProof/>
            <w:webHidden/>
          </w:rPr>
          <w:fldChar w:fldCharType="begin"/>
        </w:r>
        <w:r w:rsidR="00E2496A">
          <w:rPr>
            <w:noProof/>
            <w:webHidden/>
          </w:rPr>
          <w:instrText xml:space="preserve"> PAGEREF _Toc229618830 \h </w:instrText>
        </w:r>
        <w:r w:rsidR="00E2496A">
          <w:rPr>
            <w:noProof/>
            <w:webHidden/>
          </w:rPr>
        </w:r>
        <w:r w:rsidR="00E2496A">
          <w:rPr>
            <w:noProof/>
            <w:webHidden/>
          </w:rPr>
          <w:fldChar w:fldCharType="separate"/>
        </w:r>
        <w:r w:rsidR="00983108">
          <w:rPr>
            <w:noProof/>
            <w:webHidden/>
          </w:rPr>
          <w:t>62</w:t>
        </w:r>
        <w:r w:rsidR="00E2496A">
          <w:rPr>
            <w:noProof/>
            <w:webHidden/>
          </w:rPr>
          <w:fldChar w:fldCharType="end"/>
        </w:r>
      </w:hyperlink>
    </w:p>
    <w:p w14:paraId="2C12287E" w14:textId="3EEFE89E" w:rsidR="00E2496A" w:rsidRDefault="00D20671">
      <w:pPr>
        <w:pStyle w:val="TOC2"/>
        <w:tabs>
          <w:tab w:val="right" w:leader="dot" w:pos="9062"/>
        </w:tabs>
        <w:rPr>
          <w:rFonts w:asciiTheme="minorHAnsi" w:eastAsiaTheme="minorEastAsia" w:hAnsiTheme="minorHAnsi"/>
          <w:noProof/>
          <w:sz w:val="22"/>
          <w:lang w:eastAsia="fr-FR"/>
        </w:rPr>
      </w:pPr>
      <w:hyperlink w:anchor="_Toc229618831" w:history="1">
        <w:r w:rsidR="00E2496A" w:rsidRPr="00A52800">
          <w:rPr>
            <w:rStyle w:val="Hyperlink"/>
            <w:noProof/>
          </w:rPr>
          <w:t>1-6/ Lauraceae :</w:t>
        </w:r>
        <w:r w:rsidR="00E2496A">
          <w:rPr>
            <w:noProof/>
            <w:webHidden/>
          </w:rPr>
          <w:tab/>
        </w:r>
        <w:r w:rsidR="00E2496A">
          <w:rPr>
            <w:noProof/>
            <w:webHidden/>
          </w:rPr>
          <w:fldChar w:fldCharType="begin"/>
        </w:r>
        <w:r w:rsidR="00E2496A">
          <w:rPr>
            <w:noProof/>
            <w:webHidden/>
          </w:rPr>
          <w:instrText xml:space="preserve"> PAGEREF _Toc229618831 \h </w:instrText>
        </w:r>
        <w:r w:rsidR="00E2496A">
          <w:rPr>
            <w:noProof/>
            <w:webHidden/>
          </w:rPr>
        </w:r>
        <w:r w:rsidR="00E2496A">
          <w:rPr>
            <w:noProof/>
            <w:webHidden/>
          </w:rPr>
          <w:fldChar w:fldCharType="separate"/>
        </w:r>
        <w:r w:rsidR="00983108">
          <w:rPr>
            <w:noProof/>
            <w:webHidden/>
          </w:rPr>
          <w:t>63</w:t>
        </w:r>
        <w:r w:rsidR="00E2496A">
          <w:rPr>
            <w:noProof/>
            <w:webHidden/>
          </w:rPr>
          <w:fldChar w:fldCharType="end"/>
        </w:r>
      </w:hyperlink>
    </w:p>
    <w:p w14:paraId="4FA83A9F" w14:textId="0225CEAA" w:rsidR="00E2496A" w:rsidRDefault="00D20671">
      <w:pPr>
        <w:pStyle w:val="TOC2"/>
        <w:tabs>
          <w:tab w:val="right" w:leader="dot" w:pos="9062"/>
        </w:tabs>
        <w:rPr>
          <w:rFonts w:asciiTheme="minorHAnsi" w:eastAsiaTheme="minorEastAsia" w:hAnsiTheme="minorHAnsi"/>
          <w:noProof/>
          <w:sz w:val="22"/>
          <w:lang w:eastAsia="fr-FR"/>
        </w:rPr>
      </w:pPr>
      <w:hyperlink w:anchor="_Toc229618832" w:history="1">
        <w:r w:rsidR="00E2496A" w:rsidRPr="00A52800">
          <w:rPr>
            <w:rStyle w:val="Hyperlink"/>
            <w:noProof/>
          </w:rPr>
          <w:t>1-7/ Zingiberaceae :</w:t>
        </w:r>
        <w:r w:rsidR="00E2496A">
          <w:rPr>
            <w:noProof/>
            <w:webHidden/>
          </w:rPr>
          <w:tab/>
        </w:r>
        <w:r w:rsidR="00E2496A">
          <w:rPr>
            <w:noProof/>
            <w:webHidden/>
          </w:rPr>
          <w:fldChar w:fldCharType="begin"/>
        </w:r>
        <w:r w:rsidR="00E2496A">
          <w:rPr>
            <w:noProof/>
            <w:webHidden/>
          </w:rPr>
          <w:instrText xml:space="preserve"> PAGEREF _Toc229618832 \h </w:instrText>
        </w:r>
        <w:r w:rsidR="00E2496A">
          <w:rPr>
            <w:noProof/>
            <w:webHidden/>
          </w:rPr>
        </w:r>
        <w:r w:rsidR="00E2496A">
          <w:rPr>
            <w:noProof/>
            <w:webHidden/>
          </w:rPr>
          <w:fldChar w:fldCharType="separate"/>
        </w:r>
        <w:r w:rsidR="00983108">
          <w:rPr>
            <w:noProof/>
            <w:webHidden/>
          </w:rPr>
          <w:t>64</w:t>
        </w:r>
        <w:r w:rsidR="00E2496A">
          <w:rPr>
            <w:noProof/>
            <w:webHidden/>
          </w:rPr>
          <w:fldChar w:fldCharType="end"/>
        </w:r>
      </w:hyperlink>
    </w:p>
    <w:p w14:paraId="03DDBF3B" w14:textId="6E6F5A92" w:rsidR="00E2496A" w:rsidRDefault="00D20671">
      <w:pPr>
        <w:pStyle w:val="TOC2"/>
        <w:tabs>
          <w:tab w:val="right" w:leader="dot" w:pos="9062"/>
        </w:tabs>
        <w:rPr>
          <w:rFonts w:asciiTheme="minorHAnsi" w:eastAsiaTheme="minorEastAsia" w:hAnsiTheme="minorHAnsi"/>
          <w:noProof/>
          <w:sz w:val="22"/>
          <w:lang w:eastAsia="fr-FR"/>
        </w:rPr>
      </w:pPr>
      <w:hyperlink w:anchor="_Toc229618833" w:history="1">
        <w:r w:rsidR="00E2496A" w:rsidRPr="00A52800">
          <w:rPr>
            <w:rStyle w:val="Hyperlink"/>
            <w:noProof/>
          </w:rPr>
          <w:t>1-8/ Rutaceae :</w:t>
        </w:r>
        <w:r w:rsidR="00E2496A">
          <w:rPr>
            <w:noProof/>
            <w:webHidden/>
          </w:rPr>
          <w:tab/>
        </w:r>
        <w:r w:rsidR="00E2496A">
          <w:rPr>
            <w:noProof/>
            <w:webHidden/>
          </w:rPr>
          <w:fldChar w:fldCharType="begin"/>
        </w:r>
        <w:r w:rsidR="00E2496A">
          <w:rPr>
            <w:noProof/>
            <w:webHidden/>
          </w:rPr>
          <w:instrText xml:space="preserve"> PAGEREF _Toc229618833 \h </w:instrText>
        </w:r>
        <w:r w:rsidR="00E2496A">
          <w:rPr>
            <w:noProof/>
            <w:webHidden/>
          </w:rPr>
        </w:r>
        <w:r w:rsidR="00E2496A">
          <w:rPr>
            <w:noProof/>
            <w:webHidden/>
          </w:rPr>
          <w:fldChar w:fldCharType="separate"/>
        </w:r>
        <w:r w:rsidR="00983108">
          <w:rPr>
            <w:noProof/>
            <w:webHidden/>
          </w:rPr>
          <w:t>64</w:t>
        </w:r>
        <w:r w:rsidR="00E2496A">
          <w:rPr>
            <w:noProof/>
            <w:webHidden/>
          </w:rPr>
          <w:fldChar w:fldCharType="end"/>
        </w:r>
      </w:hyperlink>
    </w:p>
    <w:p w14:paraId="6CFDE943" w14:textId="335856AC" w:rsidR="00E2496A" w:rsidRDefault="00D20671">
      <w:pPr>
        <w:pStyle w:val="TOC2"/>
        <w:tabs>
          <w:tab w:val="right" w:leader="dot" w:pos="9062"/>
        </w:tabs>
        <w:rPr>
          <w:rFonts w:asciiTheme="minorHAnsi" w:eastAsiaTheme="minorEastAsia" w:hAnsiTheme="minorHAnsi"/>
          <w:noProof/>
          <w:sz w:val="22"/>
          <w:lang w:eastAsia="fr-FR"/>
        </w:rPr>
      </w:pPr>
      <w:hyperlink w:anchor="_Toc229618834" w:history="1">
        <w:r w:rsidR="00E2496A" w:rsidRPr="00A52800">
          <w:rPr>
            <w:rStyle w:val="Hyperlink"/>
            <w:noProof/>
          </w:rPr>
          <w:t>1-9 /Cupressaceae :</w:t>
        </w:r>
        <w:r w:rsidR="00E2496A">
          <w:rPr>
            <w:noProof/>
            <w:webHidden/>
          </w:rPr>
          <w:tab/>
        </w:r>
        <w:r w:rsidR="00E2496A">
          <w:rPr>
            <w:noProof/>
            <w:webHidden/>
          </w:rPr>
          <w:fldChar w:fldCharType="begin"/>
        </w:r>
        <w:r w:rsidR="00E2496A">
          <w:rPr>
            <w:noProof/>
            <w:webHidden/>
          </w:rPr>
          <w:instrText xml:space="preserve"> PAGEREF _Toc229618834 \h </w:instrText>
        </w:r>
        <w:r w:rsidR="00E2496A">
          <w:rPr>
            <w:noProof/>
            <w:webHidden/>
          </w:rPr>
        </w:r>
        <w:r w:rsidR="00E2496A">
          <w:rPr>
            <w:noProof/>
            <w:webHidden/>
          </w:rPr>
          <w:fldChar w:fldCharType="separate"/>
        </w:r>
        <w:r w:rsidR="00983108">
          <w:rPr>
            <w:noProof/>
            <w:webHidden/>
          </w:rPr>
          <w:t>65</w:t>
        </w:r>
        <w:r w:rsidR="00E2496A">
          <w:rPr>
            <w:noProof/>
            <w:webHidden/>
          </w:rPr>
          <w:fldChar w:fldCharType="end"/>
        </w:r>
      </w:hyperlink>
    </w:p>
    <w:p w14:paraId="63EA9D55" w14:textId="619BF749" w:rsidR="00E2496A" w:rsidRDefault="00D20671">
      <w:pPr>
        <w:pStyle w:val="TOC2"/>
        <w:tabs>
          <w:tab w:val="right" w:leader="dot" w:pos="9062"/>
        </w:tabs>
        <w:rPr>
          <w:rFonts w:asciiTheme="minorHAnsi" w:eastAsiaTheme="minorEastAsia" w:hAnsiTheme="minorHAnsi"/>
          <w:noProof/>
          <w:sz w:val="22"/>
          <w:lang w:eastAsia="fr-FR"/>
        </w:rPr>
      </w:pPr>
      <w:hyperlink w:anchor="_Toc229618835" w:history="1">
        <w:r w:rsidR="00E2496A" w:rsidRPr="00A52800">
          <w:rPr>
            <w:rStyle w:val="Hyperlink"/>
            <w:noProof/>
          </w:rPr>
          <w:t>1-10/ Cucurbitaceae</w:t>
        </w:r>
        <w:r w:rsidR="00E2496A">
          <w:rPr>
            <w:noProof/>
            <w:webHidden/>
          </w:rPr>
          <w:tab/>
        </w:r>
        <w:r w:rsidR="00E2496A">
          <w:rPr>
            <w:noProof/>
            <w:webHidden/>
          </w:rPr>
          <w:fldChar w:fldCharType="begin"/>
        </w:r>
        <w:r w:rsidR="00E2496A">
          <w:rPr>
            <w:noProof/>
            <w:webHidden/>
          </w:rPr>
          <w:instrText xml:space="preserve"> PAGEREF _Toc229618835 \h </w:instrText>
        </w:r>
        <w:r w:rsidR="00E2496A">
          <w:rPr>
            <w:noProof/>
            <w:webHidden/>
          </w:rPr>
        </w:r>
        <w:r w:rsidR="00E2496A">
          <w:rPr>
            <w:noProof/>
            <w:webHidden/>
          </w:rPr>
          <w:fldChar w:fldCharType="separate"/>
        </w:r>
        <w:r w:rsidR="00983108">
          <w:rPr>
            <w:noProof/>
            <w:webHidden/>
          </w:rPr>
          <w:t>66</w:t>
        </w:r>
        <w:r w:rsidR="00E2496A">
          <w:rPr>
            <w:noProof/>
            <w:webHidden/>
          </w:rPr>
          <w:fldChar w:fldCharType="end"/>
        </w:r>
      </w:hyperlink>
    </w:p>
    <w:p w14:paraId="3AA2B898" w14:textId="0EE970CF" w:rsidR="00E2496A" w:rsidRDefault="00D20671">
      <w:pPr>
        <w:pStyle w:val="TOC2"/>
        <w:tabs>
          <w:tab w:val="right" w:leader="dot" w:pos="9062"/>
        </w:tabs>
        <w:rPr>
          <w:rFonts w:asciiTheme="minorHAnsi" w:eastAsiaTheme="minorEastAsia" w:hAnsiTheme="minorHAnsi"/>
          <w:noProof/>
          <w:sz w:val="22"/>
          <w:lang w:eastAsia="fr-FR"/>
        </w:rPr>
      </w:pPr>
      <w:hyperlink w:anchor="_Toc229618836" w:history="1">
        <w:r w:rsidR="00E2496A" w:rsidRPr="00A52800">
          <w:rPr>
            <w:rStyle w:val="Hyperlink"/>
            <w:noProof/>
            <w:lang w:val="en-US"/>
          </w:rPr>
          <w:t>1-11/Costaceae/Zingiberaceae</w:t>
        </w:r>
        <w:r w:rsidR="00E2496A">
          <w:rPr>
            <w:noProof/>
            <w:webHidden/>
          </w:rPr>
          <w:tab/>
        </w:r>
        <w:r w:rsidR="00E2496A">
          <w:rPr>
            <w:noProof/>
            <w:webHidden/>
          </w:rPr>
          <w:fldChar w:fldCharType="begin"/>
        </w:r>
        <w:r w:rsidR="00E2496A">
          <w:rPr>
            <w:noProof/>
            <w:webHidden/>
          </w:rPr>
          <w:instrText xml:space="preserve"> PAGEREF _Toc229618836 \h </w:instrText>
        </w:r>
        <w:r w:rsidR="00E2496A">
          <w:rPr>
            <w:noProof/>
            <w:webHidden/>
          </w:rPr>
        </w:r>
        <w:r w:rsidR="00E2496A">
          <w:rPr>
            <w:noProof/>
            <w:webHidden/>
          </w:rPr>
          <w:fldChar w:fldCharType="separate"/>
        </w:r>
        <w:r w:rsidR="00983108">
          <w:rPr>
            <w:noProof/>
            <w:webHidden/>
          </w:rPr>
          <w:t>67</w:t>
        </w:r>
        <w:r w:rsidR="00E2496A">
          <w:rPr>
            <w:noProof/>
            <w:webHidden/>
          </w:rPr>
          <w:fldChar w:fldCharType="end"/>
        </w:r>
      </w:hyperlink>
    </w:p>
    <w:p w14:paraId="0F907C95" w14:textId="162BD12F" w:rsidR="00E2496A" w:rsidRDefault="00D20671">
      <w:pPr>
        <w:pStyle w:val="TOC2"/>
        <w:tabs>
          <w:tab w:val="right" w:leader="dot" w:pos="9062"/>
        </w:tabs>
        <w:rPr>
          <w:rFonts w:asciiTheme="minorHAnsi" w:eastAsiaTheme="minorEastAsia" w:hAnsiTheme="minorHAnsi"/>
          <w:noProof/>
          <w:sz w:val="22"/>
          <w:lang w:eastAsia="fr-FR"/>
        </w:rPr>
      </w:pPr>
      <w:hyperlink w:anchor="_Toc229618837" w:history="1">
        <w:r w:rsidR="00E2496A" w:rsidRPr="00A52800">
          <w:rPr>
            <w:rStyle w:val="Hyperlink"/>
            <w:noProof/>
          </w:rPr>
          <w:t>1-12 / Rosaceae :</w:t>
        </w:r>
        <w:r w:rsidR="00E2496A">
          <w:rPr>
            <w:noProof/>
            <w:webHidden/>
          </w:rPr>
          <w:tab/>
        </w:r>
        <w:r w:rsidR="00E2496A">
          <w:rPr>
            <w:noProof/>
            <w:webHidden/>
          </w:rPr>
          <w:fldChar w:fldCharType="begin"/>
        </w:r>
        <w:r w:rsidR="00E2496A">
          <w:rPr>
            <w:noProof/>
            <w:webHidden/>
          </w:rPr>
          <w:instrText xml:space="preserve"> PAGEREF _Toc229618837 \h </w:instrText>
        </w:r>
        <w:r w:rsidR="00E2496A">
          <w:rPr>
            <w:noProof/>
            <w:webHidden/>
          </w:rPr>
        </w:r>
        <w:r w:rsidR="00E2496A">
          <w:rPr>
            <w:noProof/>
            <w:webHidden/>
          </w:rPr>
          <w:fldChar w:fldCharType="separate"/>
        </w:r>
        <w:r w:rsidR="00983108">
          <w:rPr>
            <w:noProof/>
            <w:webHidden/>
          </w:rPr>
          <w:t>67</w:t>
        </w:r>
        <w:r w:rsidR="00E2496A">
          <w:rPr>
            <w:noProof/>
            <w:webHidden/>
          </w:rPr>
          <w:fldChar w:fldCharType="end"/>
        </w:r>
      </w:hyperlink>
    </w:p>
    <w:p w14:paraId="3508200B" w14:textId="11BA2070" w:rsidR="00E2496A" w:rsidRDefault="00D20671">
      <w:pPr>
        <w:pStyle w:val="TOC2"/>
        <w:tabs>
          <w:tab w:val="right" w:leader="dot" w:pos="9062"/>
        </w:tabs>
        <w:rPr>
          <w:rFonts w:asciiTheme="minorHAnsi" w:eastAsiaTheme="minorEastAsia" w:hAnsiTheme="minorHAnsi"/>
          <w:noProof/>
          <w:sz w:val="22"/>
          <w:lang w:eastAsia="fr-FR"/>
        </w:rPr>
      </w:pPr>
      <w:hyperlink w:anchor="_Toc229618838" w:history="1">
        <w:r w:rsidR="00E2496A" w:rsidRPr="00A52800">
          <w:rPr>
            <w:rStyle w:val="Hyperlink"/>
            <w:noProof/>
          </w:rPr>
          <w:t>1-13/ Amaryllidaceae / Alliaceae :</w:t>
        </w:r>
        <w:r w:rsidR="00E2496A">
          <w:rPr>
            <w:noProof/>
            <w:webHidden/>
          </w:rPr>
          <w:tab/>
        </w:r>
        <w:r w:rsidR="00E2496A">
          <w:rPr>
            <w:noProof/>
            <w:webHidden/>
          </w:rPr>
          <w:fldChar w:fldCharType="begin"/>
        </w:r>
        <w:r w:rsidR="00E2496A">
          <w:rPr>
            <w:noProof/>
            <w:webHidden/>
          </w:rPr>
          <w:instrText xml:space="preserve"> PAGEREF _Toc229618838 \h </w:instrText>
        </w:r>
        <w:r w:rsidR="00E2496A">
          <w:rPr>
            <w:noProof/>
            <w:webHidden/>
          </w:rPr>
        </w:r>
        <w:r w:rsidR="00E2496A">
          <w:rPr>
            <w:noProof/>
            <w:webHidden/>
          </w:rPr>
          <w:fldChar w:fldCharType="separate"/>
        </w:r>
        <w:r w:rsidR="00983108">
          <w:rPr>
            <w:noProof/>
            <w:webHidden/>
          </w:rPr>
          <w:t>68</w:t>
        </w:r>
        <w:r w:rsidR="00E2496A">
          <w:rPr>
            <w:noProof/>
            <w:webHidden/>
          </w:rPr>
          <w:fldChar w:fldCharType="end"/>
        </w:r>
      </w:hyperlink>
    </w:p>
    <w:p w14:paraId="13C21D84" w14:textId="0CC008BB" w:rsidR="00E2496A" w:rsidRDefault="00D20671">
      <w:pPr>
        <w:pStyle w:val="TOC2"/>
        <w:tabs>
          <w:tab w:val="right" w:leader="dot" w:pos="9062"/>
        </w:tabs>
        <w:rPr>
          <w:rFonts w:asciiTheme="minorHAnsi" w:eastAsiaTheme="minorEastAsia" w:hAnsiTheme="minorHAnsi"/>
          <w:noProof/>
          <w:sz w:val="22"/>
          <w:lang w:eastAsia="fr-FR"/>
        </w:rPr>
      </w:pPr>
      <w:hyperlink w:anchor="_Toc229618839" w:history="1">
        <w:r w:rsidR="00E2496A" w:rsidRPr="00A52800">
          <w:rPr>
            <w:rStyle w:val="Hyperlink"/>
            <w:noProof/>
          </w:rPr>
          <w:t>1-14/ Lauraceae (complément):</w:t>
        </w:r>
        <w:r w:rsidR="00E2496A">
          <w:rPr>
            <w:noProof/>
            <w:webHidden/>
          </w:rPr>
          <w:tab/>
        </w:r>
        <w:r w:rsidR="00E2496A">
          <w:rPr>
            <w:noProof/>
            <w:webHidden/>
          </w:rPr>
          <w:fldChar w:fldCharType="begin"/>
        </w:r>
        <w:r w:rsidR="00E2496A">
          <w:rPr>
            <w:noProof/>
            <w:webHidden/>
          </w:rPr>
          <w:instrText xml:space="preserve"> PAGEREF _Toc229618839 \h </w:instrText>
        </w:r>
        <w:r w:rsidR="00E2496A">
          <w:rPr>
            <w:noProof/>
            <w:webHidden/>
          </w:rPr>
        </w:r>
        <w:r w:rsidR="00E2496A">
          <w:rPr>
            <w:noProof/>
            <w:webHidden/>
          </w:rPr>
          <w:fldChar w:fldCharType="separate"/>
        </w:r>
        <w:r w:rsidR="00983108">
          <w:rPr>
            <w:noProof/>
            <w:webHidden/>
          </w:rPr>
          <w:t>69</w:t>
        </w:r>
        <w:r w:rsidR="00E2496A">
          <w:rPr>
            <w:noProof/>
            <w:webHidden/>
          </w:rPr>
          <w:fldChar w:fldCharType="end"/>
        </w:r>
      </w:hyperlink>
    </w:p>
    <w:p w14:paraId="18F30A6D" w14:textId="466D9AE9" w:rsidR="00E2496A" w:rsidRDefault="00D20671">
      <w:pPr>
        <w:pStyle w:val="TOC2"/>
        <w:tabs>
          <w:tab w:val="right" w:leader="dot" w:pos="9062"/>
        </w:tabs>
        <w:rPr>
          <w:rFonts w:asciiTheme="minorHAnsi" w:eastAsiaTheme="minorEastAsia" w:hAnsiTheme="minorHAnsi"/>
          <w:noProof/>
          <w:sz w:val="22"/>
          <w:lang w:eastAsia="fr-FR"/>
        </w:rPr>
      </w:pPr>
      <w:hyperlink w:anchor="_Toc229618840" w:history="1">
        <w:r w:rsidR="00E2496A" w:rsidRPr="00A52800">
          <w:rPr>
            <w:rStyle w:val="Hyperlink"/>
            <w:noProof/>
          </w:rPr>
          <w:t>1-15/ Theaceae :</w:t>
        </w:r>
        <w:r w:rsidR="00E2496A">
          <w:rPr>
            <w:noProof/>
            <w:webHidden/>
          </w:rPr>
          <w:tab/>
        </w:r>
        <w:r w:rsidR="00E2496A">
          <w:rPr>
            <w:noProof/>
            <w:webHidden/>
          </w:rPr>
          <w:fldChar w:fldCharType="begin"/>
        </w:r>
        <w:r w:rsidR="00E2496A">
          <w:rPr>
            <w:noProof/>
            <w:webHidden/>
          </w:rPr>
          <w:instrText xml:space="preserve"> PAGEREF _Toc229618840 \h </w:instrText>
        </w:r>
        <w:r w:rsidR="00E2496A">
          <w:rPr>
            <w:noProof/>
            <w:webHidden/>
          </w:rPr>
        </w:r>
        <w:r w:rsidR="00E2496A">
          <w:rPr>
            <w:noProof/>
            <w:webHidden/>
          </w:rPr>
          <w:fldChar w:fldCharType="separate"/>
        </w:r>
        <w:r w:rsidR="00983108">
          <w:rPr>
            <w:noProof/>
            <w:webHidden/>
          </w:rPr>
          <w:t>69</w:t>
        </w:r>
        <w:r w:rsidR="00E2496A">
          <w:rPr>
            <w:noProof/>
            <w:webHidden/>
          </w:rPr>
          <w:fldChar w:fldCharType="end"/>
        </w:r>
      </w:hyperlink>
    </w:p>
    <w:p w14:paraId="3EE3B749" w14:textId="2E06F398" w:rsidR="00E2496A" w:rsidRDefault="00D20671">
      <w:pPr>
        <w:pStyle w:val="TOC2"/>
        <w:tabs>
          <w:tab w:val="right" w:leader="dot" w:pos="9062"/>
        </w:tabs>
        <w:rPr>
          <w:rFonts w:asciiTheme="minorHAnsi" w:eastAsiaTheme="minorEastAsia" w:hAnsiTheme="minorHAnsi"/>
          <w:noProof/>
          <w:sz w:val="22"/>
          <w:lang w:eastAsia="fr-FR"/>
        </w:rPr>
      </w:pPr>
      <w:hyperlink w:anchor="_Toc229618841" w:history="1">
        <w:r w:rsidR="00E2496A" w:rsidRPr="00A52800">
          <w:rPr>
            <w:rStyle w:val="Hyperlink"/>
            <w:noProof/>
          </w:rPr>
          <w:t>1-16/Anacardiaceae</w:t>
        </w:r>
        <w:r w:rsidR="00E2496A">
          <w:rPr>
            <w:noProof/>
            <w:webHidden/>
          </w:rPr>
          <w:tab/>
        </w:r>
        <w:r w:rsidR="00E2496A">
          <w:rPr>
            <w:noProof/>
            <w:webHidden/>
          </w:rPr>
          <w:fldChar w:fldCharType="begin"/>
        </w:r>
        <w:r w:rsidR="00E2496A">
          <w:rPr>
            <w:noProof/>
            <w:webHidden/>
          </w:rPr>
          <w:instrText xml:space="preserve"> PAGEREF _Toc229618841 \h </w:instrText>
        </w:r>
        <w:r w:rsidR="00E2496A">
          <w:rPr>
            <w:noProof/>
            <w:webHidden/>
          </w:rPr>
        </w:r>
        <w:r w:rsidR="00E2496A">
          <w:rPr>
            <w:noProof/>
            <w:webHidden/>
          </w:rPr>
          <w:fldChar w:fldCharType="separate"/>
        </w:r>
        <w:r w:rsidR="00983108">
          <w:rPr>
            <w:noProof/>
            <w:webHidden/>
          </w:rPr>
          <w:t>70</w:t>
        </w:r>
        <w:r w:rsidR="00E2496A">
          <w:rPr>
            <w:noProof/>
            <w:webHidden/>
          </w:rPr>
          <w:fldChar w:fldCharType="end"/>
        </w:r>
      </w:hyperlink>
    </w:p>
    <w:p w14:paraId="40FB547F" w14:textId="4EFC8493" w:rsidR="00E2496A" w:rsidRDefault="00D20671">
      <w:pPr>
        <w:pStyle w:val="TOC2"/>
        <w:tabs>
          <w:tab w:val="right" w:leader="dot" w:pos="9062"/>
        </w:tabs>
        <w:rPr>
          <w:rFonts w:asciiTheme="minorHAnsi" w:eastAsiaTheme="minorEastAsia" w:hAnsiTheme="minorHAnsi"/>
          <w:noProof/>
          <w:sz w:val="22"/>
          <w:lang w:eastAsia="fr-FR"/>
        </w:rPr>
      </w:pPr>
      <w:hyperlink w:anchor="_Toc229618842" w:history="1">
        <w:r w:rsidR="00E2496A" w:rsidRPr="00A52800">
          <w:rPr>
            <w:rStyle w:val="Hyperlink"/>
            <w:noProof/>
          </w:rPr>
          <w:t>1-17/Rhamnaceae :</w:t>
        </w:r>
        <w:r w:rsidR="00E2496A">
          <w:rPr>
            <w:noProof/>
            <w:webHidden/>
          </w:rPr>
          <w:tab/>
        </w:r>
        <w:r w:rsidR="00E2496A">
          <w:rPr>
            <w:noProof/>
            <w:webHidden/>
          </w:rPr>
          <w:fldChar w:fldCharType="begin"/>
        </w:r>
        <w:r w:rsidR="00E2496A">
          <w:rPr>
            <w:noProof/>
            <w:webHidden/>
          </w:rPr>
          <w:instrText xml:space="preserve"> PAGEREF _Toc229618842 \h </w:instrText>
        </w:r>
        <w:r w:rsidR="00E2496A">
          <w:rPr>
            <w:noProof/>
            <w:webHidden/>
          </w:rPr>
        </w:r>
        <w:r w:rsidR="00E2496A">
          <w:rPr>
            <w:noProof/>
            <w:webHidden/>
          </w:rPr>
          <w:fldChar w:fldCharType="separate"/>
        </w:r>
        <w:r w:rsidR="00983108">
          <w:rPr>
            <w:noProof/>
            <w:webHidden/>
          </w:rPr>
          <w:t>71</w:t>
        </w:r>
        <w:r w:rsidR="00E2496A">
          <w:rPr>
            <w:noProof/>
            <w:webHidden/>
          </w:rPr>
          <w:fldChar w:fldCharType="end"/>
        </w:r>
      </w:hyperlink>
    </w:p>
    <w:p w14:paraId="04E551F9" w14:textId="125837C4" w:rsidR="00E2496A" w:rsidRDefault="00D20671">
      <w:pPr>
        <w:pStyle w:val="TOC2"/>
        <w:tabs>
          <w:tab w:val="right" w:leader="dot" w:pos="9062"/>
        </w:tabs>
        <w:rPr>
          <w:rFonts w:asciiTheme="minorHAnsi" w:eastAsiaTheme="minorEastAsia" w:hAnsiTheme="minorHAnsi"/>
          <w:noProof/>
          <w:sz w:val="22"/>
          <w:lang w:eastAsia="fr-FR"/>
        </w:rPr>
      </w:pPr>
      <w:hyperlink w:anchor="_Toc229618843" w:history="1">
        <w:r w:rsidR="00E2496A" w:rsidRPr="00A52800">
          <w:rPr>
            <w:rStyle w:val="Hyperlink"/>
            <w:noProof/>
          </w:rPr>
          <w:t>1-18/Lythraceae</w:t>
        </w:r>
        <w:r w:rsidR="00E2496A">
          <w:rPr>
            <w:noProof/>
            <w:webHidden/>
          </w:rPr>
          <w:tab/>
        </w:r>
        <w:r w:rsidR="00E2496A">
          <w:rPr>
            <w:noProof/>
            <w:webHidden/>
          </w:rPr>
          <w:fldChar w:fldCharType="begin"/>
        </w:r>
        <w:r w:rsidR="00E2496A">
          <w:rPr>
            <w:noProof/>
            <w:webHidden/>
          </w:rPr>
          <w:instrText xml:space="preserve"> PAGEREF _Toc229618843 \h </w:instrText>
        </w:r>
        <w:r w:rsidR="00E2496A">
          <w:rPr>
            <w:noProof/>
            <w:webHidden/>
          </w:rPr>
        </w:r>
        <w:r w:rsidR="00E2496A">
          <w:rPr>
            <w:noProof/>
            <w:webHidden/>
          </w:rPr>
          <w:fldChar w:fldCharType="separate"/>
        </w:r>
        <w:r w:rsidR="00983108">
          <w:rPr>
            <w:noProof/>
            <w:webHidden/>
          </w:rPr>
          <w:t>72</w:t>
        </w:r>
        <w:r w:rsidR="00E2496A">
          <w:rPr>
            <w:noProof/>
            <w:webHidden/>
          </w:rPr>
          <w:fldChar w:fldCharType="end"/>
        </w:r>
      </w:hyperlink>
    </w:p>
    <w:p w14:paraId="6C867C05" w14:textId="4BB6FE54" w:rsidR="00E2496A" w:rsidRDefault="00D20671">
      <w:pPr>
        <w:pStyle w:val="TOC2"/>
        <w:tabs>
          <w:tab w:val="right" w:leader="dot" w:pos="9062"/>
        </w:tabs>
        <w:rPr>
          <w:rFonts w:asciiTheme="minorHAnsi" w:eastAsiaTheme="minorEastAsia" w:hAnsiTheme="minorHAnsi"/>
          <w:noProof/>
          <w:sz w:val="22"/>
          <w:lang w:eastAsia="fr-FR"/>
        </w:rPr>
      </w:pPr>
      <w:hyperlink w:anchor="_Toc229618844" w:history="1">
        <w:r w:rsidR="00E2496A" w:rsidRPr="00A52800">
          <w:rPr>
            <w:rStyle w:val="Hyperlink"/>
            <w:noProof/>
          </w:rPr>
          <w:t>1-19/Urticaceae</w:t>
        </w:r>
        <w:r w:rsidR="00E2496A">
          <w:rPr>
            <w:noProof/>
            <w:webHidden/>
          </w:rPr>
          <w:tab/>
        </w:r>
        <w:r w:rsidR="00E2496A">
          <w:rPr>
            <w:noProof/>
            <w:webHidden/>
          </w:rPr>
          <w:fldChar w:fldCharType="begin"/>
        </w:r>
        <w:r w:rsidR="00E2496A">
          <w:rPr>
            <w:noProof/>
            <w:webHidden/>
          </w:rPr>
          <w:instrText xml:space="preserve"> PAGEREF _Toc229618844 \h </w:instrText>
        </w:r>
        <w:r w:rsidR="00E2496A">
          <w:rPr>
            <w:noProof/>
            <w:webHidden/>
          </w:rPr>
        </w:r>
        <w:r w:rsidR="00E2496A">
          <w:rPr>
            <w:noProof/>
            <w:webHidden/>
          </w:rPr>
          <w:fldChar w:fldCharType="separate"/>
        </w:r>
        <w:r w:rsidR="00983108">
          <w:rPr>
            <w:noProof/>
            <w:webHidden/>
          </w:rPr>
          <w:t>72</w:t>
        </w:r>
        <w:r w:rsidR="00E2496A">
          <w:rPr>
            <w:noProof/>
            <w:webHidden/>
          </w:rPr>
          <w:fldChar w:fldCharType="end"/>
        </w:r>
      </w:hyperlink>
    </w:p>
    <w:p w14:paraId="7E50BF5A" w14:textId="46E3E179" w:rsidR="00E2496A" w:rsidRDefault="00D20671">
      <w:pPr>
        <w:pStyle w:val="TOC2"/>
        <w:tabs>
          <w:tab w:val="right" w:leader="dot" w:pos="9062"/>
        </w:tabs>
        <w:rPr>
          <w:rFonts w:asciiTheme="minorHAnsi" w:eastAsiaTheme="minorEastAsia" w:hAnsiTheme="minorHAnsi"/>
          <w:noProof/>
          <w:sz w:val="22"/>
          <w:lang w:eastAsia="fr-FR"/>
        </w:rPr>
      </w:pPr>
      <w:hyperlink w:anchor="_Toc229618845" w:history="1">
        <w:r w:rsidR="00E2496A" w:rsidRPr="00A52800">
          <w:rPr>
            <w:rStyle w:val="Hyperlink"/>
            <w:noProof/>
          </w:rPr>
          <w:t>1-20/Ranunculaceae</w:t>
        </w:r>
        <w:r w:rsidR="00E2496A">
          <w:rPr>
            <w:noProof/>
            <w:webHidden/>
          </w:rPr>
          <w:tab/>
        </w:r>
        <w:r w:rsidR="00E2496A">
          <w:rPr>
            <w:noProof/>
            <w:webHidden/>
          </w:rPr>
          <w:fldChar w:fldCharType="begin"/>
        </w:r>
        <w:r w:rsidR="00E2496A">
          <w:rPr>
            <w:noProof/>
            <w:webHidden/>
          </w:rPr>
          <w:instrText xml:space="preserve"> PAGEREF _Toc229618845 \h </w:instrText>
        </w:r>
        <w:r w:rsidR="00E2496A">
          <w:rPr>
            <w:noProof/>
            <w:webHidden/>
          </w:rPr>
        </w:r>
        <w:r w:rsidR="00E2496A">
          <w:rPr>
            <w:noProof/>
            <w:webHidden/>
          </w:rPr>
          <w:fldChar w:fldCharType="separate"/>
        </w:r>
        <w:r w:rsidR="00983108">
          <w:rPr>
            <w:noProof/>
            <w:webHidden/>
          </w:rPr>
          <w:t>73</w:t>
        </w:r>
        <w:r w:rsidR="00E2496A">
          <w:rPr>
            <w:noProof/>
            <w:webHidden/>
          </w:rPr>
          <w:fldChar w:fldCharType="end"/>
        </w:r>
      </w:hyperlink>
    </w:p>
    <w:p w14:paraId="7AC9E37E" w14:textId="55102C43" w:rsidR="00E2496A" w:rsidRDefault="00D20671">
      <w:pPr>
        <w:pStyle w:val="TOC2"/>
        <w:tabs>
          <w:tab w:val="right" w:leader="dot" w:pos="9062"/>
        </w:tabs>
        <w:rPr>
          <w:rFonts w:asciiTheme="minorHAnsi" w:eastAsiaTheme="minorEastAsia" w:hAnsiTheme="minorHAnsi"/>
          <w:noProof/>
          <w:sz w:val="22"/>
          <w:lang w:eastAsia="fr-FR"/>
        </w:rPr>
      </w:pPr>
      <w:hyperlink w:anchor="_Toc229618846" w:history="1">
        <w:r w:rsidR="00E2496A" w:rsidRPr="00A52800">
          <w:rPr>
            <w:rStyle w:val="Hyperlink"/>
            <w:noProof/>
          </w:rPr>
          <w:t>1-21/ Acetaceae (produit fermenté végétal) :</w:t>
        </w:r>
        <w:r w:rsidR="00E2496A">
          <w:rPr>
            <w:noProof/>
            <w:webHidden/>
          </w:rPr>
          <w:tab/>
        </w:r>
        <w:r w:rsidR="00E2496A">
          <w:rPr>
            <w:noProof/>
            <w:webHidden/>
          </w:rPr>
          <w:fldChar w:fldCharType="begin"/>
        </w:r>
        <w:r w:rsidR="00E2496A">
          <w:rPr>
            <w:noProof/>
            <w:webHidden/>
          </w:rPr>
          <w:instrText xml:space="preserve"> PAGEREF _Toc229618846 \h </w:instrText>
        </w:r>
        <w:r w:rsidR="00E2496A">
          <w:rPr>
            <w:noProof/>
            <w:webHidden/>
          </w:rPr>
        </w:r>
        <w:r w:rsidR="00E2496A">
          <w:rPr>
            <w:noProof/>
            <w:webHidden/>
          </w:rPr>
          <w:fldChar w:fldCharType="separate"/>
        </w:r>
        <w:r w:rsidR="00983108">
          <w:rPr>
            <w:noProof/>
            <w:webHidden/>
          </w:rPr>
          <w:t>74</w:t>
        </w:r>
        <w:r w:rsidR="00E2496A">
          <w:rPr>
            <w:noProof/>
            <w:webHidden/>
          </w:rPr>
          <w:fldChar w:fldCharType="end"/>
        </w:r>
      </w:hyperlink>
    </w:p>
    <w:p w14:paraId="2E294618" w14:textId="66FACFEA" w:rsidR="00E2496A" w:rsidRDefault="00D20671">
      <w:pPr>
        <w:pStyle w:val="TOC1"/>
        <w:tabs>
          <w:tab w:val="right" w:leader="dot" w:pos="9062"/>
        </w:tabs>
        <w:rPr>
          <w:rFonts w:asciiTheme="minorHAnsi" w:eastAsiaTheme="minorEastAsia" w:hAnsiTheme="minorHAnsi"/>
          <w:noProof/>
          <w:sz w:val="22"/>
          <w:lang w:eastAsia="fr-FR"/>
        </w:rPr>
      </w:pPr>
      <w:hyperlink w:anchor="_Toc229618847" w:history="1">
        <w:r w:rsidR="00E2496A" w:rsidRPr="00A52800">
          <w:rPr>
            <w:rStyle w:val="Hyperlink"/>
            <w:noProof/>
          </w:rPr>
          <w:t>2</w:t>
        </w:r>
        <w:r w:rsidR="00E2496A" w:rsidRPr="00A52800">
          <w:rPr>
            <w:rStyle w:val="Hyperlink"/>
            <w:noProof/>
            <w:shd w:val="clear" w:color="auto" w:fill="FFFFFF"/>
          </w:rPr>
          <w:t>/les plantes les plus utilisées chez les patients diabétiques à Laghouat et au Nord et  sud</w:t>
        </w:r>
        <w:r w:rsidR="00E2496A" w:rsidRPr="00A52800">
          <w:rPr>
            <w:rStyle w:val="Hyperlink"/>
            <w:noProof/>
            <w:shd w:val="clear" w:color="auto" w:fill="FFFFFF"/>
            <w:rtl/>
          </w:rPr>
          <w:t xml:space="preserve"> </w:t>
        </w:r>
        <w:r w:rsidR="00E2496A" w:rsidRPr="00A52800">
          <w:rPr>
            <w:rStyle w:val="Hyperlink"/>
            <w:noProof/>
            <w:shd w:val="clear" w:color="auto" w:fill="FFFFFF"/>
          </w:rPr>
          <w:t>algériens :</w:t>
        </w:r>
        <w:r w:rsidR="00E2496A">
          <w:rPr>
            <w:noProof/>
            <w:webHidden/>
          </w:rPr>
          <w:tab/>
        </w:r>
        <w:r w:rsidR="00E2496A">
          <w:rPr>
            <w:noProof/>
            <w:webHidden/>
          </w:rPr>
          <w:fldChar w:fldCharType="begin"/>
        </w:r>
        <w:r w:rsidR="00E2496A">
          <w:rPr>
            <w:noProof/>
            <w:webHidden/>
          </w:rPr>
          <w:instrText xml:space="preserve"> PAGEREF _Toc229618847 \h </w:instrText>
        </w:r>
        <w:r w:rsidR="00E2496A">
          <w:rPr>
            <w:noProof/>
            <w:webHidden/>
          </w:rPr>
        </w:r>
        <w:r w:rsidR="00E2496A">
          <w:rPr>
            <w:noProof/>
            <w:webHidden/>
          </w:rPr>
          <w:fldChar w:fldCharType="separate"/>
        </w:r>
        <w:r w:rsidR="00983108">
          <w:rPr>
            <w:noProof/>
            <w:webHidden/>
          </w:rPr>
          <w:t>74</w:t>
        </w:r>
        <w:r w:rsidR="00E2496A">
          <w:rPr>
            <w:noProof/>
            <w:webHidden/>
          </w:rPr>
          <w:fldChar w:fldCharType="end"/>
        </w:r>
      </w:hyperlink>
    </w:p>
    <w:p w14:paraId="0072E129" w14:textId="129D36A4" w:rsidR="00E2496A" w:rsidRDefault="00D20671">
      <w:pPr>
        <w:pStyle w:val="TOC1"/>
        <w:tabs>
          <w:tab w:val="right" w:leader="dot" w:pos="9062"/>
        </w:tabs>
        <w:rPr>
          <w:rFonts w:asciiTheme="minorHAnsi" w:eastAsiaTheme="minorEastAsia" w:hAnsiTheme="minorHAnsi"/>
          <w:noProof/>
          <w:sz w:val="22"/>
          <w:lang w:eastAsia="fr-FR"/>
        </w:rPr>
      </w:pPr>
      <w:hyperlink r:id="rId11" w:anchor="_Toc229618848" w:history="1">
        <w:r w:rsidR="00E2496A" w:rsidRPr="00A52800">
          <w:rPr>
            <w:rStyle w:val="Hyperlink"/>
            <w:rFonts w:cstheme="majorBidi"/>
            <w:b/>
            <w:bCs/>
            <w:noProof/>
          </w:rPr>
          <w:t>Matériels et méthodes</w:t>
        </w:r>
        <w:r w:rsidR="00E2496A">
          <w:rPr>
            <w:noProof/>
            <w:webHidden/>
          </w:rPr>
          <w:tab/>
        </w:r>
        <w:r w:rsidR="00E2496A">
          <w:rPr>
            <w:noProof/>
            <w:webHidden/>
          </w:rPr>
          <w:fldChar w:fldCharType="begin"/>
        </w:r>
        <w:r w:rsidR="00E2496A">
          <w:rPr>
            <w:noProof/>
            <w:webHidden/>
          </w:rPr>
          <w:instrText xml:space="preserve"> PAGEREF _Toc229618848 \h </w:instrText>
        </w:r>
        <w:r w:rsidR="00E2496A">
          <w:rPr>
            <w:noProof/>
            <w:webHidden/>
          </w:rPr>
        </w:r>
        <w:r w:rsidR="00E2496A">
          <w:rPr>
            <w:noProof/>
            <w:webHidden/>
          </w:rPr>
          <w:fldChar w:fldCharType="separate"/>
        </w:r>
        <w:r w:rsidR="00983108">
          <w:rPr>
            <w:noProof/>
            <w:webHidden/>
          </w:rPr>
          <w:t>75</w:t>
        </w:r>
        <w:r w:rsidR="00E2496A">
          <w:rPr>
            <w:noProof/>
            <w:webHidden/>
          </w:rPr>
          <w:fldChar w:fldCharType="end"/>
        </w:r>
      </w:hyperlink>
    </w:p>
    <w:p w14:paraId="52349E96" w14:textId="78B058E9" w:rsidR="00E2496A" w:rsidRDefault="00D20671">
      <w:pPr>
        <w:pStyle w:val="TOC1"/>
        <w:tabs>
          <w:tab w:val="right" w:leader="dot" w:pos="9062"/>
        </w:tabs>
        <w:rPr>
          <w:rFonts w:asciiTheme="minorHAnsi" w:eastAsiaTheme="minorEastAsia" w:hAnsiTheme="minorHAnsi"/>
          <w:noProof/>
          <w:sz w:val="22"/>
          <w:lang w:eastAsia="fr-FR"/>
        </w:rPr>
      </w:pPr>
      <w:hyperlink r:id="rId12" w:anchor="_Toc229618849" w:history="1">
        <w:r w:rsidR="00E2496A" w:rsidRPr="00A52800">
          <w:rPr>
            <w:rStyle w:val="Hyperlink"/>
            <w:b/>
            <w:bCs/>
            <w:noProof/>
          </w:rPr>
          <w:t>Résultats</w:t>
        </w:r>
        <w:r w:rsidR="00E2496A">
          <w:rPr>
            <w:noProof/>
            <w:webHidden/>
          </w:rPr>
          <w:tab/>
        </w:r>
        <w:r w:rsidR="00E2496A">
          <w:rPr>
            <w:noProof/>
            <w:webHidden/>
          </w:rPr>
          <w:fldChar w:fldCharType="begin"/>
        </w:r>
        <w:r w:rsidR="00E2496A">
          <w:rPr>
            <w:noProof/>
            <w:webHidden/>
          </w:rPr>
          <w:instrText xml:space="preserve"> PAGEREF _Toc229618849 \h </w:instrText>
        </w:r>
        <w:r w:rsidR="00E2496A">
          <w:rPr>
            <w:noProof/>
            <w:webHidden/>
          </w:rPr>
        </w:r>
        <w:r w:rsidR="00E2496A">
          <w:rPr>
            <w:noProof/>
            <w:webHidden/>
          </w:rPr>
          <w:fldChar w:fldCharType="separate"/>
        </w:r>
        <w:r w:rsidR="00983108">
          <w:rPr>
            <w:noProof/>
            <w:webHidden/>
          </w:rPr>
          <w:t>75</w:t>
        </w:r>
        <w:r w:rsidR="00E2496A">
          <w:rPr>
            <w:noProof/>
            <w:webHidden/>
          </w:rPr>
          <w:fldChar w:fldCharType="end"/>
        </w:r>
      </w:hyperlink>
    </w:p>
    <w:p w14:paraId="47B4BF47" w14:textId="31968969" w:rsidR="00E2496A" w:rsidRDefault="00D20671">
      <w:pPr>
        <w:pStyle w:val="TOC1"/>
        <w:tabs>
          <w:tab w:val="right" w:leader="dot" w:pos="9062"/>
        </w:tabs>
        <w:rPr>
          <w:rFonts w:asciiTheme="minorHAnsi" w:eastAsiaTheme="minorEastAsia" w:hAnsiTheme="minorHAnsi"/>
          <w:noProof/>
          <w:sz w:val="22"/>
          <w:lang w:eastAsia="fr-FR"/>
        </w:rPr>
      </w:pPr>
      <w:hyperlink r:id="rId13" w:anchor="_Toc229618850" w:history="1">
        <w:r w:rsidR="00E2496A" w:rsidRPr="00A52800">
          <w:rPr>
            <w:rStyle w:val="Hyperlink"/>
            <w:rFonts w:cstheme="majorBidi"/>
            <w:b/>
            <w:bCs/>
            <w:noProof/>
          </w:rPr>
          <w:t>Discussion</w:t>
        </w:r>
        <w:r w:rsidR="00E2496A">
          <w:rPr>
            <w:noProof/>
            <w:webHidden/>
          </w:rPr>
          <w:tab/>
        </w:r>
        <w:r w:rsidR="00E2496A">
          <w:rPr>
            <w:noProof/>
            <w:webHidden/>
          </w:rPr>
          <w:fldChar w:fldCharType="begin"/>
        </w:r>
        <w:r w:rsidR="00E2496A">
          <w:rPr>
            <w:noProof/>
            <w:webHidden/>
          </w:rPr>
          <w:instrText xml:space="preserve"> PAGEREF _Toc229618850 \h </w:instrText>
        </w:r>
        <w:r w:rsidR="00E2496A">
          <w:rPr>
            <w:noProof/>
            <w:webHidden/>
          </w:rPr>
        </w:r>
        <w:r w:rsidR="00E2496A">
          <w:rPr>
            <w:noProof/>
            <w:webHidden/>
          </w:rPr>
          <w:fldChar w:fldCharType="separate"/>
        </w:r>
        <w:r w:rsidR="00983108">
          <w:rPr>
            <w:noProof/>
            <w:webHidden/>
          </w:rPr>
          <w:t>75</w:t>
        </w:r>
        <w:r w:rsidR="00E2496A">
          <w:rPr>
            <w:noProof/>
            <w:webHidden/>
          </w:rPr>
          <w:fldChar w:fldCharType="end"/>
        </w:r>
      </w:hyperlink>
    </w:p>
    <w:p w14:paraId="7C1AE37A" w14:textId="7ADB74CB" w:rsidR="00E2496A" w:rsidRDefault="00D20671">
      <w:pPr>
        <w:pStyle w:val="TOC1"/>
        <w:tabs>
          <w:tab w:val="right" w:leader="dot" w:pos="9062"/>
        </w:tabs>
        <w:rPr>
          <w:rFonts w:asciiTheme="minorHAnsi" w:eastAsiaTheme="minorEastAsia" w:hAnsiTheme="minorHAnsi"/>
          <w:noProof/>
          <w:sz w:val="22"/>
          <w:lang w:eastAsia="fr-FR"/>
        </w:rPr>
      </w:pPr>
      <w:hyperlink r:id="rId14" w:anchor="_Toc229618851" w:history="1">
        <w:r w:rsidR="00E2496A" w:rsidRPr="00A52800">
          <w:rPr>
            <w:rStyle w:val="Hyperlink"/>
            <w:rFonts w:cstheme="majorBidi"/>
            <w:b/>
            <w:bCs/>
            <w:noProof/>
          </w:rPr>
          <w:t>Conclusion</w:t>
        </w:r>
        <w:r w:rsidR="00E2496A">
          <w:rPr>
            <w:noProof/>
            <w:webHidden/>
          </w:rPr>
          <w:tab/>
        </w:r>
        <w:r w:rsidR="00E2496A">
          <w:rPr>
            <w:noProof/>
            <w:webHidden/>
          </w:rPr>
          <w:fldChar w:fldCharType="begin"/>
        </w:r>
        <w:r w:rsidR="00E2496A">
          <w:rPr>
            <w:noProof/>
            <w:webHidden/>
          </w:rPr>
          <w:instrText xml:space="preserve"> PAGEREF _Toc229618851 \h </w:instrText>
        </w:r>
        <w:r w:rsidR="00E2496A">
          <w:rPr>
            <w:noProof/>
            <w:webHidden/>
          </w:rPr>
        </w:r>
        <w:r w:rsidR="00E2496A">
          <w:rPr>
            <w:noProof/>
            <w:webHidden/>
          </w:rPr>
          <w:fldChar w:fldCharType="separate"/>
        </w:r>
        <w:r w:rsidR="00983108">
          <w:rPr>
            <w:noProof/>
            <w:webHidden/>
          </w:rPr>
          <w:t>75</w:t>
        </w:r>
        <w:r w:rsidR="00E2496A">
          <w:rPr>
            <w:noProof/>
            <w:webHidden/>
          </w:rPr>
          <w:fldChar w:fldCharType="end"/>
        </w:r>
      </w:hyperlink>
    </w:p>
    <w:p w14:paraId="2E95B39C" w14:textId="7457DD2D" w:rsidR="00E2496A" w:rsidRDefault="00D20671">
      <w:pPr>
        <w:pStyle w:val="TOC1"/>
        <w:tabs>
          <w:tab w:val="right" w:leader="dot" w:pos="9062"/>
        </w:tabs>
        <w:rPr>
          <w:rFonts w:asciiTheme="minorHAnsi" w:eastAsiaTheme="minorEastAsia" w:hAnsiTheme="minorHAnsi"/>
          <w:noProof/>
          <w:sz w:val="22"/>
          <w:lang w:eastAsia="fr-FR"/>
        </w:rPr>
      </w:pPr>
      <w:hyperlink r:id="rId15" w:anchor="_Toc229618852" w:history="1">
        <w:r w:rsidR="00E2496A" w:rsidRPr="00A52800">
          <w:rPr>
            <w:rStyle w:val="Hyperlink"/>
            <w:rFonts w:eastAsia="Times New Roman" w:cstheme="majorBidi"/>
            <w:b/>
            <w:bCs/>
            <w:noProof/>
            <w:lang w:eastAsia="fr-FR"/>
          </w:rPr>
          <w:t>Forces, limites et recommandations</w:t>
        </w:r>
        <w:r w:rsidR="00E2496A">
          <w:rPr>
            <w:noProof/>
            <w:webHidden/>
          </w:rPr>
          <w:tab/>
        </w:r>
        <w:r w:rsidR="00E2496A">
          <w:rPr>
            <w:noProof/>
            <w:webHidden/>
          </w:rPr>
          <w:fldChar w:fldCharType="begin"/>
        </w:r>
        <w:r w:rsidR="00E2496A">
          <w:rPr>
            <w:noProof/>
            <w:webHidden/>
          </w:rPr>
          <w:instrText xml:space="preserve"> PAGEREF _Toc229618852 \h </w:instrText>
        </w:r>
        <w:r w:rsidR="00E2496A">
          <w:rPr>
            <w:noProof/>
            <w:webHidden/>
          </w:rPr>
        </w:r>
        <w:r w:rsidR="00E2496A">
          <w:rPr>
            <w:noProof/>
            <w:webHidden/>
          </w:rPr>
          <w:fldChar w:fldCharType="separate"/>
        </w:r>
        <w:r w:rsidR="00983108">
          <w:rPr>
            <w:noProof/>
            <w:webHidden/>
          </w:rPr>
          <w:t>75</w:t>
        </w:r>
        <w:r w:rsidR="00E2496A">
          <w:rPr>
            <w:noProof/>
            <w:webHidden/>
          </w:rPr>
          <w:fldChar w:fldCharType="end"/>
        </w:r>
      </w:hyperlink>
    </w:p>
    <w:p w14:paraId="40183DEA" w14:textId="75E48937" w:rsidR="00E2496A" w:rsidRDefault="00D20671">
      <w:pPr>
        <w:pStyle w:val="TOC1"/>
        <w:tabs>
          <w:tab w:val="right" w:leader="dot" w:pos="9062"/>
        </w:tabs>
        <w:rPr>
          <w:rFonts w:asciiTheme="minorHAnsi" w:eastAsiaTheme="minorEastAsia" w:hAnsiTheme="minorHAnsi"/>
          <w:noProof/>
          <w:sz w:val="22"/>
          <w:lang w:eastAsia="fr-FR"/>
        </w:rPr>
      </w:pPr>
      <w:hyperlink r:id="rId16" w:anchor="_Toc229618853" w:history="1">
        <w:r w:rsidR="00E2496A" w:rsidRPr="00A52800">
          <w:rPr>
            <w:rStyle w:val="Hyperlink"/>
            <w:rFonts w:cstheme="majorBidi"/>
            <w:b/>
            <w:bCs/>
            <w:noProof/>
          </w:rPr>
          <w:t>Bibliographie</w:t>
        </w:r>
        <w:r w:rsidR="00E2496A">
          <w:rPr>
            <w:noProof/>
            <w:webHidden/>
          </w:rPr>
          <w:tab/>
        </w:r>
        <w:r w:rsidR="00E2496A">
          <w:rPr>
            <w:noProof/>
            <w:webHidden/>
          </w:rPr>
          <w:fldChar w:fldCharType="begin"/>
        </w:r>
        <w:r w:rsidR="00E2496A">
          <w:rPr>
            <w:noProof/>
            <w:webHidden/>
          </w:rPr>
          <w:instrText xml:space="preserve"> PAGEREF _Toc229618853 \h </w:instrText>
        </w:r>
        <w:r w:rsidR="00E2496A">
          <w:rPr>
            <w:noProof/>
            <w:webHidden/>
          </w:rPr>
        </w:r>
        <w:r w:rsidR="00E2496A">
          <w:rPr>
            <w:noProof/>
            <w:webHidden/>
          </w:rPr>
          <w:fldChar w:fldCharType="separate"/>
        </w:r>
        <w:r w:rsidR="00983108">
          <w:rPr>
            <w:noProof/>
            <w:webHidden/>
          </w:rPr>
          <w:t>75</w:t>
        </w:r>
        <w:r w:rsidR="00E2496A">
          <w:rPr>
            <w:noProof/>
            <w:webHidden/>
          </w:rPr>
          <w:fldChar w:fldCharType="end"/>
        </w:r>
      </w:hyperlink>
    </w:p>
    <w:p w14:paraId="7D0C1677" w14:textId="196E9594" w:rsidR="00E2496A" w:rsidRDefault="00D20671">
      <w:pPr>
        <w:pStyle w:val="TOC1"/>
        <w:tabs>
          <w:tab w:val="right" w:leader="dot" w:pos="9062"/>
        </w:tabs>
        <w:rPr>
          <w:rFonts w:asciiTheme="minorHAnsi" w:eastAsiaTheme="minorEastAsia" w:hAnsiTheme="minorHAnsi"/>
          <w:noProof/>
          <w:sz w:val="22"/>
          <w:lang w:eastAsia="fr-FR"/>
        </w:rPr>
      </w:pPr>
      <w:hyperlink r:id="rId17" w:anchor="_Toc229618854" w:history="1">
        <w:r w:rsidR="00E2496A" w:rsidRPr="00A52800">
          <w:rPr>
            <w:rStyle w:val="Hyperlink"/>
            <w:rFonts w:cstheme="majorBidi"/>
            <w:b/>
            <w:bCs/>
            <w:noProof/>
          </w:rPr>
          <w:t>Annexes</w:t>
        </w:r>
        <w:r w:rsidR="00E2496A">
          <w:rPr>
            <w:noProof/>
            <w:webHidden/>
          </w:rPr>
          <w:tab/>
        </w:r>
        <w:r w:rsidR="00E2496A">
          <w:rPr>
            <w:noProof/>
            <w:webHidden/>
          </w:rPr>
          <w:fldChar w:fldCharType="begin"/>
        </w:r>
        <w:r w:rsidR="00E2496A">
          <w:rPr>
            <w:noProof/>
            <w:webHidden/>
          </w:rPr>
          <w:instrText xml:space="preserve"> PAGEREF _Toc229618854 \h </w:instrText>
        </w:r>
        <w:r w:rsidR="00E2496A">
          <w:rPr>
            <w:noProof/>
            <w:webHidden/>
          </w:rPr>
        </w:r>
        <w:r w:rsidR="00E2496A">
          <w:rPr>
            <w:noProof/>
            <w:webHidden/>
          </w:rPr>
          <w:fldChar w:fldCharType="separate"/>
        </w:r>
        <w:r w:rsidR="00983108">
          <w:rPr>
            <w:noProof/>
            <w:webHidden/>
          </w:rPr>
          <w:t>75</w:t>
        </w:r>
        <w:r w:rsidR="00E2496A">
          <w:rPr>
            <w:noProof/>
            <w:webHidden/>
          </w:rPr>
          <w:fldChar w:fldCharType="end"/>
        </w:r>
      </w:hyperlink>
    </w:p>
    <w:p w14:paraId="0BCD4810" w14:textId="0BC4B1F0" w:rsidR="006F25EE" w:rsidRDefault="008758B6" w:rsidP="006F25EE">
      <w:pPr>
        <w:rPr>
          <w:lang w:val="fr-FR"/>
        </w:rPr>
        <w:sectPr w:rsidR="006F25EE" w:rsidSect="006F25EE">
          <w:pgSz w:w="11906" w:h="16838"/>
          <w:pgMar w:top="1417" w:right="1417" w:bottom="1417" w:left="1417" w:header="708" w:footer="708" w:gutter="0"/>
          <w:pgBorders w:display="firstPage" w:offsetFrom="page">
            <w:top w:val="single" w:sz="4" w:space="24" w:color="auto"/>
            <w:left w:val="single" w:sz="4" w:space="24" w:color="auto"/>
            <w:bottom w:val="single" w:sz="4" w:space="24" w:color="auto"/>
            <w:right w:val="single" w:sz="4" w:space="24" w:color="auto"/>
          </w:pgBorders>
          <w:pgNumType w:fmt="upperRoman"/>
          <w:cols w:space="708"/>
          <w:docGrid w:linePitch="360"/>
        </w:sectPr>
      </w:pPr>
      <w:r>
        <w:rPr>
          <w:lang w:val="fr-FR"/>
        </w:rPr>
        <w:fldChar w:fldCharType="end"/>
      </w:r>
    </w:p>
    <w:p w14:paraId="7082CBBA" w14:textId="6197A7A3" w:rsidR="00664D0A" w:rsidRPr="00CB543A" w:rsidRDefault="0086407A" w:rsidP="000C1665">
      <w:pPr>
        <w:rPr>
          <w:lang w:val="fr-FR"/>
        </w:rPr>
      </w:pPr>
      <w:r w:rsidRPr="00CB543A">
        <w:rPr>
          <w:lang w:val="fr-FR"/>
        </w:rPr>
        <w:lastRenderedPageBreak/>
        <w:br w:type="page"/>
      </w:r>
      <w:r w:rsidR="000C1665">
        <w:rPr>
          <w:noProof/>
          <w:lang w:val="fr-FR" w:eastAsia="fr-FR"/>
        </w:rPr>
        <mc:AlternateContent>
          <mc:Choice Requires="wps">
            <w:drawing>
              <wp:anchor distT="0" distB="0" distL="114300" distR="114300" simplePos="0" relativeHeight="251670528" behindDoc="0" locked="0" layoutInCell="1" allowOverlap="1" wp14:anchorId="4898A0F0" wp14:editId="22F552AD">
                <wp:simplePos x="0" y="0"/>
                <wp:positionH relativeFrom="margin">
                  <wp:align>center</wp:align>
                </wp:positionH>
                <wp:positionV relativeFrom="paragraph">
                  <wp:posOffset>2642775</wp:posOffset>
                </wp:positionV>
                <wp:extent cx="4797188" cy="3582537"/>
                <wp:effectExtent l="0" t="0" r="22860" b="18415"/>
                <wp:wrapNone/>
                <wp:docPr id="44" name="Snip Diagonal Corner Rectangle 44"/>
                <wp:cNvGraphicFramePr/>
                <a:graphic xmlns:a="http://schemas.openxmlformats.org/drawingml/2006/main">
                  <a:graphicData uri="http://schemas.microsoft.com/office/word/2010/wordprocessingShape">
                    <wps:wsp>
                      <wps:cNvSpPr/>
                      <wps:spPr>
                        <a:xfrm>
                          <a:off x="0" y="0"/>
                          <a:ext cx="4797188" cy="3582537"/>
                        </a:xfrm>
                        <a:prstGeom prst="snip2DiagRect">
                          <a:avLst/>
                        </a:prstGeom>
                      </wps:spPr>
                      <wps:style>
                        <a:lnRef idx="2">
                          <a:schemeClr val="dk1"/>
                        </a:lnRef>
                        <a:fillRef idx="1">
                          <a:schemeClr val="lt1"/>
                        </a:fillRef>
                        <a:effectRef idx="0">
                          <a:schemeClr val="dk1"/>
                        </a:effectRef>
                        <a:fontRef idx="minor">
                          <a:schemeClr val="dk1"/>
                        </a:fontRef>
                      </wps:style>
                      <wps:txbx>
                        <w:txbxContent>
                          <w:p w14:paraId="0CC095BB" w14:textId="36CB5F33" w:rsidR="00F568F0" w:rsidRPr="007C4445" w:rsidRDefault="00F568F0" w:rsidP="003F4230">
                            <w:pPr>
                              <w:jc w:val="center"/>
                              <w:outlineLvl w:val="0"/>
                              <w:rPr>
                                <w:rFonts w:cstheme="majorBidi"/>
                                <w:b/>
                                <w:bCs/>
                                <w:sz w:val="96"/>
                                <w:szCs w:val="96"/>
                                <w:lang w:val="fr-FR"/>
                              </w:rPr>
                            </w:pPr>
                            <w:bookmarkStart w:id="12" w:name="_Toc229618758"/>
                            <w:r>
                              <w:rPr>
                                <w:rFonts w:cstheme="majorBidi"/>
                                <w:b/>
                                <w:bCs/>
                                <w:sz w:val="96"/>
                                <w:szCs w:val="96"/>
                                <w:lang w:val="fr-FR"/>
                              </w:rPr>
                              <w:t>Introduction</w:t>
                            </w:r>
                            <w:bookmarkEnd w:id="1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8A0F0" id="Snip Diagonal Corner Rectangle 44" o:spid="_x0000_s1027" style="position:absolute;margin-left:0;margin-top:208.1pt;width:377.75pt;height:282.1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797188,358253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" adj="-11796480,,5400" path="m,l4200087,r597101,597101l4797188,3582537r,l597101,3582537,,2985436,,xe" fillcolor="white [3201]" strokecolor="black [3200]" strokeweight="1pt">
                <v:stroke joinstyle="miter"/>
                <v:formulas/>
                <v:path arrowok="t" o:connecttype="custom" o:connectlocs="0,0;4200087,0;4797188,597101;4797188,3582537;4797188,3582537;597101,3582537;0,2985436;0,0" o:connectangles="0,0,0,0,0,0,0,0" textboxrect="0,0,4797188,3582537"/>
                <v:textbox>
                  <w:txbxContent>
                    <w:p w14:paraId="0CC095BB" w14:textId="36CB5F33" w:rsidR="00F568F0" w:rsidRPr="007C4445" w:rsidRDefault="00F568F0" w:rsidP="003F4230">
                      <w:pPr>
                        <w:jc w:val="center"/>
                        <w:outlineLvl w:val="0"/>
                        <w:rPr>
                          <w:rFonts w:cstheme="majorBidi"/>
                          <w:b/>
                          <w:bCs/>
                          <w:sz w:val="96"/>
                          <w:szCs w:val="96"/>
                          <w:lang w:val="fr-FR"/>
                        </w:rPr>
                      </w:pPr>
                      <w:bookmarkStart w:id="12" w:name="_Toc229618758"/>
                      <w:r>
                        <w:rPr>
                          <w:rFonts w:cstheme="majorBidi"/>
                          <w:b/>
                          <w:bCs/>
                          <w:sz w:val="96"/>
                          <w:szCs w:val="96"/>
                          <w:lang w:val="fr-FR"/>
                        </w:rPr>
                        <w:t>Introduction</w:t>
                      </w:r>
                      <w:bookmarkEnd w:id="12"/>
                    </w:p>
                  </w:txbxContent>
                </v:textbox>
                <w10:wrap anchorx="margin"/>
              </v:shape>
            </w:pict>
          </mc:Fallback>
        </mc:AlternateContent>
      </w:r>
    </w:p>
    <w:p w14:paraId="11E07B52" w14:textId="77777777" w:rsidR="00664D0A" w:rsidRPr="00664D0A" w:rsidRDefault="00664D0A" w:rsidP="00B139C3">
      <w:pPr>
        <w:pStyle w:val="Heading1"/>
        <w:rPr>
          <w:rFonts w:ascii="Calibri Light" w:eastAsia="Times New Roman" w:hAnsi="Calibri Light"/>
          <w:sz w:val="40"/>
          <w:szCs w:val="40"/>
          <w:lang w:eastAsia="fr-FR"/>
        </w:rPr>
      </w:pPr>
      <w:bookmarkStart w:id="13" w:name="_Toc229618759"/>
      <w:r w:rsidRPr="00664D0A">
        <w:rPr>
          <w:rFonts w:eastAsia="Times New Roman"/>
          <w:lang w:eastAsia="fr-FR"/>
        </w:rPr>
        <w:lastRenderedPageBreak/>
        <w:t>Introduction générale</w:t>
      </w:r>
      <w:bookmarkEnd w:id="13"/>
    </w:p>
    <w:p w14:paraId="6BE7B22F" w14:textId="77777777" w:rsidR="00664D0A" w:rsidRPr="00664D0A" w:rsidRDefault="00664D0A" w:rsidP="00B139C3">
      <w:pPr>
        <w:rPr>
          <w:rFonts w:ascii="Calibri" w:eastAsia="Times New Roman" w:hAnsi="Calibri" w:cs="Arial"/>
          <w:sz w:val="21"/>
          <w:szCs w:val="21"/>
          <w:lang w:val="fr-FR" w:eastAsia="fr-FR"/>
        </w:rPr>
      </w:pPr>
    </w:p>
    <w:p w14:paraId="32AB9429" w14:textId="062697E2" w:rsidR="00664D0A" w:rsidRPr="00664D0A" w:rsidRDefault="00664D0A" w:rsidP="00B139C3">
      <w:pPr>
        <w:rPr>
          <w:rFonts w:ascii="Calibri" w:eastAsia="Times New Roman" w:hAnsi="Calibri" w:cs="Arial"/>
          <w:sz w:val="21"/>
          <w:szCs w:val="21"/>
          <w:lang w:val="fr-FR" w:eastAsia="fr-FR"/>
        </w:rPr>
      </w:pPr>
      <w:r w:rsidRPr="00664D0A">
        <w:rPr>
          <w:rFonts w:ascii="Times New Roman" w:eastAsia="Times New Roman" w:hAnsi="Times New Roman" w:cs="Times New Roman"/>
          <w:lang w:val="fr-FR" w:eastAsia="fr-FR"/>
        </w:rPr>
        <w:t>Le diabète sucré de type 2 représente l'une des maladies chroniques non transmissibles les plus répandues à l'échelle mondiale et constitue un problème majeur de santé publique, tant par sa prévalence croissante que par la complexité de sa prise en charge et la gravité de ses complications. Selon les données de la Fédération Internationale du Diabète (IDF, 2024), environ 589 millions d'adultes âgés de 20 à 79 ans vivent avec le diabète dans le monde, dont plus de 90 % présentent un diabète de type 2, et les projections indiquent que ce nombre pourrait atteindre 853 millions de personnes d'ici 2050</w:t>
      </w:r>
      <w:r w:rsidRPr="00664D0A">
        <w:rPr>
          <w:rFonts w:ascii="Calibri" w:eastAsia="Times New Roman" w:hAnsi="Calibri" w:cs="Arial"/>
          <w:sz w:val="21"/>
          <w:szCs w:val="21"/>
          <w:lang w:val="fr-FR" w:eastAsia="fr-FR"/>
        </w:rPr>
        <w:t>.</w:t>
      </w:r>
      <w:r w:rsidRPr="00664D0A">
        <w:rPr>
          <w:rFonts w:ascii="Times New Roman" w:eastAsia="Times New Roman" w:hAnsi="Times New Roman" w:cs="Times New Roman"/>
          <w:lang w:val="fr-FR" w:eastAsia="fr-FR"/>
        </w:rPr>
        <w:t xml:space="preserve"> En Algérie, la prévalence du diabète chez les adultes est estimée à 17,5 %, soit environ 4,8 millions de personnes atteintes, plaçant le pays parmi les nations les plus touchées du bassin méditerranéen.</w:t>
      </w:r>
      <w:r w:rsidR="00C24D88">
        <w:rPr>
          <w:rFonts w:ascii="Calibri" w:eastAsia="Times New Roman" w:hAnsi="Calibri" w:cs="Arial"/>
          <w:sz w:val="21"/>
          <w:szCs w:val="21"/>
          <w:lang w:val="fr-FR" w:eastAsia="fr-FR"/>
        </w:rPr>
        <w:t xml:space="preserve"> </w:t>
      </w:r>
      <w:r w:rsidR="00C24D88">
        <w:rPr>
          <w:rFonts w:ascii="Calibri" w:eastAsia="Times New Roman" w:hAnsi="Calibri" w:cs="Arial"/>
          <w:sz w:val="21"/>
          <w:szCs w:val="21"/>
          <w:lang w:val="fr-FR" w:eastAsia="fr-FR"/>
        </w:rPr>
        <w:fldChar w:fldCharType="begin"/>
      </w:r>
      <w:r w:rsidR="00116A61">
        <w:rPr>
          <w:rFonts w:ascii="Calibri" w:eastAsia="Times New Roman" w:hAnsi="Calibri" w:cs="Arial"/>
          <w:sz w:val="21"/>
          <w:szCs w:val="21"/>
          <w:lang w:val="fr-FR" w:eastAsia="fr-FR"/>
        </w:rPr>
        <w:instrText xml:space="preserve"> ADDIN ZOTERO_ITEM CSL_CITATION {"citationID":"BQZDUNVs","properties":{"unsorted":false,"formattedCitation":"(1)","plainCitation":"(1)","noteIndex":0},"citationItems":[{"id":"6VBx8p83/b2i19tSs","uris":["http://zotero.org/users/local/xPnoPzR4/items/YUZ97GAG"],"itemData":{"id":266,"type":"document","citation-key":"112045","DOI":"10.1016/j.diabres.2024.112045","genre":"Article de revue scientifique","language":"en","publisher":"Elsevier (pour le compte de l'International Diabetes Federation)","publisher-place":"Bruxelles, Belgique","title":"IDF Diabetes Atlas 11th edition: Global estimates of diabetes prevalence for 2024 and projections for 2050","author":[{"family":"Magliano, Dianna J. (Nom : Magliano","given":""},{"family":"Boyko, Edward J. (Nom : Boyko","given":""},{"family":"IDF Diabetes Atlas 11th Edition Scientific Committee","given":""}],"issued":{"date-parts":[["2025"]]}}}],"schema":"https://github.com/citation-style-language/schema/raw/master/csl-citation.json"} </w:instrText>
      </w:r>
      <w:r w:rsidR="00C24D88">
        <w:rPr>
          <w:rFonts w:ascii="Calibri" w:eastAsia="Times New Roman" w:hAnsi="Calibri" w:cs="Arial"/>
          <w:sz w:val="21"/>
          <w:szCs w:val="21"/>
          <w:lang w:val="fr-FR" w:eastAsia="fr-FR"/>
        </w:rPr>
        <w:fldChar w:fldCharType="separate"/>
      </w:r>
      <w:r w:rsidR="00C24D88" w:rsidRPr="006529E5">
        <w:rPr>
          <w:rFonts w:ascii="Calibri" w:hAnsi="Calibri"/>
          <w:sz w:val="21"/>
          <w:lang w:val="fr-FR"/>
        </w:rPr>
        <w:t>(1)</w:t>
      </w:r>
      <w:r w:rsidR="00C24D88">
        <w:rPr>
          <w:rFonts w:ascii="Calibri" w:eastAsia="Times New Roman" w:hAnsi="Calibri" w:cs="Arial"/>
          <w:sz w:val="21"/>
          <w:szCs w:val="21"/>
          <w:lang w:val="fr-FR" w:eastAsia="fr-FR"/>
        </w:rPr>
        <w:fldChar w:fldCharType="end"/>
      </w:r>
    </w:p>
    <w:p w14:paraId="7B5FAFB3" w14:textId="77777777" w:rsidR="00664D0A" w:rsidRPr="00664D0A" w:rsidRDefault="00664D0A" w:rsidP="00B139C3">
      <w:pPr>
        <w:rPr>
          <w:rFonts w:ascii="Calibri" w:eastAsia="Times New Roman" w:hAnsi="Calibri" w:cs="Arial"/>
          <w:sz w:val="21"/>
          <w:szCs w:val="21"/>
          <w:lang w:val="fr-FR" w:eastAsia="fr-FR"/>
        </w:rPr>
      </w:pPr>
    </w:p>
    <w:p w14:paraId="20E458D2" w14:textId="47A3A8DE" w:rsidR="00664D0A" w:rsidRPr="00664D0A" w:rsidRDefault="00664D0A" w:rsidP="00B139C3">
      <w:pPr>
        <w:rPr>
          <w:rFonts w:ascii="Calibri" w:eastAsia="Times New Roman" w:hAnsi="Calibri" w:cs="Arial"/>
          <w:sz w:val="21"/>
          <w:szCs w:val="21"/>
          <w:lang w:val="fr-FR" w:eastAsia="fr-FR"/>
        </w:rPr>
      </w:pPr>
      <w:r w:rsidRPr="00664D0A">
        <w:rPr>
          <w:rFonts w:ascii="Times New Roman" w:eastAsia="Times New Roman" w:hAnsi="Times New Roman" w:cs="Times New Roman"/>
          <w:lang w:val="fr-FR" w:eastAsia="fr-FR"/>
        </w:rPr>
        <w:t xml:space="preserve">Face à l'ampleur de cette épidémie, la prise en charge du diabète de type 2 repose sur une approche globale et multimodale, associant les mesures hygiéno-diététiques, les traitements médicamenteux antidiabétiques oraux et, selon les cas, l'insulinothérapie. Cependant, malgré les avancées médicales considérables et les recommandations des instances internationales, de nombreux patients demeurent insuffisamment équilibrés sur le plan glycémique et continuent de souffrir de complications micro- et macrovasculaires potentiellement invalidantes. Cette réalité clinique, conjuguée aux contraintes liées au coût des médicaments, à leurs effets indésirables et à leur accessibilité limitée dans certaines régions, pousse un nombre croissant de patients à explorer des approches thérapeutiques </w:t>
      </w:r>
      <w:proofErr w:type="gramStart"/>
      <w:r w:rsidRPr="00664D0A">
        <w:rPr>
          <w:rFonts w:ascii="Times New Roman" w:eastAsia="Times New Roman" w:hAnsi="Times New Roman" w:cs="Times New Roman"/>
          <w:lang w:val="fr-FR" w:eastAsia="fr-FR"/>
        </w:rPr>
        <w:t>alternatives</w:t>
      </w:r>
      <w:r w:rsidRPr="00664D0A">
        <w:rPr>
          <w:rFonts w:ascii="Calibri" w:eastAsia="Times New Roman" w:hAnsi="Calibri" w:cs="Arial"/>
          <w:sz w:val="21"/>
          <w:szCs w:val="21"/>
          <w:lang w:val="fr-FR" w:eastAsia="fr-FR"/>
        </w:rPr>
        <w:t xml:space="preserve"> </w:t>
      </w:r>
      <w:r w:rsidRPr="00664D0A">
        <w:rPr>
          <w:rFonts w:ascii="Times New Roman" w:eastAsia="Times New Roman" w:hAnsi="Times New Roman" w:cs="Times New Roman"/>
          <w:lang w:val="fr-FR" w:eastAsia="fr-FR"/>
        </w:rPr>
        <w:t xml:space="preserve"> ou</w:t>
      </w:r>
      <w:proofErr w:type="gramEnd"/>
      <w:r w:rsidRPr="00664D0A">
        <w:rPr>
          <w:rFonts w:ascii="Times New Roman" w:eastAsia="Times New Roman" w:hAnsi="Times New Roman" w:cs="Times New Roman"/>
          <w:lang w:val="fr-FR" w:eastAsia="fr-FR"/>
        </w:rPr>
        <w:t xml:space="preserve"> complémentaires en dehors du circuit médical conventionnel.</w:t>
      </w:r>
      <w:r w:rsidR="00C24D88">
        <w:rPr>
          <w:rFonts w:ascii="Calibri" w:eastAsia="Times New Roman" w:hAnsi="Calibri" w:cs="Arial"/>
          <w:sz w:val="21"/>
          <w:szCs w:val="21"/>
          <w:lang w:val="fr-FR" w:eastAsia="fr-FR"/>
        </w:rPr>
        <w:t xml:space="preserve"> </w:t>
      </w:r>
      <w:r w:rsidR="00C24D88">
        <w:rPr>
          <w:rFonts w:ascii="Calibri" w:eastAsia="Times New Roman" w:hAnsi="Calibri" w:cs="Arial"/>
          <w:sz w:val="21"/>
          <w:szCs w:val="21"/>
          <w:lang w:val="fr-FR" w:eastAsia="fr-FR"/>
        </w:rPr>
        <w:fldChar w:fldCharType="begin"/>
      </w:r>
      <w:r w:rsidR="00116A61">
        <w:rPr>
          <w:rFonts w:ascii="Calibri" w:eastAsia="Times New Roman" w:hAnsi="Calibri" w:cs="Arial"/>
          <w:sz w:val="21"/>
          <w:szCs w:val="21"/>
          <w:lang w:val="fr-FR" w:eastAsia="fr-FR"/>
        </w:rPr>
        <w:instrText xml:space="preserve"> ADDIN ZOTERO_ITEM CSL_CITATION {"citationID":"szfCSZlD","properties":{"unsorted":false,"formattedCitation":"(2)","plainCitation":"(2)","noteIndex":0},"citationItems":[{"id":"6VBx8p83/5VfYDtUp","uris":["http://zotero.org/users/local/xPnoPzR4/items/QV3PGGIM"],"itemData":{"id":271,"type":"article-journal","container-title":"Diabetes Care","DOI":"10.2337/dc24-SINT","ISSN":"0149-5992","issue":"Supplement_1","language":"en","page":"S1-S4","source":"DOI.org (Crossref)","title":"Introduction and Methodology: &lt;i&gt;Standards of Care in Diabetes—2024&lt;/i&gt;","title-short":"Introduction and Methodology","volume":"47","author":[{"literal":"American Diabetes Association Professional Practice Committee"},{"family":"ElSayed","given":"Nuha A."},{"family":"Aleppo","given":"Grazia"},{"family":"Bannuru","given":"Raveendhara R."},{"family":"Beverly","given":"Elizabeth A."},{"family":"Bruemmer","given":"Dennis"},{"family":"Collins","given":"Billy S."},{"family":"Cusi","given":"Kenneth"},{"family":"Darville","given":"Audrey"},{"family":"Das","given":"Sandeep R."},{"family":"Ekhlaspour","given":"Laya"},{"family":"Fleming","given":"Talya K."},{"family":"Gaglia","given":"Jason L."},{"family":"Galindo","given":"Rodolfo J."},{"family":"Gibbons","given":"Christopher H."},{"family":"Giurini","given":"John M."},{"family":"Hassanein","given":"Mohamed"},{"family":"Hilliard","given":"Marisa E."},{"family":"Johnson","given":"Eric L."},{"family":"Khunti","given":"Kamlesh"},{"family":"Kosiborod","given":"Mikhail N."},{"family":"Kushner","given":"Robert F."},{"family":"Lingvay","given":"Ildiko"},{"family":"Matfin","given":"Glenn"},{"family":"McCoy","given":"Rozalina G."},{"family":"Murdock","given":"Lisa"},{"family":"Napoli","given":"Nicola"},{"family":"Perry","given":"Mary Lou"},{"family":"Pilla","given":"Scott J."},{"family":"Polsky","given":"Sarit"},{"family":"Prahalad","given":"Priya"},{"family":"Pratley","given":"Richard E."},{"family":"Segal","given":"Alissa R."},{"family":"Seley","given":"Jane Jeffrie"},{"family":"Selvin","given":"Elizabeth"},{"family":"Silva","given":"Paolo S."},{"family":"Stanton","given":"Robert C."},{"family":"Verduzco-Gutierrez","given":"Monica"},{"family":"Woodward","given":"Crystal C."},{"family":"Younossi","given":"Zobair M."},{"family":"Gabbay","given":"Robert A."}],"issued":{"date-parts":[["2024",1,1]]}}}],"schema":"https://github.com/citation-style-language/schema/raw/master/csl-citation.json"} </w:instrText>
      </w:r>
      <w:r w:rsidR="00C24D88">
        <w:rPr>
          <w:rFonts w:ascii="Calibri" w:eastAsia="Times New Roman" w:hAnsi="Calibri" w:cs="Arial"/>
          <w:sz w:val="21"/>
          <w:szCs w:val="21"/>
          <w:lang w:val="fr-FR" w:eastAsia="fr-FR"/>
        </w:rPr>
        <w:fldChar w:fldCharType="separate"/>
      </w:r>
      <w:r w:rsidR="00C24D88" w:rsidRPr="00C24D88">
        <w:rPr>
          <w:rFonts w:ascii="Calibri" w:hAnsi="Calibri"/>
          <w:sz w:val="21"/>
          <w:lang w:val="fr-FR"/>
        </w:rPr>
        <w:t>(2)</w:t>
      </w:r>
      <w:r w:rsidR="00C24D88">
        <w:rPr>
          <w:rFonts w:ascii="Calibri" w:eastAsia="Times New Roman" w:hAnsi="Calibri" w:cs="Arial"/>
          <w:sz w:val="21"/>
          <w:szCs w:val="21"/>
          <w:lang w:val="fr-FR" w:eastAsia="fr-FR"/>
        </w:rPr>
        <w:fldChar w:fldCharType="end"/>
      </w:r>
    </w:p>
    <w:p w14:paraId="73302E41" w14:textId="77777777" w:rsidR="00664D0A" w:rsidRPr="00664D0A" w:rsidRDefault="00664D0A" w:rsidP="00B139C3">
      <w:pPr>
        <w:rPr>
          <w:rFonts w:ascii="Calibri" w:eastAsia="Times New Roman" w:hAnsi="Calibri" w:cs="Arial"/>
          <w:sz w:val="21"/>
          <w:szCs w:val="21"/>
          <w:lang w:val="fr-FR" w:eastAsia="fr-FR"/>
        </w:rPr>
      </w:pPr>
    </w:p>
    <w:p w14:paraId="1A6B55C6" w14:textId="49ABE120" w:rsidR="00664D0A" w:rsidRPr="00664D0A" w:rsidRDefault="00664D0A" w:rsidP="00B139C3">
      <w:pPr>
        <w:rPr>
          <w:rFonts w:ascii="Calibri" w:eastAsia="Times New Roman" w:hAnsi="Calibri" w:cs="Arial"/>
          <w:sz w:val="21"/>
          <w:szCs w:val="21"/>
          <w:lang w:val="fr-FR" w:eastAsia="fr-FR"/>
        </w:rPr>
      </w:pPr>
      <w:r w:rsidRPr="00664D0A">
        <w:rPr>
          <w:rFonts w:ascii="Times New Roman" w:eastAsia="Times New Roman" w:hAnsi="Times New Roman" w:cs="Times New Roman"/>
          <w:lang w:val="fr-FR" w:eastAsia="fr-FR"/>
        </w:rPr>
        <w:t>Parmi ce</w:t>
      </w:r>
      <w:r w:rsidRPr="00664D0A">
        <w:rPr>
          <w:rFonts w:ascii="Calibri" w:eastAsia="Times New Roman" w:hAnsi="Calibri" w:cs="Arial"/>
          <w:sz w:val="21"/>
          <w:szCs w:val="21"/>
          <w:lang w:val="fr-FR" w:eastAsia="fr-FR"/>
        </w:rPr>
        <w:t xml:space="preserve">s pratiques, la phytothérapie qui est </w:t>
      </w:r>
      <w:r w:rsidRPr="00664D0A">
        <w:rPr>
          <w:rFonts w:ascii="Times New Roman" w:eastAsia="Times New Roman" w:hAnsi="Times New Roman" w:cs="Times New Roman"/>
          <w:lang w:val="fr-FR" w:eastAsia="fr-FR"/>
        </w:rPr>
        <w:t xml:space="preserve">définie comme le recours aux plantes médicinales et à leurs dérivés à des </w:t>
      </w:r>
      <w:r w:rsidRPr="00664D0A">
        <w:rPr>
          <w:rFonts w:ascii="Calibri" w:eastAsia="Times New Roman" w:hAnsi="Calibri" w:cs="Arial"/>
          <w:sz w:val="21"/>
          <w:szCs w:val="21"/>
          <w:lang w:val="fr-FR" w:eastAsia="fr-FR"/>
        </w:rPr>
        <w:t xml:space="preserve">fins thérapeutiques , elle </w:t>
      </w:r>
      <w:r w:rsidRPr="00664D0A">
        <w:rPr>
          <w:rFonts w:ascii="Times New Roman" w:eastAsia="Times New Roman" w:hAnsi="Times New Roman" w:cs="Times New Roman"/>
          <w:lang w:val="fr-FR" w:eastAsia="fr-FR"/>
        </w:rPr>
        <w:t>occupe une place prépondérante dans les sociétés maghrébines, où elle est profondément enracinée dans les traditions culturelles</w:t>
      </w:r>
      <w:r w:rsidR="00903A96">
        <w:rPr>
          <w:rFonts w:ascii="Calibri" w:eastAsia="Times New Roman" w:hAnsi="Calibri" w:cs="Arial"/>
          <w:sz w:val="21"/>
          <w:szCs w:val="21"/>
          <w:lang w:val="fr-FR" w:eastAsia="fr-FR"/>
        </w:rPr>
        <w:t xml:space="preserve"> </w:t>
      </w:r>
      <w:r w:rsidR="00903A96">
        <w:rPr>
          <w:rFonts w:ascii="Calibri" w:eastAsia="Times New Roman" w:hAnsi="Calibri" w:cs="Arial"/>
          <w:sz w:val="21"/>
          <w:szCs w:val="21"/>
          <w:lang w:val="fr-FR" w:eastAsia="fr-FR"/>
        </w:rPr>
        <w:fldChar w:fldCharType="begin"/>
      </w:r>
      <w:r w:rsidR="00116A61">
        <w:rPr>
          <w:rFonts w:ascii="Calibri" w:eastAsia="Times New Roman" w:hAnsi="Calibri" w:cs="Arial"/>
          <w:sz w:val="21"/>
          <w:szCs w:val="21"/>
          <w:lang w:val="fr-FR" w:eastAsia="fr-FR"/>
        </w:rPr>
        <w:instrText xml:space="preserve"> ADDIN ZOTERO_ITEM CSL_CITATION {"citationID":"RtYEkwY0","properties":{"unsorted":false,"formattedCitation":"(3)","plainCitation":"(3)","noteIndex":0},"citationItems":[{"id":"6VBx8p83/uJciRYKr","uris":["http://zotero.org/users/local/xPnoPzR4/items/ZSDEFW6N"],"itemData":{"id":273,"type":"webpage","abstract":"Traditional and complementary medicine (T&amp;CM) is an important and often underestimated health resource with many applications, especially in the prevention and management of lifestyle-related chronic diseases, and in meeting the health needs of ageing populations. Many countries are seeking to expand coverage of essential health services at a time when consumer expectations for care are rising, costs are soaring, and most budgets are either stagnant or being reduced. Given the unique health challenges of the 21st century, interest in T&amp;CM is undergoing a revival. Monitoring health trends is a core function of the World Health Organization (WHO) and is key to supporting countries in generating evidence-based policies and strategic plans.","language":"en","title":"WHO global report on traditional and complementary medicine 2019","URL":"https://www.who.int/publications/i/item/978924151536","accessed":{"date-parts":[["2026",5,13]]}}}],"schema":"https://github.com/citation-style-language/schema/raw/master/csl-citation.json"} </w:instrText>
      </w:r>
      <w:r w:rsidR="00903A96">
        <w:rPr>
          <w:rFonts w:ascii="Calibri" w:eastAsia="Times New Roman" w:hAnsi="Calibri" w:cs="Arial"/>
          <w:sz w:val="21"/>
          <w:szCs w:val="21"/>
          <w:lang w:val="fr-FR" w:eastAsia="fr-FR"/>
        </w:rPr>
        <w:fldChar w:fldCharType="separate"/>
      </w:r>
      <w:r w:rsidR="00903A96" w:rsidRPr="00903A96">
        <w:rPr>
          <w:rFonts w:ascii="Calibri" w:hAnsi="Calibri"/>
          <w:sz w:val="21"/>
          <w:lang w:val="fr-FR"/>
        </w:rPr>
        <w:t>(3)</w:t>
      </w:r>
      <w:r w:rsidR="00903A96">
        <w:rPr>
          <w:rFonts w:ascii="Calibri" w:eastAsia="Times New Roman" w:hAnsi="Calibri" w:cs="Arial"/>
          <w:sz w:val="21"/>
          <w:szCs w:val="21"/>
          <w:lang w:val="fr-FR" w:eastAsia="fr-FR"/>
        </w:rPr>
        <w:fldChar w:fldCharType="end"/>
      </w:r>
      <w:r w:rsidRPr="00664D0A">
        <w:rPr>
          <w:rFonts w:ascii="Times New Roman" w:eastAsia="Times New Roman" w:hAnsi="Times New Roman" w:cs="Times New Roman"/>
          <w:lang w:val="fr-FR" w:eastAsia="fr-FR"/>
        </w:rPr>
        <w:t>, familiales et religieuses. Dans plusieurs régions d'Algérie, l'usage des plantes médicinales dans la gestion du diabète est fortement ancré dans les habitudes populaires</w:t>
      </w:r>
      <w:r w:rsidR="00903A96">
        <w:rPr>
          <w:rFonts w:ascii="Calibri" w:eastAsia="Times New Roman" w:hAnsi="Calibri" w:cs="Arial"/>
          <w:sz w:val="21"/>
          <w:szCs w:val="21"/>
          <w:lang w:val="fr-FR" w:eastAsia="fr-FR"/>
        </w:rPr>
        <w:t xml:space="preserve"> </w:t>
      </w:r>
      <w:r w:rsidR="00903A96">
        <w:rPr>
          <w:rFonts w:ascii="Calibri" w:eastAsia="Times New Roman" w:hAnsi="Calibri" w:cs="Arial"/>
          <w:sz w:val="21"/>
          <w:szCs w:val="21"/>
          <w:lang w:val="fr-FR" w:eastAsia="fr-FR"/>
        </w:rPr>
        <w:fldChar w:fldCharType="begin"/>
      </w:r>
      <w:r w:rsidR="00116A61">
        <w:rPr>
          <w:rFonts w:ascii="Calibri" w:eastAsia="Times New Roman" w:hAnsi="Calibri" w:cs="Arial"/>
          <w:sz w:val="21"/>
          <w:szCs w:val="21"/>
          <w:lang w:val="fr-FR" w:eastAsia="fr-FR"/>
        </w:rPr>
        <w:instrText xml:space="preserve"> ADDIN ZOTERO_ITEM CSL_CITATION {"citationID":"jCh2h8yI","properties":{"unsorted":false,"formattedCitation":"(4)","plainCitation":"(4)","noteIndex":0},"citationItems":[{"id":"6VBx8p83/LI51uqdt","uris":["http://zotero.org/users/local/xPnoPzR4/items/2VP7VPWL"],"itemData":{"id":275,"type":"article-journal","container-title":"Phytomedicine","DOI":"10.1016/j.phymed.2013.03.008","ISSN":"09447113","issue":"10","journalAbbreviation":"Phytomedicine","language":"en","license":"https://www.elsevier.com/tdm/userlicense/1.0/","page":"874-882","source":"DOI.org (Crossref)","title":"Elucidating the inhibitory mechanisms of the ethanolic extract of the fruiting body of the mushroom Antrodia cinnamomea on the proliferation and migration of murine leukemia WEHI-3 cells and their tumorigenicity in a BALB/c allograft tumor model","volume":"20","author":[{"family":"Liu","given":"Fon-Chang"},{"family":"Lai","given":"Ming-Tsung"},{"family":"Chen","given":"Ying-Yi"},{"family":"Lin","given":"Wen-Hsin"},{"family":"Chang","given":"Shu-Jen"},{"family":"Sheu","given":"Ming-Jyh"},{"family":"Wu","given":"Chieh-Hsi"}],"issued":{"date-parts":[["2013",7]]}}}],"schema":"https://github.com/citation-style-language/schema/raw/master/csl-citation.json"} </w:instrText>
      </w:r>
      <w:r w:rsidR="00903A96">
        <w:rPr>
          <w:rFonts w:ascii="Calibri" w:eastAsia="Times New Roman" w:hAnsi="Calibri" w:cs="Arial"/>
          <w:sz w:val="21"/>
          <w:szCs w:val="21"/>
          <w:lang w:val="fr-FR" w:eastAsia="fr-FR"/>
        </w:rPr>
        <w:fldChar w:fldCharType="separate"/>
      </w:r>
      <w:r w:rsidR="00903A96" w:rsidRPr="00903A96">
        <w:rPr>
          <w:rFonts w:ascii="Calibri" w:hAnsi="Calibri"/>
          <w:sz w:val="21"/>
          <w:lang w:val="fr-FR"/>
        </w:rPr>
        <w:t>(4)</w:t>
      </w:r>
      <w:r w:rsidR="00903A96">
        <w:rPr>
          <w:rFonts w:ascii="Calibri" w:eastAsia="Times New Roman" w:hAnsi="Calibri" w:cs="Arial"/>
          <w:sz w:val="21"/>
          <w:szCs w:val="21"/>
          <w:lang w:val="fr-FR" w:eastAsia="fr-FR"/>
        </w:rPr>
        <w:fldChar w:fldCharType="end"/>
      </w:r>
      <w:r w:rsidRPr="00664D0A">
        <w:rPr>
          <w:rFonts w:ascii="Times New Roman" w:eastAsia="Times New Roman" w:hAnsi="Times New Roman" w:cs="Times New Roman"/>
          <w:lang w:val="fr-FR" w:eastAsia="fr-FR"/>
        </w:rPr>
        <w:t xml:space="preserve"> et transmis oralement de génération en génération. Les patients y recourent en parallèle de leur traitement conventionnel, souvent sans en informer leur médecin traitant</w:t>
      </w:r>
      <w:r w:rsidR="00903A96">
        <w:rPr>
          <w:rFonts w:ascii="Calibri" w:eastAsia="Times New Roman" w:hAnsi="Calibri" w:cs="Arial"/>
          <w:sz w:val="21"/>
          <w:szCs w:val="21"/>
          <w:lang w:val="fr-FR" w:eastAsia="fr-FR"/>
        </w:rPr>
        <w:t> ,</w:t>
      </w:r>
      <w:r w:rsidRPr="00664D0A">
        <w:rPr>
          <w:rFonts w:ascii="Times New Roman" w:eastAsia="Times New Roman" w:hAnsi="Times New Roman" w:cs="Times New Roman"/>
          <w:lang w:val="fr-FR" w:eastAsia="fr-FR"/>
        </w:rPr>
        <w:t xml:space="preserve"> exposant ainsi l'ensemble du système de soins à des risques cliniques et éthiques majeurs </w:t>
      </w:r>
      <w:r w:rsidR="00903A96">
        <w:rPr>
          <w:rFonts w:ascii="Calibri" w:eastAsia="Times New Roman" w:hAnsi="Calibri" w:cs="Arial"/>
          <w:sz w:val="21"/>
          <w:szCs w:val="21"/>
          <w:lang w:val="fr-FR" w:eastAsia="fr-FR"/>
        </w:rPr>
        <w:t>.</w:t>
      </w:r>
      <w:r w:rsidR="00903A96">
        <w:rPr>
          <w:rFonts w:ascii="Calibri" w:eastAsia="Times New Roman" w:hAnsi="Calibri" w:cs="Arial"/>
          <w:sz w:val="21"/>
          <w:szCs w:val="21"/>
          <w:lang w:val="fr-FR" w:eastAsia="fr-FR"/>
        </w:rPr>
        <w:fldChar w:fldCharType="begin"/>
      </w:r>
      <w:r w:rsidR="00116A61">
        <w:rPr>
          <w:rFonts w:ascii="Calibri" w:eastAsia="Times New Roman" w:hAnsi="Calibri" w:cs="Arial"/>
          <w:sz w:val="21"/>
          <w:szCs w:val="21"/>
          <w:lang w:val="fr-FR" w:eastAsia="fr-FR"/>
        </w:rPr>
        <w:instrText xml:space="preserve"> ADDIN ZOTERO_ITEM CSL_CITATION {"citationID":"RUnlmsQT","properties":{"unsorted":false,"formattedCitation":"(4,5)","plainCitation":"(4,5)","noteIndex":0},"citationItems":[{"id":"6VBx8p83/LI51uqdt","uris":["http://zotero.org/users/local/xPnoPzR4/items/2VP7VPWL"],"itemData":{"id":275,"type":"article-journal","container-title":"Phytomedicine","DOI":"10.1016/j.phymed.2013.03.008","ISSN":"09447113","issue":"10","journalAbbreviation":"Phytomedicine","language":"en","license":"https://www.elsevier.com/tdm/userlicense/1.0/","page":"874-882","source":"DOI.org (Crossref)","title":"Elucidating the inhibitory mechanisms of the ethanolic extract of the fruiting body of the mushroom Antrodia cinnamomea on the proliferation and migration of murine leukemia WEHI-3 cells and their tumorigenicity in a BALB/c allograft tumor model","volume":"20","author":[{"family":"Liu","given":"Fon-Chang"},{"family":"Lai","given":"Ming-Tsung"},{"family":"Chen","given":"Ying-Yi"},{"family":"Lin","given":"Wen-Hsin"},{"family":"Chang","given":"Shu-Jen"},{"family":"Sheu","given":"Ming-Jyh"},{"family":"Wu","given":"Chieh-Hsi"}],"issued":{"date-parts":[["2013",7]]}}},{"id":"6VBx8p83/fuyQbHaa","uris":["http://zotero.org/users/local/xPnoPzR4/items/4KSY2DIC"],"itemData":{"id":276,"type":"article-journal","abstract":"Abstract\n            Concomitant complementary medicine (CM) and conventional medicine use is frequent and carries potential risks. Yet, CM users frequently neglect to disclose CM use to medical providers. Our systematic review examines rates of and reasons for CM use disclosure to medical providers. Observational studies published 2003–2016 were searched (AMED, CINAHL, MEDLINE, PsycINFO). Eighty-six papers reporting disclosure rates and/or reasons for disclosure/non-disclosure of CM use to medical providers were reviewed. Fourteen were selected for meta-analysis of disclosure rates of biologically-based CM. Overall disclosure rates varied (7–80%). Meta-analysis revealed a 33% disclosure rate (95%CI: 24% to 43%) for biologically-based CM. Reasons for non-disclosure included lack of inquiry from medical providers, fear of provider disapproval, perception of disclosure as unimportant, belief providers lacked CM knowledge, lacking time, and belief CM was safe. Reasons for disclosure included inquiry from medical providers, belief providers would support CM use, belief disclosure was important for safety, and belief providers would give advice about CM. Disclosure appears to be influenced by the nature of patient-provider communication. However, inconsistent definitions of CM and lack of a standard measure for disclosure created substantial heterogeneity between studies. Disclosure of CM use to medical providers must be encouraged for safe, effective patient care.","container-title":"Scientific Reports","DOI":"10.1038/s41598-018-38279-8","ISSN":"2045-2322","issue":"1","journalAbbreviation":"Sci Rep","language":"en","page":"1573","source":"DOI.org (Crossref)","title":"Disclosure of complementary medicine use to medical providers: a systematic review and meta-analysis","title-short":"Disclosure of complementary medicine use to medical providers","volume":"9","author":[{"family":"Foley","given":"H."},{"family":"Steel","given":"A."},{"family":"Cramer","given":"H."},{"family":"Wardle","given":"J."},{"family":"Adams","given":"J."}],"issued":{"date-parts":[["2019",2,7]]}}}],"schema":"https://github.com/citation-style-language/schema/raw/master/csl-citation.json"} </w:instrText>
      </w:r>
      <w:r w:rsidR="00903A96">
        <w:rPr>
          <w:rFonts w:ascii="Calibri" w:eastAsia="Times New Roman" w:hAnsi="Calibri" w:cs="Arial"/>
          <w:sz w:val="21"/>
          <w:szCs w:val="21"/>
          <w:lang w:val="fr-FR" w:eastAsia="fr-FR"/>
        </w:rPr>
        <w:fldChar w:fldCharType="separate"/>
      </w:r>
      <w:r w:rsidR="00903A96" w:rsidRPr="00903A96">
        <w:rPr>
          <w:rFonts w:ascii="Calibri" w:hAnsi="Calibri"/>
          <w:sz w:val="21"/>
          <w:lang w:val="fr-FR"/>
        </w:rPr>
        <w:t>(4,5)</w:t>
      </w:r>
      <w:r w:rsidR="00903A96">
        <w:rPr>
          <w:rFonts w:ascii="Calibri" w:eastAsia="Times New Roman" w:hAnsi="Calibri" w:cs="Arial"/>
          <w:sz w:val="21"/>
          <w:szCs w:val="21"/>
          <w:lang w:val="fr-FR" w:eastAsia="fr-FR"/>
        </w:rPr>
        <w:fldChar w:fldCharType="end"/>
      </w:r>
    </w:p>
    <w:p w14:paraId="22C63E9C" w14:textId="77777777" w:rsidR="00664D0A" w:rsidRPr="00664D0A" w:rsidRDefault="00664D0A" w:rsidP="000C1665">
      <w:pPr>
        <w:pStyle w:val="Heading1"/>
        <w:rPr>
          <w:rFonts w:ascii="Calibri Light" w:eastAsia="Times New Roman" w:hAnsi="Calibri Light"/>
          <w:lang w:eastAsia="fr-FR"/>
        </w:rPr>
      </w:pPr>
      <w:bookmarkStart w:id="14" w:name="_Toc229618760"/>
      <w:r w:rsidRPr="00664D0A">
        <w:rPr>
          <w:rFonts w:eastAsia="Times New Roman"/>
          <w:lang w:eastAsia="fr-FR"/>
        </w:rPr>
        <w:t>Problématique :</w:t>
      </w:r>
      <w:bookmarkEnd w:id="14"/>
    </w:p>
    <w:p w14:paraId="2A5CAA8F" w14:textId="77777777" w:rsidR="00664D0A" w:rsidRPr="00664D0A" w:rsidRDefault="00664D0A" w:rsidP="00B139C3">
      <w:pPr>
        <w:rPr>
          <w:rFonts w:ascii="Times New Roman" w:eastAsia="Times New Roman" w:hAnsi="Times New Roman" w:cs="Times New Roman"/>
          <w:color w:val="000000"/>
          <w:lang w:val="fr-FR" w:eastAsia="fr-FR"/>
        </w:rPr>
      </w:pPr>
      <w:r w:rsidRPr="00664D0A">
        <w:rPr>
          <w:rFonts w:ascii="Times New Roman" w:eastAsia="Times New Roman" w:hAnsi="Times New Roman" w:cs="Times New Roman"/>
          <w:color w:val="000000"/>
          <w:lang w:val="fr-FR" w:eastAsia="fr-FR"/>
        </w:rPr>
        <w:t>Le diabète sucré est une pathologie chronique majeure dont la prise en charge repose sur une approche globale incluant le traitement médicamenteux, les mesures hygiéno-diététiques, ainsi qu’une éducation thérapeutique continue. Malgré les avancées médicales et les recommandations internationales, de nombreux patients recourent, en parallèle du traitement conventionnel, à des pratiques issues de la médecine traditionnelle, notamment la phytothérapie.</w:t>
      </w:r>
    </w:p>
    <w:p w14:paraId="4007F928" w14:textId="77777777" w:rsidR="00664D0A" w:rsidRPr="00664D0A" w:rsidRDefault="00664D0A" w:rsidP="00B139C3">
      <w:pPr>
        <w:rPr>
          <w:rFonts w:ascii="Times New Roman" w:eastAsia="Times New Roman" w:hAnsi="Times New Roman" w:cs="Times New Roman"/>
          <w:color w:val="000000"/>
          <w:lang w:val="fr-FR" w:eastAsia="fr-FR"/>
        </w:rPr>
      </w:pPr>
    </w:p>
    <w:p w14:paraId="0CEE38C5" w14:textId="77777777" w:rsidR="00664D0A" w:rsidRPr="00664D0A" w:rsidRDefault="00664D0A" w:rsidP="00B139C3">
      <w:pPr>
        <w:rPr>
          <w:rFonts w:ascii="Times New Roman" w:eastAsia="Times New Roman" w:hAnsi="Times New Roman" w:cs="Times New Roman"/>
          <w:color w:val="000000"/>
          <w:lang w:val="fr-FR" w:eastAsia="fr-FR"/>
        </w:rPr>
      </w:pPr>
      <w:r w:rsidRPr="00664D0A">
        <w:rPr>
          <w:rFonts w:ascii="Times New Roman" w:eastAsia="Times New Roman" w:hAnsi="Times New Roman" w:cs="Times New Roman"/>
          <w:color w:val="000000"/>
          <w:lang w:val="fr-FR" w:eastAsia="fr-FR"/>
        </w:rPr>
        <w:lastRenderedPageBreak/>
        <w:t>Dans plusieurs régions d’Algérie et du monde, l’usage des plantes médicinales dans le diabète est fortement ancré dans les habitudes culturelles et familiales. Ces pratiques sont motivées par la recherche d’un soulagement naturel, la méfiance envers les médicaments chimiques, ou encore la confiance dans des savoirs ancestraux transmis oralement. Cependant, ces pratiques sont souvent non déclarées aux soignants et non prises en compte dans les dossiers médicaux. Cette invisibilité pose plusieurs enjeux : risque d’interactions avec les traitements, méconnaissance de l’état réel du patient, perte d’opportunités éducatives, ou encore déconnexion entre la médecine moderne et les représentations culturelles du patient.</w:t>
      </w:r>
    </w:p>
    <w:p w14:paraId="2A048AC0" w14:textId="77777777" w:rsidR="00664D0A" w:rsidRPr="00664D0A" w:rsidRDefault="00664D0A" w:rsidP="00B139C3">
      <w:pPr>
        <w:rPr>
          <w:rFonts w:ascii="Times New Roman" w:eastAsia="Times New Roman" w:hAnsi="Times New Roman" w:cs="Times New Roman"/>
          <w:color w:val="000000"/>
          <w:lang w:val="fr-FR" w:eastAsia="fr-FR"/>
        </w:rPr>
      </w:pPr>
    </w:p>
    <w:p w14:paraId="0B4BAF89" w14:textId="77777777" w:rsidR="00664D0A" w:rsidRPr="00664D0A" w:rsidRDefault="00664D0A" w:rsidP="00B139C3">
      <w:pPr>
        <w:rPr>
          <w:rFonts w:ascii="Times New Roman" w:eastAsia="Times New Roman" w:hAnsi="Times New Roman" w:cs="Times New Roman"/>
          <w:color w:val="000000"/>
          <w:lang w:val="fr-FR" w:eastAsia="fr-FR"/>
        </w:rPr>
      </w:pPr>
      <w:r w:rsidRPr="00664D0A">
        <w:rPr>
          <w:rFonts w:ascii="Times New Roman" w:eastAsia="Times New Roman" w:hAnsi="Times New Roman" w:cs="Times New Roman"/>
          <w:color w:val="000000"/>
          <w:lang w:val="fr-FR" w:eastAsia="fr-FR"/>
        </w:rPr>
        <w:t>L’Organisation mondiale de la santé (OMS) reconnaît la place importante des médecines traditionnelles dans de nombreuses sociétés et appelle à leur intégration raisonnée et encadrée dans les systèmes de santé. Elle recommande notamment une meilleure communication entre professionnels de santé et patients à ce sujet, ainsi qu’un enregistrement structuré des pratiques utilisées.</w:t>
      </w:r>
    </w:p>
    <w:p w14:paraId="7199CEB1" w14:textId="77777777" w:rsidR="00664D0A" w:rsidRPr="00664D0A" w:rsidRDefault="00664D0A" w:rsidP="00B139C3">
      <w:pPr>
        <w:rPr>
          <w:rFonts w:ascii="Times New Roman" w:eastAsia="Times New Roman" w:hAnsi="Times New Roman" w:cs="Times New Roman"/>
          <w:color w:val="000000"/>
          <w:lang w:val="fr-FR" w:eastAsia="fr-FR"/>
        </w:rPr>
      </w:pPr>
    </w:p>
    <w:p w14:paraId="349B57C9" w14:textId="77777777" w:rsidR="00664D0A" w:rsidRPr="00664D0A" w:rsidRDefault="00664D0A" w:rsidP="00B139C3">
      <w:pPr>
        <w:rPr>
          <w:rFonts w:ascii="Times New Roman" w:eastAsia="Times New Roman" w:hAnsi="Times New Roman" w:cs="Times New Roman"/>
          <w:color w:val="000000"/>
          <w:lang w:val="fr-FR" w:eastAsia="fr-FR"/>
        </w:rPr>
      </w:pPr>
      <w:r w:rsidRPr="00664D0A">
        <w:rPr>
          <w:rFonts w:ascii="Times New Roman" w:eastAsia="Times New Roman" w:hAnsi="Times New Roman" w:cs="Times New Roman"/>
          <w:color w:val="000000"/>
          <w:lang w:val="fr-FR" w:eastAsia="fr-FR"/>
        </w:rPr>
        <w:t>Pourtant, aucun protocole national clair n’encadre en Algérie l’inclusion des pratiques phytothérapeutiques dans la prise en charge du diabète. Aucun outil ne permet aujourd’hui aux soignants de questionner ou de documenter ces pratiques dans le dossier médical. De même, l’éducation thérapeutique du patient ne prend que rarement en compte ces aspects pourtant essentiels à la compréhension de son comportement et de son adhésion thérapeutique.</w:t>
      </w:r>
    </w:p>
    <w:p w14:paraId="46837AAF" w14:textId="77777777" w:rsidR="00664D0A" w:rsidRPr="00664D0A" w:rsidRDefault="00664D0A" w:rsidP="00B139C3">
      <w:pPr>
        <w:rPr>
          <w:rFonts w:ascii="Times New Roman" w:eastAsia="Times New Roman" w:hAnsi="Times New Roman" w:cs="Times New Roman"/>
          <w:color w:val="000000"/>
          <w:lang w:val="fr-FR" w:eastAsia="fr-FR"/>
        </w:rPr>
      </w:pPr>
    </w:p>
    <w:p w14:paraId="3D065C0C" w14:textId="77777777" w:rsidR="00664D0A" w:rsidRPr="00664D0A" w:rsidRDefault="00664D0A" w:rsidP="00B139C3">
      <w:pPr>
        <w:rPr>
          <w:rFonts w:ascii="Calibri" w:eastAsia="Times New Roman" w:hAnsi="Calibri" w:cs="Arial"/>
          <w:sz w:val="21"/>
          <w:szCs w:val="21"/>
          <w:lang w:val="fr-FR" w:eastAsia="fr-FR"/>
        </w:rPr>
      </w:pPr>
      <w:r w:rsidRPr="00664D0A">
        <w:rPr>
          <w:rFonts w:ascii="Times New Roman" w:eastAsia="Times New Roman" w:hAnsi="Times New Roman" w:cs="Times New Roman"/>
          <w:color w:val="000000"/>
          <w:lang w:val="fr-FR" w:eastAsia="fr-FR"/>
        </w:rPr>
        <w:t>Face à ce constat, il devient urgent de documenter et de comprendre les usages herboristiques des patients diabétiques, d’en évaluer les risques et bénéfices perçus, et de réfléchir à des modalités respectueuses et efficaces pour les intégrer dans la démarche éducative et clinique. Une telle approche pourrait contribuer à une prise en charge plus personnalisée, culturellement pertinente et sécurisée du diabète sucré.</w:t>
      </w:r>
    </w:p>
    <w:p w14:paraId="38061559" w14:textId="77777777" w:rsidR="00664D0A" w:rsidRPr="00664D0A" w:rsidRDefault="00664D0A" w:rsidP="000C1665">
      <w:pPr>
        <w:pStyle w:val="Heading1"/>
        <w:rPr>
          <w:rFonts w:ascii="Calibri Light" w:eastAsia="Times New Roman" w:hAnsi="Calibri Light"/>
          <w:lang w:eastAsia="fr-FR"/>
        </w:rPr>
      </w:pPr>
      <w:bookmarkStart w:id="15" w:name="_Toc229618761"/>
      <w:r w:rsidRPr="00664D0A">
        <w:rPr>
          <w:rFonts w:eastAsia="Times New Roman"/>
          <w:lang w:eastAsia="fr-FR"/>
        </w:rPr>
        <w:t>Objectifs de l'étude :</w:t>
      </w:r>
      <w:bookmarkEnd w:id="15"/>
    </w:p>
    <w:p w14:paraId="5C6DBAC4" w14:textId="77777777" w:rsidR="00664D0A" w:rsidRPr="00664D0A" w:rsidRDefault="00664D0A" w:rsidP="00B139C3">
      <w:pPr>
        <w:rPr>
          <w:rFonts w:ascii="Calibri" w:eastAsia="Times New Roman" w:hAnsi="Calibri" w:cs="Arial"/>
          <w:sz w:val="21"/>
          <w:szCs w:val="21"/>
          <w:lang w:val="fr-FR" w:eastAsia="fr-FR"/>
        </w:rPr>
      </w:pPr>
      <w:r w:rsidRPr="00664D0A">
        <w:rPr>
          <w:rFonts w:ascii="Calibri" w:eastAsia="Times New Roman" w:hAnsi="Calibri" w:cs="Arial"/>
          <w:sz w:val="21"/>
          <w:szCs w:val="21"/>
          <w:lang w:val="fr-FR" w:eastAsia="fr-FR"/>
        </w:rPr>
        <w:t>Objectif</w:t>
      </w:r>
      <w:r>
        <w:rPr>
          <w:rFonts w:ascii="Calibri" w:eastAsia="Times New Roman" w:hAnsi="Calibri" w:cs="Arial"/>
          <w:sz w:val="21"/>
          <w:szCs w:val="21"/>
          <w:lang w:val="fr-FR" w:eastAsia="fr-FR"/>
        </w:rPr>
        <w:t xml:space="preserve"> principal :</w:t>
      </w:r>
    </w:p>
    <w:p w14:paraId="6B79E746" w14:textId="77777777" w:rsidR="002A20EA" w:rsidRDefault="002A20EA" w:rsidP="002A20EA">
      <w:pPr>
        <w:rPr>
          <w:rFonts w:ascii="Calibri" w:eastAsia="Times New Roman" w:hAnsi="Calibri" w:cs="Arial"/>
          <w:sz w:val="21"/>
          <w:szCs w:val="21"/>
          <w:lang w:val="fr-FR" w:eastAsia="fr-FR"/>
        </w:rPr>
      </w:pPr>
      <w:r w:rsidRPr="002A20EA">
        <w:rPr>
          <w:lang w:val="fr-FR"/>
        </w:rPr>
        <w:t xml:space="preserve">Évaluer le recours à la phytothérapie chez les patients atteints de diabète de type 2 dans la région de Laghouat, en identifiant les plantes médicinales utilisées, leur impact sur l'équilibre </w:t>
      </w:r>
      <w:proofErr w:type="gramStart"/>
      <w:r w:rsidRPr="002A20EA">
        <w:rPr>
          <w:lang w:val="fr-FR"/>
        </w:rPr>
        <w:t>glycémique.</w:t>
      </w:r>
      <w:r w:rsidRPr="00664D0A">
        <w:rPr>
          <w:rFonts w:ascii="Calibri" w:eastAsia="Times New Roman" w:hAnsi="Calibri" w:cs="Arial"/>
          <w:sz w:val="21"/>
          <w:szCs w:val="21"/>
          <w:lang w:val="fr-FR" w:eastAsia="fr-FR"/>
        </w:rPr>
        <w:t>.</w:t>
      </w:r>
      <w:proofErr w:type="gramEnd"/>
    </w:p>
    <w:p w14:paraId="62CEFC08" w14:textId="5FC03338" w:rsidR="00664D0A" w:rsidRPr="002A20EA" w:rsidRDefault="000C1665" w:rsidP="002A20EA">
      <w:pPr>
        <w:rPr>
          <w:lang w:val="fr-FR"/>
        </w:rPr>
      </w:pPr>
      <w:r>
        <w:rPr>
          <w:rFonts w:ascii="Calibri" w:eastAsia="Times New Roman" w:hAnsi="Calibri" w:cs="Arial"/>
          <w:sz w:val="21"/>
          <w:szCs w:val="21"/>
          <w:lang w:val="fr-FR" w:eastAsia="fr-FR"/>
        </w:rPr>
        <w:t>Objectifs secondaires :</w:t>
      </w:r>
    </w:p>
    <w:p w14:paraId="39A7997F" w14:textId="77777777" w:rsidR="00664D0A" w:rsidRPr="00664D0A" w:rsidRDefault="00664D0A" w:rsidP="00B139C3">
      <w:pPr>
        <w:rPr>
          <w:rFonts w:ascii="Calibri" w:eastAsia="Times New Roman" w:hAnsi="Calibri" w:cs="Arial"/>
          <w:sz w:val="21"/>
          <w:szCs w:val="21"/>
          <w:lang w:val="fr-FR" w:eastAsia="fr-FR"/>
        </w:rPr>
      </w:pPr>
      <w:r w:rsidRPr="00664D0A">
        <w:rPr>
          <w:rFonts w:ascii="Times New Roman" w:eastAsia="Times New Roman" w:hAnsi="Times New Roman" w:cs="Times New Roman"/>
          <w:lang w:val="fr-FR" w:eastAsia="fr-FR"/>
        </w:rPr>
        <w:t>Préciser les types de plantes utilisées, les parties concernées, le mode de préparation et les voies d'administration.</w:t>
      </w:r>
    </w:p>
    <w:p w14:paraId="6DB867C3" w14:textId="3E98A691" w:rsidR="00664D0A" w:rsidRPr="00664D0A" w:rsidRDefault="00664D0A" w:rsidP="00B139C3">
      <w:pPr>
        <w:rPr>
          <w:rFonts w:ascii="Calibri" w:eastAsia="Times New Roman" w:hAnsi="Calibri" w:cs="Arial"/>
          <w:sz w:val="21"/>
          <w:szCs w:val="21"/>
          <w:lang w:val="fr-FR" w:eastAsia="fr-FR"/>
        </w:rPr>
      </w:pPr>
      <w:r w:rsidRPr="00664D0A">
        <w:rPr>
          <w:rFonts w:ascii="Times New Roman" w:eastAsia="Times New Roman" w:hAnsi="Times New Roman" w:cs="Times New Roman"/>
          <w:lang w:val="fr-FR" w:eastAsia="fr-FR"/>
        </w:rPr>
        <w:t xml:space="preserve">Comparer </w:t>
      </w:r>
      <w:r w:rsidRPr="00F9194F">
        <w:rPr>
          <w:rFonts w:ascii="Times New Roman" w:eastAsia="Times New Roman" w:hAnsi="Times New Roman" w:cs="Times New Roman"/>
          <w:lang w:val="fr-FR" w:eastAsia="fr-FR"/>
        </w:rPr>
        <w:t xml:space="preserve">les </w:t>
      </w:r>
      <w:r w:rsidR="00F9194F" w:rsidRPr="00F9194F">
        <w:rPr>
          <w:rFonts w:ascii="Times New Roman" w:eastAsia="Times New Roman" w:hAnsi="Times New Roman" w:cs="Times New Roman"/>
          <w:lang w:val="fr-FR" w:eastAsia="fr-FR"/>
        </w:rPr>
        <w:t>équilibres</w:t>
      </w:r>
      <w:r w:rsidR="00F9194F" w:rsidRPr="00664D0A">
        <w:rPr>
          <w:rFonts w:ascii="Times New Roman" w:eastAsia="Times New Roman" w:hAnsi="Times New Roman" w:cs="Times New Roman"/>
          <w:lang w:val="fr-FR" w:eastAsia="fr-FR"/>
        </w:rPr>
        <w:t xml:space="preserve"> </w:t>
      </w:r>
      <w:r w:rsidR="00F9194F">
        <w:rPr>
          <w:rFonts w:ascii="Times New Roman" w:eastAsia="Times New Roman" w:hAnsi="Times New Roman" w:cs="Times New Roman"/>
          <w:lang w:val="fr-FR" w:eastAsia="fr-FR"/>
        </w:rPr>
        <w:t>glycémiques</w:t>
      </w:r>
      <w:r w:rsidRPr="00664D0A">
        <w:rPr>
          <w:rFonts w:ascii="Times New Roman" w:eastAsia="Times New Roman" w:hAnsi="Times New Roman" w:cs="Times New Roman"/>
          <w:lang w:val="fr-FR" w:eastAsia="fr-FR"/>
        </w:rPr>
        <w:t xml:space="preserve"> chez les patients utilisateurs et non-utilisateurs de plantes médicinales.</w:t>
      </w:r>
    </w:p>
    <w:p w14:paraId="6030916E" w14:textId="7BC0AC1B" w:rsidR="00664D0A" w:rsidRDefault="00F9194F" w:rsidP="000C1665">
      <w:pPr>
        <w:rPr>
          <w:rFonts w:ascii="Times New Roman" w:eastAsia="Times New Roman" w:hAnsi="Times New Roman" w:cs="Times New Roman"/>
          <w:lang w:val="fr-FR" w:eastAsia="fr-FR"/>
        </w:rPr>
      </w:pPr>
      <w:r w:rsidRPr="00F9194F">
        <w:rPr>
          <w:rFonts w:ascii="Times New Roman" w:eastAsia="Times New Roman" w:hAnsi="Times New Roman" w:cs="Times New Roman"/>
          <w:lang w:val="fr-FR" w:eastAsia="fr-FR"/>
        </w:rPr>
        <w:t>Analyser les</w:t>
      </w:r>
      <w:r w:rsidR="00664D0A" w:rsidRPr="00F9194F">
        <w:rPr>
          <w:rFonts w:ascii="Times New Roman" w:eastAsia="Times New Roman" w:hAnsi="Times New Roman" w:cs="Times New Roman"/>
          <w:lang w:val="fr-FR" w:eastAsia="fr-FR"/>
        </w:rPr>
        <w:t xml:space="preserve"> motivations et les obstacles liés à l'utilisation des plantes médicinales</w:t>
      </w:r>
    </w:p>
    <w:p w14:paraId="42482531" w14:textId="77777777" w:rsidR="00664D0A" w:rsidRDefault="00664D0A" w:rsidP="00B139C3">
      <w:pPr>
        <w:rPr>
          <w:sz w:val="96"/>
          <w:szCs w:val="96"/>
          <w:lang w:val="fr-FR"/>
        </w:rPr>
      </w:pPr>
    </w:p>
    <w:p w14:paraId="64C7A8C8" w14:textId="77777777" w:rsidR="00664D0A" w:rsidRDefault="00664D0A" w:rsidP="00B139C3">
      <w:pPr>
        <w:rPr>
          <w:sz w:val="96"/>
          <w:szCs w:val="96"/>
          <w:lang w:val="fr-FR"/>
        </w:rPr>
      </w:pPr>
    </w:p>
    <w:p w14:paraId="5AA2F4A5" w14:textId="77777777" w:rsidR="00664D0A" w:rsidRDefault="00664D0A" w:rsidP="00B139C3">
      <w:pPr>
        <w:rPr>
          <w:sz w:val="96"/>
          <w:szCs w:val="96"/>
          <w:lang w:val="fr-FR"/>
        </w:rPr>
      </w:pPr>
    </w:p>
    <w:p w14:paraId="317333D5" w14:textId="3FFDA7FC" w:rsidR="000C1665" w:rsidRDefault="000C1665" w:rsidP="000C1665">
      <w:pPr>
        <w:rPr>
          <w:sz w:val="96"/>
          <w:szCs w:val="96"/>
          <w:lang w:val="fr-FR"/>
        </w:rPr>
      </w:pPr>
      <w:r>
        <w:rPr>
          <w:noProof/>
          <w:sz w:val="96"/>
          <w:szCs w:val="96"/>
          <w:lang w:val="fr-FR" w:eastAsia="fr-FR"/>
        </w:rPr>
        <mc:AlternateContent>
          <mc:Choice Requires="wps">
            <w:drawing>
              <wp:anchor distT="0" distB="0" distL="114300" distR="114300" simplePos="0" relativeHeight="251671552" behindDoc="0" locked="0" layoutInCell="1" allowOverlap="1" wp14:anchorId="1CA91372" wp14:editId="7E124F6E">
                <wp:simplePos x="0" y="0"/>
                <wp:positionH relativeFrom="margin">
                  <wp:align>center</wp:align>
                </wp:positionH>
                <wp:positionV relativeFrom="paragraph">
                  <wp:posOffset>1122694</wp:posOffset>
                </wp:positionV>
                <wp:extent cx="4545572" cy="1474668"/>
                <wp:effectExtent l="0" t="0" r="26670" b="11430"/>
                <wp:wrapNone/>
                <wp:docPr id="45" name="Rounded Rectangle 45"/>
                <wp:cNvGraphicFramePr/>
                <a:graphic xmlns:a="http://schemas.openxmlformats.org/drawingml/2006/main">
                  <a:graphicData uri="http://schemas.microsoft.com/office/word/2010/wordprocessingShape">
                    <wps:wsp>
                      <wps:cNvSpPr/>
                      <wps:spPr>
                        <a:xfrm>
                          <a:off x="0" y="0"/>
                          <a:ext cx="4545572" cy="1474668"/>
                        </a:xfrm>
                        <a:prstGeom prst="roundRect">
                          <a:avLst/>
                        </a:prstGeom>
                      </wps:spPr>
                      <wps:style>
                        <a:lnRef idx="2">
                          <a:schemeClr val="dk1"/>
                        </a:lnRef>
                        <a:fillRef idx="1">
                          <a:schemeClr val="lt1"/>
                        </a:fillRef>
                        <a:effectRef idx="0">
                          <a:schemeClr val="dk1"/>
                        </a:effectRef>
                        <a:fontRef idx="minor">
                          <a:schemeClr val="dk1"/>
                        </a:fontRef>
                      </wps:style>
                      <wps:txbx>
                        <w:txbxContent>
                          <w:p w14:paraId="283F93A1" w14:textId="2794CD8A" w:rsidR="00F568F0" w:rsidRPr="000C1665" w:rsidRDefault="00F568F0" w:rsidP="00FC4A34">
                            <w:pPr>
                              <w:jc w:val="center"/>
                              <w:outlineLvl w:val="0"/>
                              <w:rPr>
                                <w:sz w:val="96"/>
                                <w:szCs w:val="72"/>
                              </w:rPr>
                            </w:pPr>
                            <w:bookmarkStart w:id="16" w:name="_Toc229618762"/>
                            <w:r w:rsidRPr="000C1665">
                              <w:rPr>
                                <w:sz w:val="96"/>
                                <w:szCs w:val="72"/>
                              </w:rPr>
                              <w:t>Partie théorique</w:t>
                            </w:r>
                            <w:bookmarkEnd w:id="1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A91372" id="Rounded Rectangle 45" o:spid="_x0000_s1028" style="position:absolute;margin-left:0;margin-top:88.4pt;width:357.9pt;height:116.1pt;z-index:25167155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" fillcolor="white [3201]" strokecolor="black [3200]" strokeweight="1pt">
                <v:stroke joinstyle="miter"/>
                <v:textbox>
                  <w:txbxContent>
                    <w:p w14:paraId="283F93A1" w14:textId="2794CD8A" w:rsidR="00F568F0" w:rsidRPr="000C1665" w:rsidRDefault="00F568F0" w:rsidP="00FC4A34">
                      <w:pPr>
                        <w:jc w:val="center"/>
                        <w:outlineLvl w:val="0"/>
                        <w:rPr>
                          <w:sz w:val="96"/>
                          <w:szCs w:val="72"/>
                        </w:rPr>
                      </w:pPr>
                      <w:bookmarkStart w:id="18" w:name="_Toc229618762"/>
                      <w:r w:rsidRPr="000C1665">
                        <w:rPr>
                          <w:sz w:val="96"/>
                          <w:szCs w:val="72"/>
                        </w:rPr>
                        <w:t>Partie théorique</w:t>
                      </w:r>
                      <w:bookmarkEnd w:id="18"/>
                    </w:p>
                  </w:txbxContent>
                </v:textbox>
                <w10:wrap anchorx="margin"/>
              </v:roundrect>
            </w:pict>
          </mc:Fallback>
        </mc:AlternateContent>
      </w:r>
      <w:r w:rsidR="00664D0A">
        <w:rPr>
          <w:sz w:val="96"/>
          <w:szCs w:val="96"/>
          <w:lang w:val="fr-FR"/>
        </w:rPr>
        <w:br w:type="page"/>
      </w:r>
    </w:p>
    <w:p w14:paraId="10C1396F" w14:textId="1569F357" w:rsidR="00664D0A" w:rsidRDefault="00664D0A" w:rsidP="00B139C3">
      <w:pPr>
        <w:rPr>
          <w:sz w:val="96"/>
          <w:szCs w:val="96"/>
          <w:lang w:val="fr-FR"/>
        </w:rPr>
      </w:pPr>
    </w:p>
    <w:p w14:paraId="5FC50ED8" w14:textId="77777777" w:rsidR="00664D0A" w:rsidRPr="00C464A1" w:rsidRDefault="00664D0A" w:rsidP="00B139C3">
      <w:pPr>
        <w:rPr>
          <w:lang w:val="fr-FR"/>
        </w:rPr>
      </w:pPr>
    </w:p>
    <w:p w14:paraId="25D7652A" w14:textId="77777777" w:rsidR="00664D0A" w:rsidRPr="00C464A1" w:rsidRDefault="00664D0A" w:rsidP="00B139C3">
      <w:pPr>
        <w:rPr>
          <w:lang w:val="fr-FR"/>
        </w:rPr>
      </w:pPr>
    </w:p>
    <w:p w14:paraId="10F8D816" w14:textId="4F7C5B50" w:rsidR="00FC4A34" w:rsidRPr="00664D0A" w:rsidRDefault="00664D0A" w:rsidP="00FC4A34">
      <w:pPr>
        <w:jc w:val="center"/>
        <w:outlineLvl w:val="0"/>
        <w:rPr>
          <w:sz w:val="72"/>
          <w:szCs w:val="72"/>
          <w:lang w:val="fr-FR"/>
        </w:rPr>
      </w:pPr>
      <w:bookmarkStart w:id="17" w:name="_Toc229618763"/>
      <w:r w:rsidRPr="00664D0A">
        <w:rPr>
          <w:sz w:val="72"/>
          <w:szCs w:val="72"/>
          <w:lang w:val="fr-FR"/>
        </w:rPr>
        <w:t xml:space="preserve">Chapitre </w:t>
      </w:r>
      <w:proofErr w:type="gramStart"/>
      <w:r w:rsidRPr="00664D0A">
        <w:rPr>
          <w:sz w:val="72"/>
          <w:szCs w:val="72"/>
          <w:lang w:val="fr-FR"/>
        </w:rPr>
        <w:t>01:</w:t>
      </w:r>
      <w:proofErr w:type="gramEnd"/>
      <w:r w:rsidR="00FC4A34">
        <w:rPr>
          <w:sz w:val="72"/>
          <w:szCs w:val="72"/>
          <w:lang w:val="fr-FR"/>
        </w:rPr>
        <w:t xml:space="preserve"> Généralités sur le diabète type 2</w:t>
      </w:r>
      <w:bookmarkEnd w:id="17"/>
    </w:p>
    <w:p w14:paraId="5A86848D" w14:textId="77777777" w:rsidR="00664D0A" w:rsidRPr="00664D0A" w:rsidRDefault="00664D0A" w:rsidP="00B139C3">
      <w:pPr>
        <w:rPr>
          <w:sz w:val="32"/>
          <w:szCs w:val="32"/>
          <w:u w:val="single"/>
          <w:lang w:val="fr-FR" w:bidi="ar-DZ"/>
        </w:rPr>
      </w:pPr>
    </w:p>
    <w:p w14:paraId="759808FC" w14:textId="77777777" w:rsidR="00664D0A" w:rsidRPr="00664D0A" w:rsidRDefault="00664D0A" w:rsidP="00B139C3">
      <w:pPr>
        <w:rPr>
          <w:sz w:val="32"/>
          <w:szCs w:val="32"/>
          <w:u w:val="single"/>
          <w:lang w:val="fr-FR" w:bidi="ar-DZ"/>
        </w:rPr>
      </w:pPr>
      <w:r w:rsidRPr="00664D0A">
        <w:rPr>
          <w:sz w:val="32"/>
          <w:szCs w:val="32"/>
          <w:u w:val="single"/>
          <w:lang w:val="fr-FR" w:bidi="ar-DZ"/>
        </w:rPr>
        <w:br w:type="page"/>
      </w:r>
    </w:p>
    <w:p w14:paraId="649D9DBC" w14:textId="77777777" w:rsidR="00664D0A" w:rsidRPr="00E71797" w:rsidRDefault="00664D0A" w:rsidP="00B139C3">
      <w:pPr>
        <w:rPr>
          <w:sz w:val="32"/>
          <w:szCs w:val="32"/>
          <w:u w:val="single"/>
          <w:rtl/>
          <w:lang w:bidi="ar-DZ"/>
        </w:rPr>
      </w:pPr>
    </w:p>
    <w:p w14:paraId="0DB92E9C" w14:textId="77777777" w:rsidR="00664D0A" w:rsidRPr="00E71797" w:rsidRDefault="00664D0A" w:rsidP="00FC4A34">
      <w:pPr>
        <w:pStyle w:val="Heading1"/>
        <w:rPr>
          <w:lang w:bidi="ar-DZ"/>
        </w:rPr>
      </w:pPr>
      <w:bookmarkStart w:id="18" w:name="_Toc229618764"/>
      <w:r w:rsidRPr="00E71797">
        <w:rPr>
          <w:lang w:bidi="ar-DZ"/>
        </w:rPr>
        <w:t xml:space="preserve">1/définition de </w:t>
      </w:r>
      <w:proofErr w:type="gramStart"/>
      <w:r w:rsidRPr="00E71797">
        <w:rPr>
          <w:lang w:bidi="ar-DZ"/>
        </w:rPr>
        <w:t>diabète:</w:t>
      </w:r>
      <w:bookmarkEnd w:id="18"/>
      <w:proofErr w:type="gramEnd"/>
    </w:p>
    <w:p w14:paraId="143DCD13" w14:textId="3C4B195A" w:rsidR="00664D0A" w:rsidRPr="00664D0A" w:rsidRDefault="00664D0A" w:rsidP="00B139C3">
      <w:pPr>
        <w:rPr>
          <w:lang w:val="fr-FR" w:bidi="ar-DZ"/>
        </w:rPr>
      </w:pPr>
      <w:r w:rsidRPr="00664D0A">
        <w:rPr>
          <w:lang w:val="fr-FR" w:bidi="ar-DZ"/>
        </w:rPr>
        <w:t>Le diabète sucré (DS) est un trouble métabolique chronique caractérisé par une hyperglycémie persistante. Il peut être dû à une sécrétion insuffisante d’insuline, à une résistance périphérique à l’action de l’insuline, ou aux deux.</w:t>
      </w:r>
      <w:r w:rsidRPr="00E71797">
        <w:rPr>
          <w:lang w:bidi="ar-DZ"/>
        </w:rPr>
        <w:fldChar w:fldCharType="begin"/>
      </w:r>
      <w:r w:rsidR="00116A61">
        <w:rPr>
          <w:lang w:val="fr-FR" w:bidi="ar-DZ"/>
        </w:rPr>
        <w:instrText xml:space="preserve"> ADDIN ZOTERO_ITEM CSL_CITATION {"citationID":"NQIoX0ry","properties":{"formattedCitation":"(6)","plainCitation":"(6)","noteIndex":0},"citationItems":[{"id":"6VBx8p83/zqpQNktp","uris":["http://zotero.org/users/local/QE2koe11/items/3ES4X967"],"itemData":{"id":26,"type":"chapter","abstract":"Diabetes mellitus (DM) is a chronic metabolic disorder characterized by persistent hyperglycemia. It may be due to impaired insulin secretion, resistance to peripheral actions of insulin, or both. According to the International Diabetes Federation (IDF), approximately 415 million adults between the ages of 20 to 79 years had diabetes mellitus in 2015.[1] DM is proving to be a global public health burden as this number is expected to rise to another 200 million by 2040.[1] Chronic hyperglycemia in synergy with the other metabolic aberrations in patients with diabetes mellitus can cause damage to various organ systems, leading to the development of disabling and life-threatening health complications, most prominent of which are microvascular (retinopathy, nephropathy, and neuropathy) and macrovascular complications leading to a 2-fold to 4-fold increased risk of cardiovascular diseases. In this review, we provide an overview of the pathogenesis, diagnosis, clinical presentation, and principles of management of diabetes.","container-title":"StatPearls [Internet]","language":"en","note":"PMID: 30020625","publisher":"StatPearls Publishing","source":"www.ncbi.nlm.nih.gov","title":"Type 2 Diabetes","URL":"https://www.ncbi.nlm.nih.gov/sites/books/NBK513253/","author":[{"family":"Goyal","given":"Rajeev"},{"family":"Singhal","given":"Mayank"},{"family":"Jialal","given":"Ishwarlal"}],"accessed":{"date-parts":[["2025",11,22]]},"issued":{"date-parts":[["2023",6,23]]}}}],"schema":"https://github.com/citation-style-language/schema/raw/master/csl-citation.json"} </w:instrText>
      </w:r>
      <w:r w:rsidRPr="00E71797">
        <w:rPr>
          <w:lang w:bidi="ar-DZ"/>
        </w:rPr>
        <w:fldChar w:fldCharType="separate"/>
      </w:r>
      <w:r w:rsidR="00903A96" w:rsidRPr="00903A96">
        <w:rPr>
          <w:rFonts w:ascii="Calibri" w:hAnsi="Calibri"/>
          <w:lang w:val="fr-FR"/>
        </w:rPr>
        <w:t>(6)</w:t>
      </w:r>
      <w:r w:rsidRPr="00E71797">
        <w:rPr>
          <w:lang w:bidi="ar-DZ"/>
        </w:rPr>
        <w:fldChar w:fldCharType="end"/>
      </w:r>
    </w:p>
    <w:p w14:paraId="21F1006F" w14:textId="2E2268BC" w:rsidR="00664D0A" w:rsidRPr="00664D0A" w:rsidRDefault="00664D0A" w:rsidP="00B139C3">
      <w:pPr>
        <w:rPr>
          <w:lang w:val="fr-FR" w:bidi="ar-DZ"/>
        </w:rPr>
      </w:pPr>
      <w:r w:rsidRPr="00664D0A">
        <w:rPr>
          <w:lang w:val="fr-FR" w:bidi="ar-DZ"/>
        </w:rPr>
        <w:t xml:space="preserve">Diabète de type 2 (anciennement appelé le diabète non insulinodépendant DNID) : </w:t>
      </w:r>
      <w:proofErr w:type="gramStart"/>
      <w:r w:rsidRPr="00664D0A">
        <w:rPr>
          <w:lang w:val="fr-FR" w:bidi="ar-DZ"/>
        </w:rPr>
        <w:t>c’est  la</w:t>
      </w:r>
      <w:proofErr w:type="gramEnd"/>
      <w:r w:rsidRPr="00664D0A">
        <w:rPr>
          <w:lang w:val="fr-FR" w:bidi="ar-DZ"/>
        </w:rPr>
        <w:t xml:space="preserve"> forme de diabète la plus répandue représentant près de 90% des cas diagnostiqués. Ce type  de diabète se manifeste communément à l’âge adulte </w:t>
      </w:r>
      <w:r w:rsidRPr="00E71797">
        <w:rPr>
          <w:lang w:bidi="ar-DZ"/>
        </w:rPr>
        <w:fldChar w:fldCharType="begin"/>
      </w:r>
      <w:r w:rsidR="00116A61">
        <w:rPr>
          <w:lang w:val="fr-FR" w:bidi="ar-DZ"/>
        </w:rPr>
        <w:instrText xml:space="preserve"> ADDIN ZOTERO_ITEM CSL_CITATION {"citationID":"yHFBNRku","properties":{"formattedCitation":"(7)","plainCitation":"(7)","noteIndex":0},"citationItems":[{"id":"6VBx8p83/e2iYkKXP","uris":["http://zotero.org/users/local/QE2koe11/items/E4EKR98A"],"itemData":{"id":178,"type":"webpage","abstract":"Principaux repères sur le diabète: faits et chiffres, définitions des différents diadètes, leurs conséquences, charge de morbidité et l'action de l'OMS en la matère.","language":"fr","title":"Diabète","URL":"https://www.who.int/fr/news-room/fact-sheets/detail/diabetes","accessed":{"date-parts":[["2026",4,25]]}}}],"schema":"https://github.com/citation-style-language/schema/raw/master/csl-citation.json"} </w:instrText>
      </w:r>
      <w:r w:rsidRPr="00E71797">
        <w:rPr>
          <w:lang w:bidi="ar-DZ"/>
        </w:rPr>
        <w:fldChar w:fldCharType="separate"/>
      </w:r>
      <w:r w:rsidR="00903A96" w:rsidRPr="00903A96">
        <w:rPr>
          <w:rFonts w:ascii="Calibri" w:hAnsi="Calibri"/>
          <w:lang w:val="fr-FR"/>
        </w:rPr>
        <w:t>(7)</w:t>
      </w:r>
      <w:r w:rsidRPr="00E71797">
        <w:rPr>
          <w:lang w:bidi="ar-DZ"/>
        </w:rPr>
        <w:fldChar w:fldCharType="end"/>
      </w:r>
    </w:p>
    <w:p w14:paraId="67421640" w14:textId="1BB99C1B" w:rsidR="00664D0A" w:rsidRPr="00FC4A34" w:rsidRDefault="00664D0A" w:rsidP="00FC4A34">
      <w:pPr>
        <w:pStyle w:val="Heading1"/>
        <w:rPr>
          <w:rFonts w:eastAsiaTheme="minorBidi"/>
        </w:rPr>
      </w:pPr>
      <w:bookmarkStart w:id="19" w:name="_Toc229618765"/>
      <w:r w:rsidRPr="00664D0A">
        <w:rPr>
          <w:rFonts w:eastAsiaTheme="minorBidi"/>
        </w:rPr>
        <w:t xml:space="preserve">2/ Épidémiologie du diabète de type </w:t>
      </w:r>
      <w:proofErr w:type="gramStart"/>
      <w:r w:rsidRPr="00664D0A">
        <w:rPr>
          <w:rFonts w:eastAsiaTheme="minorBidi"/>
        </w:rPr>
        <w:t>2:</w:t>
      </w:r>
      <w:bookmarkEnd w:id="19"/>
      <w:proofErr w:type="gramEnd"/>
    </w:p>
    <w:p w14:paraId="0E6C338A" w14:textId="62D93E94" w:rsidR="00664D0A" w:rsidRPr="00E97C3D" w:rsidRDefault="00E97C3D" w:rsidP="00FC4A34">
      <w:pPr>
        <w:pStyle w:val="Heading2"/>
        <w:rPr>
          <w:rFonts w:eastAsiaTheme="minorBidi"/>
        </w:rPr>
      </w:pPr>
      <w:bookmarkStart w:id="20" w:name="_Toc229618766"/>
      <w:r>
        <w:rPr>
          <w:rFonts w:eastAsiaTheme="minorBidi"/>
        </w:rPr>
        <w:t xml:space="preserve">2-1/ Épidémiologie </w:t>
      </w:r>
      <w:proofErr w:type="gramStart"/>
      <w:r>
        <w:rPr>
          <w:rFonts w:eastAsiaTheme="minorBidi"/>
        </w:rPr>
        <w:t>mondiale:</w:t>
      </w:r>
      <w:bookmarkEnd w:id="20"/>
      <w:proofErr w:type="gramEnd"/>
    </w:p>
    <w:p w14:paraId="6801EC0E" w14:textId="7CB62660" w:rsidR="00664D0A" w:rsidRPr="00664D0A" w:rsidRDefault="00664D0A" w:rsidP="00B139C3">
      <w:pPr>
        <w:rPr>
          <w:rFonts w:eastAsiaTheme="minorBidi"/>
          <w:color w:val="000000"/>
          <w:lang w:val="fr-FR"/>
        </w:rPr>
      </w:pPr>
      <w:r w:rsidRPr="00664D0A">
        <w:rPr>
          <w:rFonts w:eastAsiaTheme="minorBidi"/>
          <w:color w:val="000000"/>
          <w:lang w:val="fr-FR"/>
        </w:rPr>
        <w:t xml:space="preserve">   Le diabète constitue l’une des maladies non transmissibles les plus répandues au monde et représente un problème majeur de santé publique. Selon les estimations de la Fédération Internationale du Diabète </w:t>
      </w:r>
      <w:proofErr w:type="gramStart"/>
      <w:r w:rsidRPr="00664D0A">
        <w:rPr>
          <w:rFonts w:eastAsiaTheme="minorBidi"/>
          <w:color w:val="000000"/>
          <w:lang w:val="fr-FR"/>
        </w:rPr>
        <w:t xml:space="preserve">en  </w:t>
      </w:r>
      <w:r w:rsidRPr="00664D0A">
        <w:rPr>
          <w:color w:val="000000"/>
          <w:lang w:val="fr-FR"/>
        </w:rPr>
        <w:t>2024</w:t>
      </w:r>
      <w:proofErr w:type="gramEnd"/>
      <w:r w:rsidRPr="00664D0A">
        <w:rPr>
          <w:color w:val="000000"/>
          <w:lang w:val="fr-FR"/>
        </w:rPr>
        <w:t>/2025</w:t>
      </w:r>
      <w:r w:rsidRPr="00664D0A">
        <w:rPr>
          <w:rFonts w:eastAsiaTheme="minorBidi"/>
          <w:color w:val="000000"/>
          <w:lang w:val="fr-FR"/>
        </w:rPr>
        <w:t xml:space="preserve"> , environ 589 millions d’adultes âgés de 20 à 79 ans vivent avec le diabète dans le monde, soit environ 1 adulte sur 9, et plus de 90 % des cas correspondent au diabète de type 2. L’augmentation de la prévalence est liée notamment au vieillissement de la population, à l’urbanisation, à la sédentarité et à l’augmentation de l’obésité. </w:t>
      </w:r>
      <w:r w:rsidR="00E97C3D">
        <w:rPr>
          <w:rFonts w:eastAsiaTheme="minorBidi"/>
          <w:color w:val="000000"/>
          <w:lang w:val="fr-FR"/>
        </w:rPr>
        <w:fldChar w:fldCharType="begin"/>
      </w:r>
      <w:r w:rsidR="00116A61">
        <w:rPr>
          <w:rFonts w:eastAsiaTheme="minorBidi"/>
          <w:color w:val="000000"/>
          <w:lang w:val="fr-FR"/>
        </w:rPr>
        <w:instrText xml:space="preserve"> ADDIN ZOTERO_ITEM CSL_CITATION {"citationID":"MNaXCh6r","properties":{"unsorted":false,"formattedCitation":"(1)","plainCitation":"(1)","noteIndex":0},"citationItems":[{"id":"6VBx8p83/b2i19tSs","uris":["http://zotero.org/users/local/xPnoPzR4/items/YUZ97GAG"],"itemData":{"id":266,"type":"document","citation-key":"112045","DOI":"10.1016/j.diabres.2024.112045","genre":"Article de revue scientifique","language":"en","publisher":"Elsevier (pour le compte de l'International Diabetes Federation)","publisher-place":"Bruxelles, Belgique","title":"IDF Diabetes Atlas 11th edition: Global estimates of diabetes prevalence for 2024 and projections for 2050","author":[{"family":"Magliano, Dianna J. (Nom : Magliano","given":""},{"family":"Boyko, Edward J. (Nom : Boyko","given":""},{"family":"IDF Diabetes Atlas 11th Edition Scientific Committee","given":""}],"issued":{"date-parts":[["2025"]]}}}],"schema":"https://github.com/citation-style-language/schema/raw/master/csl-citation.json"} </w:instrText>
      </w:r>
      <w:r w:rsidR="00E97C3D">
        <w:rPr>
          <w:rFonts w:eastAsiaTheme="minorBidi"/>
          <w:color w:val="000000"/>
          <w:lang w:val="fr-FR"/>
        </w:rPr>
        <w:fldChar w:fldCharType="separate"/>
      </w:r>
      <w:r w:rsidR="00C24D88" w:rsidRPr="00C24D88">
        <w:rPr>
          <w:rFonts w:ascii="Calibri" w:hAnsi="Calibri"/>
          <w:lang w:val="fr-FR"/>
        </w:rPr>
        <w:t>(1)</w:t>
      </w:r>
      <w:r w:rsidR="00E97C3D">
        <w:rPr>
          <w:rFonts w:eastAsiaTheme="minorBidi"/>
          <w:color w:val="000000"/>
          <w:lang w:val="fr-FR"/>
        </w:rPr>
        <w:fldChar w:fldCharType="end"/>
      </w:r>
    </w:p>
    <w:p w14:paraId="2CC9B465" w14:textId="677D50D1" w:rsidR="00664D0A" w:rsidRPr="00664D0A" w:rsidRDefault="00664D0A" w:rsidP="00B139C3">
      <w:pPr>
        <w:rPr>
          <w:rFonts w:eastAsiaTheme="minorBidi"/>
          <w:color w:val="000000"/>
          <w:lang w:val="fr-FR"/>
        </w:rPr>
      </w:pPr>
      <w:r w:rsidRPr="00664D0A">
        <w:rPr>
          <w:rFonts w:eastAsiaTheme="minorBidi"/>
          <w:color w:val="000000"/>
          <w:lang w:val="fr-FR"/>
        </w:rPr>
        <w:t xml:space="preserve">    Les projections indiquent que ce nombre pourrait atteindre 853 millions de personnes d’ici 2050, ce qui illustre l’ampleur croissante de cette pathologie à l’échelle mondiale. </w:t>
      </w:r>
      <w:r w:rsidR="00E97C3D">
        <w:rPr>
          <w:rFonts w:eastAsiaTheme="minorBidi"/>
          <w:color w:val="000000"/>
          <w:lang w:val="fr-FR"/>
        </w:rPr>
        <w:fldChar w:fldCharType="begin"/>
      </w:r>
      <w:r w:rsidR="00116A61">
        <w:rPr>
          <w:rFonts w:eastAsiaTheme="minorBidi"/>
          <w:color w:val="000000"/>
          <w:lang w:val="fr-FR"/>
        </w:rPr>
        <w:instrText xml:space="preserve"> ADDIN ZOTERO_ITEM CSL_CITATION {"citationID":"8VxdgQpK","properties":{"unsorted":false,"formattedCitation":"(8)","plainCitation":"(8)","noteIndex":0},"citationItems":[{"id":"6VBx8p83/hLC4BJRw","uris":["http://zotero.org/users/local/xPnoPzR4/items/JITR5T47"],"itemData":{"id":258,"type":"article-journal","abstract":"AIMS: To provide global estimates of diabetes prevalence for 2019 and projections for 2030 and 2045.\nMETHODS: A total of 255 high-quality data sources, published between 1990 and 2018 and representing 138 countries were identified. For countries without high quality in-country data, estimates were extrapolated from similar countries matched by economy, ethnicity, geography and language. Logistic regression was used to generate smoothed age-specific diabetes prevalence estimates (including previously undiagnosed diabetes) in adults aged 20-79 years.\nRESULTS: The global diabetes prevalence in 2019 is estimated to be 9.3% (463 million people), rising to 10.2% (578 million) by 2030 and 10.9% (700 million) by 2045. The prevalence is higher in urban (10.8%) than rural (7.2%) areas, and in high-income (10.4%) than low-income countries (4.0%). One in two (50.1%) people living with diabetes do not know that they have diabetes. The global prevalence of impaired glucose tolerance is estimated to be 7.5% (374 million) in 2019 and projected to reach 8.0% (454 million) by 2030 and 8.6% (548 million) by 2045.\nCONCLUSIONS: Just under half a billion people are living with diabetes worldwide and the number is projected to increase by 25% in 2030 and 51% in 2045.","container-title":"Diabetes Research and Clinical Practice","DOI":"10.1016/j.diabres.2019.107843","ISSN":"1872-8227","journalAbbreviation":"Diabetes Res Clin Pract","language":"eng","page":"107843","PMID":"31518657","source":"PubMed","title":"Global and regional diabetes prevalence estimates for 2019 and projections for 2030 and 2045: Results from the International Diabetes Federation Diabetes Atlas, 9th edition","title-short":"Global and regional diabetes prevalence estimates for 2019 and projections for 2030 and 2045","volume":"157","author":[{"family":"Saeedi","given":"Pouya"},{"family":"Petersohn","given":"Inga"},{"family":"Salpea","given":"Paraskevi"},{"family":"Malanda","given":"Belma"},{"family":"Karuranga","given":"Suvi"},{"family":"Unwin","given":"Nigel"},{"family":"Colagiuri","given":"Stephen"},{"family":"Guariguata","given":"Leonor"},{"family":"Motala","given":"Ayesha A."},{"family":"Ogurtsova","given":"Katherine"},{"family":"Shaw","given":"Jonathan E."},{"family":"Bright","given":"Dominic"},{"family":"Williams","given":"Rhys"},{"literal":"IDF Diabetes Atlas Committee"}],"issued":{"date-parts":[["2019",11]]}}}],"schema":"https://github.com/citation-style-language/schema/raw/master/csl-citation.json"} </w:instrText>
      </w:r>
      <w:r w:rsidR="00E97C3D">
        <w:rPr>
          <w:rFonts w:eastAsiaTheme="minorBidi"/>
          <w:color w:val="000000"/>
          <w:lang w:val="fr-FR"/>
        </w:rPr>
        <w:fldChar w:fldCharType="separate"/>
      </w:r>
      <w:r w:rsidR="00903A96" w:rsidRPr="00903A96">
        <w:rPr>
          <w:rFonts w:ascii="Calibri" w:hAnsi="Calibri"/>
          <w:lang w:val="fr-FR"/>
        </w:rPr>
        <w:t>(8)</w:t>
      </w:r>
      <w:r w:rsidR="00E97C3D">
        <w:rPr>
          <w:rFonts w:eastAsiaTheme="minorBidi"/>
          <w:color w:val="000000"/>
          <w:lang w:val="fr-FR"/>
        </w:rPr>
        <w:fldChar w:fldCharType="end"/>
      </w:r>
    </w:p>
    <w:p w14:paraId="511A6254" w14:textId="5DEE5464" w:rsidR="00664D0A" w:rsidRPr="00664D0A" w:rsidRDefault="00664D0A" w:rsidP="00B139C3">
      <w:pPr>
        <w:rPr>
          <w:rFonts w:eastAsiaTheme="minorBidi"/>
          <w:color w:val="000000"/>
          <w:lang w:val="fr-FR"/>
        </w:rPr>
      </w:pPr>
      <w:r w:rsidRPr="00664D0A">
        <w:rPr>
          <w:rFonts w:eastAsiaTheme="minorBidi"/>
          <w:color w:val="000000"/>
          <w:lang w:val="fr-FR"/>
        </w:rPr>
        <w:t xml:space="preserve">   Par ailleurs, plus de 80 % des personnes diabétiques vivent dans les pays à revenu faible ou intermédiaire, ce qui souligne l’impact socio-économique important de la maladie et la nécessité de renforcer les stratégies de prévention et de dépistage précoce. </w:t>
      </w:r>
      <w:r w:rsidR="00E97C3D">
        <w:rPr>
          <w:rFonts w:eastAsiaTheme="minorBidi"/>
          <w:color w:val="000000"/>
          <w:lang w:val="fr-FR"/>
        </w:rPr>
        <w:fldChar w:fldCharType="begin"/>
      </w:r>
      <w:r w:rsidR="00116A61">
        <w:rPr>
          <w:rFonts w:eastAsiaTheme="minorBidi"/>
          <w:color w:val="000000"/>
          <w:lang w:val="fr-FR"/>
        </w:rPr>
        <w:instrText xml:space="preserve"> ADDIN ZOTERO_ITEM CSL_CITATION {"citationID":"wTuSV6Gr","properties":{"unsorted":false,"formattedCitation":"(9)","plainCitation":"(9)","noteIndex":0},"citationItems":[{"id":"6VBx8p83/xXFXw9D6","uris":["http://zotero.org/users/local/xPnoPzR4/items/VRM49RNY"],"itemData":{"id":260,"type":"webpage","abstract":"Publicaciones de la Organización Mundial de la Salud","language":"en","title":"Global report on diabetes","URL":"https://www.who.int/publications/i/item/9789241565257","accessed":{"date-parts":[["2026",5,13]]}}}],"schema":"https://github.com/citation-style-language/schema/raw/master/csl-citation.json"} </w:instrText>
      </w:r>
      <w:r w:rsidR="00E97C3D">
        <w:rPr>
          <w:rFonts w:eastAsiaTheme="minorBidi"/>
          <w:color w:val="000000"/>
          <w:lang w:val="fr-FR"/>
        </w:rPr>
        <w:fldChar w:fldCharType="separate"/>
      </w:r>
      <w:r w:rsidR="00903A96" w:rsidRPr="00903A96">
        <w:rPr>
          <w:rFonts w:ascii="Calibri" w:hAnsi="Calibri"/>
          <w:lang w:val="fr-FR"/>
        </w:rPr>
        <w:t>(9)</w:t>
      </w:r>
      <w:r w:rsidR="00E97C3D">
        <w:rPr>
          <w:rFonts w:eastAsiaTheme="minorBidi"/>
          <w:color w:val="000000"/>
          <w:lang w:val="fr-FR"/>
        </w:rPr>
        <w:fldChar w:fldCharType="end"/>
      </w:r>
    </w:p>
    <w:p w14:paraId="00E0AD09" w14:textId="61025ED4" w:rsidR="00664D0A" w:rsidRPr="00664D0A" w:rsidRDefault="00664D0A" w:rsidP="00FC4A34">
      <w:pPr>
        <w:rPr>
          <w:rFonts w:eastAsiaTheme="minorBidi"/>
          <w:color w:val="000000"/>
          <w:lang w:val="fr-FR"/>
        </w:rPr>
      </w:pPr>
      <w:r w:rsidRPr="00664D0A">
        <w:rPr>
          <w:rFonts w:eastAsiaTheme="minorBidi"/>
          <w:color w:val="000000"/>
          <w:lang w:val="fr-FR"/>
        </w:rPr>
        <w:t xml:space="preserve">   Dans la région africaine, la prévalence standardisée du diabète chez les adultes est estimée à environ 5,0 %, soit environ 25 millions de personnes en 2024, avec une forte proportion de cas non diagnostiqués (~73 %). Dans le Maghreb arabe, la prévalence est plus élevée, avec environ 17,5 % en Algérie, 11,9 % au Maroc et 16,0 % en Tunisie. Le diabète de type 2 reste l’expression la plus fréquente et constitue un défi majeur de santé publique dans toutes ces régions .</w:t>
      </w:r>
      <w:r w:rsidR="00E97C3D">
        <w:rPr>
          <w:rFonts w:eastAsiaTheme="minorBidi"/>
          <w:color w:val="000000"/>
          <w:lang w:val="fr-FR"/>
        </w:rPr>
        <w:fldChar w:fldCharType="begin"/>
      </w:r>
      <w:r w:rsidR="00116A61">
        <w:rPr>
          <w:rFonts w:eastAsiaTheme="minorBidi"/>
          <w:color w:val="000000"/>
          <w:lang w:val="fr-FR"/>
        </w:rPr>
        <w:instrText xml:space="preserve"> ADDIN ZOTERO_ITEM CSL_CITATION {"citationID":"3Hx5VH3T","properties":{"unsorted":false,"formattedCitation":"(10)","plainCitation":"(10)","noteIndex":0},"citationItems":[{"id":"6VBx8p83/qAfyWnj8","uris":["http://zotero.org/users/local/xPnoPzR4/items/BFMD8JJD"],"itemData":{"id":264,"type":"article-journal","container-title":"Diabetes Research and Clinical Practice","DOI":"10.1016/j.diabres.2025.112152","ISSN":"0168-8227, 1872-8227","journalAbbreviation":"Diabetes Research and Clinical Practice","language":"English","PMID":"40204549","publisher":"Elsevier","source":"www.diabetesresearchclinicalpractice.com","title":"IDF global clinical practice recommendations for managing type 2 diabetes – 2025","URL":"https://www.diabetesresearchclinicalpractice.com/article/S0168-8227(25)00166-4/abstract","volume":"222","author":[{"family":"Ceriello","given":"Antonio"},{"family":"Colagiuri","given":"Stephen"}],"accessed":{"date-parts":[["2026",5,13]]},"issued":{"date-parts":[["2025",4,1]]}}}],"schema":"https://github.com/citation-style-language/schema/raw/master/csl-citation.json"} </w:instrText>
      </w:r>
      <w:r w:rsidR="00E97C3D">
        <w:rPr>
          <w:rFonts w:eastAsiaTheme="minorBidi"/>
          <w:color w:val="000000"/>
          <w:lang w:val="fr-FR"/>
        </w:rPr>
        <w:fldChar w:fldCharType="separate"/>
      </w:r>
      <w:r w:rsidR="00903A96" w:rsidRPr="00903A96">
        <w:rPr>
          <w:rFonts w:ascii="Calibri" w:hAnsi="Calibri"/>
          <w:lang w:val="fr-FR"/>
        </w:rPr>
        <w:t>(10)</w:t>
      </w:r>
      <w:r w:rsidR="00E97C3D">
        <w:rPr>
          <w:rFonts w:eastAsiaTheme="minorBidi"/>
          <w:color w:val="000000"/>
          <w:lang w:val="fr-FR"/>
        </w:rPr>
        <w:fldChar w:fldCharType="end"/>
      </w:r>
    </w:p>
    <w:p w14:paraId="27CAE675" w14:textId="3B0450C8" w:rsidR="00664D0A" w:rsidRPr="00FC4A34" w:rsidRDefault="00664D0A" w:rsidP="00FC4A34">
      <w:pPr>
        <w:pStyle w:val="Heading2"/>
      </w:pPr>
      <w:bookmarkStart w:id="21" w:name="_Toc229618767"/>
      <w:r w:rsidRPr="00664D0A">
        <w:t xml:space="preserve">2-2/ Épidémiologie du diabète en </w:t>
      </w:r>
      <w:proofErr w:type="gramStart"/>
      <w:r w:rsidRPr="00664D0A">
        <w:t>Algérie:</w:t>
      </w:r>
      <w:bookmarkEnd w:id="21"/>
      <w:proofErr w:type="gramEnd"/>
    </w:p>
    <w:p w14:paraId="2DF7EE06" w14:textId="77777777" w:rsidR="00664D0A" w:rsidRPr="00664D0A" w:rsidRDefault="00664D0A" w:rsidP="00B139C3">
      <w:pPr>
        <w:rPr>
          <w:rFonts w:eastAsiaTheme="minorBidi"/>
          <w:color w:val="000000"/>
          <w:lang w:val="fr-FR"/>
        </w:rPr>
      </w:pPr>
      <w:r w:rsidRPr="00664D0A">
        <w:rPr>
          <w:rFonts w:eastAsiaTheme="minorBidi"/>
          <w:color w:val="000000"/>
          <w:lang w:val="fr-FR"/>
        </w:rPr>
        <w:t xml:space="preserve">En Algérie, le diabète constitue également un problème majeur de santé publique. Selon les données de la Fédération Internationale du Diabète (IDF), la prévalence du diabète chez les adultes âgés de 20 à 79 ans est estimée à 17,5 %, soit environ 4,8 millions de personnes atteintes. </w:t>
      </w:r>
    </w:p>
    <w:p w14:paraId="1B7315A7" w14:textId="2F4B1CB7" w:rsidR="00664D0A" w:rsidRPr="00664D0A" w:rsidRDefault="00664D0A" w:rsidP="00B139C3">
      <w:pPr>
        <w:rPr>
          <w:rFonts w:eastAsiaTheme="minorBidi"/>
          <w:color w:val="000000"/>
          <w:lang w:val="fr-FR"/>
        </w:rPr>
      </w:pPr>
      <w:r w:rsidRPr="00664D0A">
        <w:rPr>
          <w:rFonts w:eastAsiaTheme="minorBidi"/>
          <w:color w:val="000000"/>
          <w:lang w:val="fr-FR"/>
        </w:rPr>
        <w:t>Les projections indiquent que le nombre de personnes atteintes de diabète en Algérie pourrait continuer à augmenter dans les prochaines décennies .</w:t>
      </w:r>
      <w:r w:rsidR="00E97C3D">
        <w:rPr>
          <w:rFonts w:eastAsiaTheme="minorBidi"/>
          <w:color w:val="000000"/>
          <w:lang w:val="fr-FR"/>
        </w:rPr>
        <w:fldChar w:fldCharType="begin"/>
      </w:r>
      <w:r w:rsidR="00116A61">
        <w:rPr>
          <w:rFonts w:eastAsiaTheme="minorBidi"/>
          <w:color w:val="000000"/>
          <w:lang w:val="fr-FR"/>
        </w:rPr>
        <w:instrText xml:space="preserve"> ADDIN ZOTERO_ITEM CSL_CITATION {"citationID":"ndTAJ764","properties":{"unsorted":false,"formattedCitation":"(8)","plainCitation":"(8)","noteIndex":0},"citationItems":[{"id":"6VBx8p83/hLC4BJRw","uris":["http://zotero.org/users/local/xPnoPzR4/items/JITR5T47"],"itemData":{"id":258,"type":"article-journal","abstract":"AIMS: To provide global estimates of diabetes prevalence for 2019 and projections for 2030 and 2045.\nMETHODS: A total of 255 high-quality data sources, published between 1990 and 2018 and representing 138 countries were identified. For countries without high quality in-country data, estimates were extrapolated from similar countries matched by economy, ethnicity, geography and language. Logistic regression was used to generate smoothed age-specific diabetes prevalence estimates (including previously undiagnosed diabetes) in adults aged 20-79 years.\nRESULTS: The global diabetes prevalence in 2019 is estimated to be 9.3% (463 million people), rising to 10.2% (578 million) by 2030 and 10.9% (700 million) by 2045. The prevalence is higher in urban (10.8%) than rural (7.2%) areas, and in high-income (10.4%) than low-income countries (4.0%). One in two (50.1%) people living with diabetes do not know that they have diabetes. The global prevalence of impaired glucose tolerance is estimated to be 7.5% (374 million) in 2019 and projected to reach 8.0% (454 million) by 2030 and 8.6% (548 million) by 2045.\nCONCLUSIONS: Just under half a billion people are living with diabetes worldwide and the number is projected to increase by 25% in 2030 and 51% in 2045.","container-title":"Diabetes Research and Clinical Practice","DOI":"10.1016/j.diabres.2019.107843","ISSN":"1872-8227","journalAbbreviation":"Diabetes Res Clin Pract","language":"eng","page":"107843","PMID":"31518657","source":"PubMed","title":"Global and regional diabetes prevalence estimates for 2019 and projections for 2030 and 2045: Results from the International Diabetes Federation Diabetes Atlas, 9th edition","title-short":"Global and regional diabetes prevalence estimates for 2019 and projections for 2030 and 2045","volume":"157","author":[{"family":"Saeedi","given":"Pouya"},{"family":"Petersohn","given":"Inga"},{"family":"Salpea","given":"Paraskevi"},{"family":"Malanda","given":"Belma"},{"family":"Karuranga","given":"Suvi"},{"family":"Unwin","given":"Nigel"},{"family":"Colagiuri","given":"Stephen"},{"family":"Guariguata","given":"Leonor"},{"family":"Motala","given":"Ayesha A."},{"family":"Ogurtsova","given":"Katherine"},{"family":"Shaw","given":"Jonathan E."},{"family":"Bright","given":"Dominic"},{"family":"Williams","given":"Rhys"},{"literal":"IDF Diabetes Atlas Committee"}],"issued":{"date-parts":[["2019",11]]}}}],"schema":"https://github.com/citation-style-language/schema/raw/master/csl-citation.json"} </w:instrText>
      </w:r>
      <w:r w:rsidR="00E97C3D">
        <w:rPr>
          <w:rFonts w:eastAsiaTheme="minorBidi"/>
          <w:color w:val="000000"/>
          <w:lang w:val="fr-FR"/>
        </w:rPr>
        <w:fldChar w:fldCharType="separate"/>
      </w:r>
      <w:r w:rsidR="00903A96" w:rsidRPr="00903A96">
        <w:rPr>
          <w:rFonts w:ascii="Calibri" w:hAnsi="Calibri"/>
          <w:lang w:val="fr-FR"/>
        </w:rPr>
        <w:t>(8)</w:t>
      </w:r>
      <w:r w:rsidR="00E97C3D">
        <w:rPr>
          <w:rFonts w:eastAsiaTheme="minorBidi"/>
          <w:color w:val="000000"/>
          <w:lang w:val="fr-FR"/>
        </w:rPr>
        <w:fldChar w:fldCharType="end"/>
      </w:r>
    </w:p>
    <w:p w14:paraId="74194024" w14:textId="3FCE3AAC" w:rsidR="00664D0A" w:rsidRPr="00FC4A34" w:rsidRDefault="00664D0A" w:rsidP="00FC4A34">
      <w:pPr>
        <w:rPr>
          <w:rFonts w:eastAsiaTheme="minorBidi"/>
          <w:color w:val="000000"/>
          <w:lang w:val="fr-FR"/>
        </w:rPr>
      </w:pPr>
      <w:r w:rsidRPr="00664D0A">
        <w:rPr>
          <w:rFonts w:eastAsiaTheme="minorBidi"/>
          <w:color w:val="000000"/>
          <w:lang w:val="fr-FR"/>
        </w:rPr>
        <w:lastRenderedPageBreak/>
        <w:t xml:space="preserve">De plus, une proportion importante des personnes atteintes de diabète ignore encore leur maladie, ce qui souligne l’importance du dépistage précoce et de la sensibilisation de la population aux facteurs de risque associés au diabète de type 2. </w:t>
      </w:r>
      <w:r w:rsidR="00E97C3D">
        <w:rPr>
          <w:rFonts w:eastAsiaTheme="minorBidi"/>
          <w:color w:val="000000"/>
          <w:lang w:val="fr-FR"/>
        </w:rPr>
        <w:fldChar w:fldCharType="begin"/>
      </w:r>
      <w:r w:rsidR="00116A61">
        <w:rPr>
          <w:rFonts w:eastAsiaTheme="minorBidi"/>
          <w:color w:val="000000"/>
          <w:lang w:val="fr-FR"/>
        </w:rPr>
        <w:instrText xml:space="preserve"> ADDIN ZOTERO_ITEM CSL_CITATION {"citationID":"klvgoL43","properties":{"unsorted":false,"formattedCitation":"(11)","plainCitation":"(11)","noteIndex":0},"citationItems":[{"id":"6VBx8p83/ZkCDljks","uris":["http://zotero.org/users/local/xPnoPzR4/items/8VLN48CK"],"itemData":{"id":269,"type":"post-weblog","container-title":"International Diabetes Federation","language":"en-GB","title":"Diabetes country profile: Algeria","URL":"https://idf.org/our-network/regions-and-members/middle-east-and-north-africa/members/algeria/","author":[{"family":"International Diabetes Federation","given":""}],"accessed":{"date-parts":[["2026",5,13]]},"issued":{"date-parts":[["2024"]]}}}],"schema":"https://github.com/citation-style-language/schema/raw/master/csl-citation.json"} </w:instrText>
      </w:r>
      <w:r w:rsidR="00E97C3D">
        <w:rPr>
          <w:rFonts w:eastAsiaTheme="minorBidi"/>
          <w:color w:val="000000"/>
          <w:lang w:val="fr-FR"/>
        </w:rPr>
        <w:fldChar w:fldCharType="separate"/>
      </w:r>
      <w:r w:rsidR="00903A96" w:rsidRPr="00903A96">
        <w:rPr>
          <w:rFonts w:ascii="Calibri" w:hAnsi="Calibri"/>
          <w:lang w:val="fr-FR"/>
        </w:rPr>
        <w:t>(11)</w:t>
      </w:r>
      <w:r w:rsidR="00E97C3D">
        <w:rPr>
          <w:rFonts w:eastAsiaTheme="minorBidi"/>
          <w:color w:val="000000"/>
          <w:lang w:val="fr-FR"/>
        </w:rPr>
        <w:fldChar w:fldCharType="end"/>
      </w:r>
    </w:p>
    <w:p w14:paraId="07BEADFA" w14:textId="77777777" w:rsidR="00664D0A" w:rsidRPr="00664D0A" w:rsidRDefault="00664D0A" w:rsidP="00FC4A34">
      <w:pPr>
        <w:pStyle w:val="Heading2"/>
      </w:pPr>
      <w:bookmarkStart w:id="22" w:name="_Toc229618768"/>
      <w:r w:rsidRPr="00664D0A">
        <w:t>3-3/ Situation régionale (Laghouat</w:t>
      </w:r>
      <w:proofErr w:type="gramStart"/>
      <w:r w:rsidRPr="00664D0A">
        <w:t>):</w:t>
      </w:r>
      <w:bookmarkEnd w:id="22"/>
      <w:proofErr w:type="gramEnd"/>
    </w:p>
    <w:p w14:paraId="7539776A" w14:textId="0103284B" w:rsidR="00664D0A" w:rsidRPr="00664D0A" w:rsidRDefault="00664D0A" w:rsidP="00FC4A34">
      <w:pPr>
        <w:rPr>
          <w:rFonts w:eastAsiaTheme="minorBidi"/>
          <w:color w:val="000000"/>
          <w:lang w:val="fr-FR"/>
        </w:rPr>
      </w:pPr>
      <w:r w:rsidRPr="00664D0A">
        <w:rPr>
          <w:rFonts w:eastAsiaTheme="minorBidi"/>
          <w:color w:val="000000"/>
          <w:lang w:val="fr-FR"/>
        </w:rPr>
        <w:t xml:space="preserve">   Les données épidémiologiques spécifiques à certaines régions d’Algérie, notamment la région de Laghouat, restent limitées dans la littérature scientifique internationale. La plupart des informations disponibles proviennent d’études nationales ou de programmes de surveillance épidémiologique du ministère de la Santé. En l’absence d’études régionales spécifiques, les estimations régionales sont généralement extrapolées à partir des données nationales, qui indiquent une augmentation progressive de la prévalence du diabète en Algérie .</w:t>
      </w:r>
      <w:r w:rsidR="00E97C3D">
        <w:rPr>
          <w:rFonts w:eastAsiaTheme="minorBidi"/>
          <w:color w:val="000000"/>
          <w:lang w:val="fr-FR"/>
        </w:rPr>
        <w:fldChar w:fldCharType="begin"/>
      </w:r>
      <w:r w:rsidR="00116A61">
        <w:rPr>
          <w:rFonts w:eastAsiaTheme="minorBidi"/>
          <w:color w:val="000000"/>
          <w:lang w:val="fr-FR"/>
        </w:rPr>
        <w:instrText xml:space="preserve"> ADDIN ZOTERO_ITEM CSL_CITATION {"citationID":"FyOLbhoO","properties":{"unsorted":false,"formattedCitation":"(8)","plainCitation":"(8)","noteIndex":0},"citationItems":[{"id":"6VBx8p83/hLC4BJRw","uris":["http://zotero.org/users/local/xPnoPzR4/items/JITR5T47"],"itemData":{"id":258,"type":"article-journal","abstract":"AIMS: To provide global estimates of diabetes prevalence for 2019 and projections for 2030 and 2045.\nMETHODS: A total of 255 high-quality data sources, published between 1990 and 2018 and representing 138 countries were identified. For countries without high quality in-country data, estimates were extrapolated from similar countries matched by economy, ethnicity, geography and language. Logistic regression was used to generate smoothed age-specific diabetes prevalence estimates (including previously undiagnosed diabetes) in adults aged 20-79 years.\nRESULTS: The global diabetes prevalence in 2019 is estimated to be 9.3% (463 million people), rising to 10.2% (578 million) by 2030 and 10.9% (700 million) by 2045. The prevalence is higher in urban (10.8%) than rural (7.2%) areas, and in high-income (10.4%) than low-income countries (4.0%). One in two (50.1%) people living with diabetes do not know that they have diabetes. The global prevalence of impaired glucose tolerance is estimated to be 7.5% (374 million) in 2019 and projected to reach 8.0% (454 million) by 2030 and 8.6% (548 million) by 2045.\nCONCLUSIONS: Just under half a billion people are living with diabetes worldwide and the number is projected to increase by 25% in 2030 and 51% in 2045.","container-title":"Diabetes Research and Clinical Practice","DOI":"10.1016/j.diabres.2019.107843","ISSN":"1872-8227","journalAbbreviation":"Diabetes Res Clin Pract","language":"eng","page":"107843","PMID":"31518657","source":"PubMed","title":"Global and regional diabetes prevalence estimates for 2019 and projections for 2030 and 2045: Results from the International Diabetes Federation Diabetes Atlas, 9th edition","title-short":"Global and regional diabetes prevalence estimates for 2019 and projections for 2030 and 2045","volume":"157","author":[{"family":"Saeedi","given":"Pouya"},{"family":"Petersohn","given":"Inga"},{"family":"Salpea","given":"Paraskevi"},{"family":"Malanda","given":"Belma"},{"family":"Karuranga","given":"Suvi"},{"family":"Unwin","given":"Nigel"},{"family":"Colagiuri","given":"Stephen"},{"family":"Guariguata","given":"Leonor"},{"family":"Motala","given":"Ayesha A."},{"family":"Ogurtsova","given":"Katherine"},{"family":"Shaw","given":"Jonathan E."},{"family":"Bright","given":"Dominic"},{"family":"Williams","given":"Rhys"},{"literal":"IDF Diabetes Atlas Committee"}],"issued":{"date-parts":[["2019",11]]}}}],"schema":"https://github.com/citation-style-language/schema/raw/master/csl-citation.json"} </w:instrText>
      </w:r>
      <w:r w:rsidR="00E97C3D">
        <w:rPr>
          <w:rFonts w:eastAsiaTheme="minorBidi"/>
          <w:color w:val="000000"/>
          <w:lang w:val="fr-FR"/>
        </w:rPr>
        <w:fldChar w:fldCharType="separate"/>
      </w:r>
      <w:r w:rsidR="00903A96" w:rsidRPr="00903A96">
        <w:rPr>
          <w:rFonts w:ascii="Calibri" w:hAnsi="Calibri"/>
          <w:lang w:val="fr-FR"/>
        </w:rPr>
        <w:t>(8)</w:t>
      </w:r>
      <w:r w:rsidR="00E97C3D">
        <w:rPr>
          <w:rFonts w:eastAsiaTheme="minorBidi"/>
          <w:color w:val="000000"/>
          <w:lang w:val="fr-FR"/>
        </w:rPr>
        <w:fldChar w:fldCharType="end"/>
      </w:r>
    </w:p>
    <w:p w14:paraId="7E23012C" w14:textId="2377BF21" w:rsidR="00664D0A" w:rsidRPr="00FC4A34" w:rsidRDefault="00664D0A" w:rsidP="00FC4A34">
      <w:pPr>
        <w:pStyle w:val="Heading1"/>
        <w:rPr>
          <w:rFonts w:eastAsiaTheme="minorBidi"/>
        </w:rPr>
      </w:pPr>
      <w:bookmarkStart w:id="23" w:name="_Toc229618769"/>
      <w:r w:rsidRPr="00664D0A">
        <w:rPr>
          <w:rFonts w:eastAsiaTheme="minorBidi"/>
        </w:rPr>
        <w:t>3/ Critères de diagnostic du diabète de type 2 :</w:t>
      </w:r>
      <w:bookmarkEnd w:id="23"/>
    </w:p>
    <w:p w14:paraId="1FF1011A" w14:textId="59A1483D" w:rsidR="00664D0A" w:rsidRPr="00664D0A" w:rsidRDefault="00664D0A" w:rsidP="00B139C3">
      <w:pPr>
        <w:rPr>
          <w:rFonts w:eastAsiaTheme="minorBidi"/>
          <w:color w:val="000000"/>
          <w:lang w:val="fr-FR"/>
        </w:rPr>
      </w:pPr>
      <w:r w:rsidRPr="00664D0A">
        <w:rPr>
          <w:rFonts w:eastAsiaTheme="minorBidi"/>
          <w:color w:val="000000"/>
          <w:lang w:val="fr-FR"/>
        </w:rPr>
        <w:t xml:space="preserve"> Le diagnostic du diabète de type 2 repose sur la combinaison de données cliniques et biologiques. L’examen clinique permet d’identifier des signes évocateurs (polyurie, polydipsie, amaigrissement), des facteurs de risque (obésité abdominale, hypertension, antécédents familiaux) ainsi que d’éventuelles complications. Toutefois, la confirmation du diagnostic repose principalement sur les critères biologiques, selon les recommandations internationales de l’American Diabetes Association (ADA, 2024)</w:t>
      </w:r>
      <w:r w:rsidR="006529E5">
        <w:rPr>
          <w:rFonts w:eastAsiaTheme="minorBidi"/>
          <w:color w:val="000000"/>
          <w:lang w:val="fr-FR"/>
        </w:rPr>
        <w:fldChar w:fldCharType="begin"/>
      </w:r>
      <w:r w:rsidR="006529E5">
        <w:rPr>
          <w:rFonts w:eastAsiaTheme="minorBidi"/>
          <w:color w:val="000000"/>
          <w:lang w:val="fr-FR"/>
        </w:rPr>
        <w:instrText xml:space="preserve"> ADDIN ZOTERO_TEMP </w:instrText>
      </w:r>
      <w:r w:rsidR="006529E5">
        <w:rPr>
          <w:rFonts w:eastAsiaTheme="minorBidi"/>
          <w:color w:val="000000"/>
          <w:lang w:val="fr-FR"/>
        </w:rPr>
        <w:fldChar w:fldCharType="separate"/>
      </w:r>
      <w:r w:rsidR="006529E5">
        <w:rPr>
          <w:rFonts w:eastAsiaTheme="minorBidi"/>
          <w:color w:val="000000"/>
          <w:lang w:val="fr-FR"/>
        </w:rPr>
        <w:t>{Citation}</w:t>
      </w:r>
      <w:r w:rsidR="006529E5">
        <w:rPr>
          <w:rFonts w:eastAsiaTheme="minorBidi"/>
          <w:color w:val="000000"/>
          <w:lang w:val="fr-FR"/>
        </w:rPr>
        <w:fldChar w:fldCharType="end"/>
      </w:r>
      <w:r w:rsidRPr="00664D0A">
        <w:rPr>
          <w:rFonts w:eastAsiaTheme="minorBidi"/>
          <w:color w:val="000000"/>
          <w:lang w:val="fr-FR"/>
        </w:rPr>
        <w:t xml:space="preserve"> et de l’Organisation mondiale de la Santé (OMS, 2023).</w:t>
      </w:r>
      <w:r w:rsidR="006529E5">
        <w:rPr>
          <w:rFonts w:eastAsiaTheme="minorBidi"/>
          <w:color w:val="000000"/>
          <w:lang w:val="fr-FR"/>
        </w:rPr>
        <w:fldChar w:fldCharType="begin"/>
      </w:r>
      <w:r w:rsidR="00116A61">
        <w:rPr>
          <w:rFonts w:eastAsiaTheme="minorBidi"/>
          <w:color w:val="000000"/>
          <w:lang w:val="fr-FR"/>
        </w:rPr>
        <w:instrText xml:space="preserve"> ADDIN ZOTERO_ITEM CSL_CITATION {"citationID":"YAmDNJkN","properties":{"unsorted":false,"formattedCitation":"(12,13)","plainCitation":"(12,13)","noteIndex":0},"citationItems":[{"id":"6VBx8p83/usUcOvkn","uris":["http://zotero.org/users/local/xPnoPzR4/items/KJ7V32RA"],"itemData":{"id":282,"type":"webpage","abstract":"Diabetes","language":"en","title":"Diabetes","URL":"https://www.who.int/health-topics/diabetes","accessed":{"date-parts":[["2026",5,13]]}}},{"id":"6VBx8p83/1705kXKh","uris":["http://zotero.org/users/local/xPnoPzR4/items/UGTQFWM9"],"itemData":{"id":280,"type":"article-journal","container-title":"Diabetes Care","DOI":"10.2337/dc24-SINT","ISSN":"0149-5992","issue":"Supplement_1","language":"en","page":"S1-S4","source":"DOI.org (Crossref)","title":"Introduction and Methodology: &lt;i&gt;Standards of Care in Diabetes—2024&lt;/i&gt;","title-short":"Introduction and Methodology","volume":"47","author":[{"literal":"American Diabetes Association Professional Practice Committee"},{"family":"ElSayed","given":"Nuha A."},{"family":"Aleppo","given":"Grazia"},{"family":"Bannuru","given":"Raveendhara R."},{"family":"Beverly","given":"Elizabeth A."},{"family":"Bruemmer","given":"Dennis"},{"family":"Collins","given":"Billy S."},{"family":"Cusi","given":"Kenneth"},{"family":"Darville","given":"Audrey"},{"family":"Das","given":"Sandeep R."},{"family":"Ekhlaspour","given":"Laya"},{"family":"Fleming","given":"Talya K."},{"family":"Gaglia","given":"Jason L."},{"family":"Galindo","given":"Rodolfo J."},{"family":"Gibbons","given":"Christopher H."},{"family":"Giurini","given":"John M."},{"family":"Hassanein","given":"Mohamed"},{"family":"Hilliard","given":"Marisa E."},{"family":"Johnson","given":"Eric L."},{"family":"Khunti","given":"Kamlesh"},{"family":"Kosiborod","given":"Mikhail N."},{"family":"Kushner","given":"Robert F."},{"family":"Lingvay","given":"Ildiko"},{"family":"Matfin","given":"Glenn"},{"family":"McCoy","given":"Rozalina G."},{"family":"Murdock","given":"Lisa"},{"family":"Napoli","given":"Nicola"},{"family":"Perry","given":"Mary Lou"},{"family":"Pilla","given":"Scott J."},{"family":"Polsky","given":"Sarit"},{"family":"Prahalad","given":"Priya"},{"family":"Pratley","given":"Richard E."},{"family":"Segal","given":"Alissa R."},{"family":"Seley","given":"Jane Jeffrie"},{"family":"Selvin","given":"Elizabeth"},{"family":"Silva","given":"Paolo S."},{"family":"Stanton","given":"Robert C."},{"family":"Verduzco-Gutierrez","given":"Monica"},{"family":"Woodward","given":"Crystal C."},{"family":"Younossi","given":"Zobair M."},{"family":"Gabbay","given":"Robert A."}],"issued":{"date-parts":[["2024",1,1]]}}}],"schema":"https://github.com/citation-style-language/schema/raw/master/csl-citation.json"} </w:instrText>
      </w:r>
      <w:r w:rsidR="006529E5">
        <w:rPr>
          <w:rFonts w:eastAsiaTheme="minorBidi"/>
          <w:color w:val="000000"/>
          <w:lang w:val="fr-FR"/>
        </w:rPr>
        <w:fldChar w:fldCharType="separate"/>
      </w:r>
      <w:r w:rsidR="006529E5" w:rsidRPr="006529E5">
        <w:rPr>
          <w:rFonts w:ascii="Calibri" w:hAnsi="Calibri"/>
          <w:lang w:val="fr-FR"/>
        </w:rPr>
        <w:t>(12,13)</w:t>
      </w:r>
      <w:r w:rsidR="006529E5">
        <w:rPr>
          <w:rFonts w:eastAsiaTheme="minorBidi"/>
          <w:color w:val="000000"/>
          <w:lang w:val="fr-FR"/>
        </w:rPr>
        <w:fldChar w:fldCharType="end"/>
      </w:r>
    </w:p>
    <w:p w14:paraId="2B9B03EB" w14:textId="53386CF2" w:rsidR="00664D0A" w:rsidRPr="00664D0A" w:rsidRDefault="00664D0A" w:rsidP="00FC4A34">
      <w:pPr>
        <w:rPr>
          <w:rFonts w:eastAsiaTheme="minorBidi"/>
          <w:color w:val="000000"/>
          <w:lang w:val="fr-FR"/>
        </w:rPr>
      </w:pPr>
      <w:r w:rsidRPr="00664D0A">
        <w:rPr>
          <w:rFonts w:eastAsiaTheme="minorBidi"/>
          <w:color w:val="000000"/>
          <w:lang w:val="fr-FR"/>
        </w:rPr>
        <w:t>Cette approche combinée permet de détecter précocement le diabète et d’orienter le choix thérapeutique, tout en assurant une meilleure prévention des comp</w:t>
      </w:r>
      <w:r w:rsidR="00FC4A34">
        <w:rPr>
          <w:rFonts w:eastAsiaTheme="minorBidi"/>
          <w:color w:val="000000"/>
          <w:lang w:val="fr-FR"/>
        </w:rPr>
        <w:t>lications à long terme.</w:t>
      </w:r>
    </w:p>
    <w:p w14:paraId="4FEA7754" w14:textId="5F93A992" w:rsidR="00FC4A34" w:rsidRDefault="00903A96" w:rsidP="00FC4A34">
      <w:pPr>
        <w:rPr>
          <w:rFonts w:eastAsiaTheme="minorBidi"/>
          <w:color w:val="000000"/>
          <w:lang w:val="fr-FR"/>
        </w:rPr>
      </w:pPr>
      <w:r w:rsidRPr="00664D0A">
        <w:rPr>
          <w:rFonts w:eastAsiaTheme="minorBidi"/>
          <w:color w:val="000000"/>
          <w:lang w:val="fr-FR"/>
        </w:rPr>
        <w:t>Le tableau ci-dessous résume et défi</w:t>
      </w:r>
      <w:r>
        <w:rPr>
          <w:rFonts w:eastAsiaTheme="minorBidi"/>
          <w:color w:val="000000"/>
          <w:lang w:val="fr-FR"/>
        </w:rPr>
        <w:t>nit le diabète biologiquement :</w:t>
      </w:r>
    </w:p>
    <w:p w14:paraId="664C7E14" w14:textId="7B7F896B" w:rsidR="00FC4A34" w:rsidRDefault="00FC4A34" w:rsidP="00FC4A34">
      <w:pPr>
        <w:pStyle w:val="Caption"/>
        <w:keepNext/>
      </w:pPr>
      <w:bookmarkStart w:id="24" w:name="_Toc229617362"/>
      <w:r>
        <w:t xml:space="preserve">Tableau </w:t>
      </w:r>
      <w:r>
        <w:fldChar w:fldCharType="begin"/>
      </w:r>
      <w:r>
        <w:instrText xml:space="preserve"> SEQ Tableau \* ARABIC </w:instrText>
      </w:r>
      <w:r>
        <w:fldChar w:fldCharType="separate"/>
      </w:r>
      <w:r w:rsidR="00983108">
        <w:rPr>
          <w:noProof/>
        </w:rPr>
        <w:t>1</w:t>
      </w:r>
      <w:r>
        <w:fldChar w:fldCharType="end"/>
      </w:r>
      <w:r>
        <w:t xml:space="preserve"> les critères de diagnostique de diabète type 2</w:t>
      </w:r>
      <w:bookmarkEnd w:id="24"/>
    </w:p>
    <w:tbl>
      <w:tblPr>
        <w:tblStyle w:val="PlainTable1"/>
        <w:tblpPr w:leftFromText="187" w:rightFromText="187" w:vertAnchor="page" w:horzAnchor="margin" w:tblpY="9765"/>
        <w:tblOverlap w:val="never"/>
        <w:tblW w:w="9605" w:type="dxa"/>
        <w:tblLook w:val="04A0" w:firstRow="1" w:lastRow="0" w:firstColumn="1" w:lastColumn="0" w:noHBand="0" w:noVBand="1"/>
      </w:tblPr>
      <w:tblGrid>
        <w:gridCol w:w="2335"/>
        <w:gridCol w:w="7270"/>
      </w:tblGrid>
      <w:tr w:rsidR="00FC4A34" w:rsidRPr="00116A61" w14:paraId="0944E1B1" w14:textId="77777777" w:rsidTr="00FC4A34">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2335" w:type="dxa"/>
          </w:tcPr>
          <w:p w14:paraId="204AFD21" w14:textId="77777777" w:rsidR="00FC4A34" w:rsidRPr="00FC4A34" w:rsidRDefault="00FC4A34" w:rsidP="00FC4A34">
            <w:pPr>
              <w:spacing w:after="160" w:line="259" w:lineRule="auto"/>
              <w:rPr>
                <w:color w:val="000000"/>
                <w:sz w:val="20"/>
                <w:szCs w:val="18"/>
              </w:rPr>
            </w:pPr>
            <w:r w:rsidRPr="00FC4A34">
              <w:rPr>
                <w:color w:val="000000"/>
                <w:sz w:val="20"/>
                <w:szCs w:val="18"/>
              </w:rPr>
              <w:t>Test biologique et seuildiagnostique</w:t>
            </w:r>
          </w:p>
        </w:tc>
        <w:tc>
          <w:tcPr>
            <w:tcW w:w="7270" w:type="dxa"/>
          </w:tcPr>
          <w:p w14:paraId="77DD8BB0" w14:textId="77777777" w:rsidR="00FC4A34" w:rsidRPr="00FC4A34" w:rsidRDefault="00FC4A34" w:rsidP="00FC4A34">
            <w:pPr>
              <w:spacing w:after="160" w:line="259" w:lineRule="auto"/>
              <w:cnfStyle w:val="100000000000" w:firstRow="1" w:lastRow="0" w:firstColumn="0" w:lastColumn="0" w:oddVBand="0" w:evenVBand="0" w:oddHBand="0" w:evenHBand="0" w:firstRowFirstColumn="0" w:firstRowLastColumn="0" w:lastRowFirstColumn="0" w:lastRowLastColumn="0"/>
              <w:rPr>
                <w:color w:val="000000"/>
                <w:sz w:val="20"/>
                <w:szCs w:val="18"/>
              </w:rPr>
            </w:pPr>
            <w:proofErr w:type="gramStart"/>
            <w:r w:rsidRPr="00FC4A34">
              <w:rPr>
                <w:color w:val="000000"/>
                <w:sz w:val="20"/>
                <w:szCs w:val="18"/>
              </w:rPr>
              <w:t>conditions</w:t>
            </w:r>
            <w:proofErr w:type="gramEnd"/>
          </w:p>
        </w:tc>
      </w:tr>
      <w:tr w:rsidR="00FC4A34" w:rsidRPr="00116A61" w14:paraId="227EE1D7" w14:textId="77777777" w:rsidTr="00FC4A34">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2335" w:type="dxa"/>
          </w:tcPr>
          <w:p w14:paraId="3292F56E" w14:textId="77777777" w:rsidR="00FC4A34" w:rsidRPr="00FC4A34" w:rsidRDefault="00FC4A34" w:rsidP="00FC4A34">
            <w:pPr>
              <w:spacing w:after="160" w:line="259" w:lineRule="auto"/>
              <w:rPr>
                <w:rFonts w:eastAsiaTheme="minorBidi"/>
                <w:color w:val="000000"/>
                <w:sz w:val="20"/>
                <w:szCs w:val="18"/>
              </w:rPr>
            </w:pPr>
            <w:r w:rsidRPr="00FC4A34">
              <w:rPr>
                <w:rFonts w:eastAsiaTheme="minorBidi"/>
                <w:color w:val="000000"/>
                <w:sz w:val="20"/>
                <w:szCs w:val="18"/>
              </w:rPr>
              <w:t>Glycémie à jeun ≥1.26 g/l (7 mmol/l)</w:t>
            </w:r>
          </w:p>
        </w:tc>
        <w:tc>
          <w:tcPr>
            <w:tcW w:w="7270" w:type="dxa"/>
          </w:tcPr>
          <w:p w14:paraId="4ADE444B" w14:textId="77777777" w:rsidR="00FC4A34" w:rsidRPr="00FC4A34" w:rsidRDefault="00FC4A34" w:rsidP="00FC4A34">
            <w:pPr>
              <w:spacing w:after="160" w:line="259" w:lineRule="auto"/>
              <w:cnfStyle w:val="000000100000" w:firstRow="0" w:lastRow="0" w:firstColumn="0" w:lastColumn="0" w:oddVBand="0" w:evenVBand="0" w:oddHBand="1" w:evenHBand="0" w:firstRowFirstColumn="0" w:firstRowLastColumn="0" w:lastRowFirstColumn="0" w:lastRowLastColumn="0"/>
              <w:rPr>
                <w:color w:val="000000"/>
                <w:sz w:val="20"/>
                <w:szCs w:val="18"/>
              </w:rPr>
            </w:pPr>
            <w:r w:rsidRPr="00FC4A34">
              <w:rPr>
                <w:rFonts w:eastAsiaTheme="minorBidi"/>
                <w:color w:val="000000"/>
                <w:sz w:val="20"/>
                <w:szCs w:val="18"/>
              </w:rPr>
              <w:t>Après jeûne ≥8 h, à confirmer à 2 reprises</w:t>
            </w:r>
          </w:p>
          <w:p w14:paraId="4BEEC816" w14:textId="77777777" w:rsidR="00FC4A34" w:rsidRPr="00FC4A34" w:rsidRDefault="00FC4A34" w:rsidP="00FC4A34">
            <w:pPr>
              <w:spacing w:after="160" w:line="259" w:lineRule="auto"/>
              <w:cnfStyle w:val="000000100000" w:firstRow="0" w:lastRow="0" w:firstColumn="0" w:lastColumn="0" w:oddVBand="0" w:evenVBand="0" w:oddHBand="1" w:evenHBand="0" w:firstRowFirstColumn="0" w:firstRowLastColumn="0" w:lastRowFirstColumn="0" w:lastRowLastColumn="0"/>
              <w:rPr>
                <w:rFonts w:eastAsiaTheme="minorBidi"/>
                <w:color w:val="000000"/>
                <w:sz w:val="20"/>
                <w:szCs w:val="18"/>
              </w:rPr>
            </w:pPr>
          </w:p>
        </w:tc>
      </w:tr>
      <w:tr w:rsidR="00FC4A34" w:rsidRPr="00116A61" w14:paraId="6A56B737" w14:textId="77777777" w:rsidTr="00FC4A34">
        <w:trPr>
          <w:trHeight w:val="865"/>
        </w:trPr>
        <w:tc>
          <w:tcPr>
            <w:cnfStyle w:val="001000000000" w:firstRow="0" w:lastRow="0" w:firstColumn="1" w:lastColumn="0" w:oddVBand="0" w:evenVBand="0" w:oddHBand="0" w:evenHBand="0" w:firstRowFirstColumn="0" w:firstRowLastColumn="0" w:lastRowFirstColumn="0" w:lastRowLastColumn="0"/>
            <w:tcW w:w="2335" w:type="dxa"/>
          </w:tcPr>
          <w:p w14:paraId="78AAB385" w14:textId="77777777" w:rsidR="00FC4A34" w:rsidRPr="00FC4A34" w:rsidRDefault="00FC4A34" w:rsidP="00FC4A34">
            <w:pPr>
              <w:spacing w:after="160" w:line="259" w:lineRule="auto"/>
              <w:rPr>
                <w:rFonts w:eastAsiaTheme="minorBidi"/>
                <w:color w:val="000000"/>
                <w:sz w:val="20"/>
                <w:szCs w:val="18"/>
              </w:rPr>
            </w:pPr>
            <w:r w:rsidRPr="00FC4A34">
              <w:rPr>
                <w:rFonts w:eastAsiaTheme="minorBidi"/>
                <w:color w:val="000000"/>
                <w:sz w:val="20"/>
                <w:szCs w:val="18"/>
              </w:rPr>
              <w:t>Glycémiepostprandiale / aléatoire</w:t>
            </w:r>
          </w:p>
          <w:p w14:paraId="47B5DAEB" w14:textId="77777777" w:rsidR="00FC4A34" w:rsidRPr="00FC4A34" w:rsidRDefault="00FC4A34" w:rsidP="00FC4A34">
            <w:pPr>
              <w:spacing w:after="160" w:line="259" w:lineRule="auto"/>
              <w:rPr>
                <w:rFonts w:eastAsiaTheme="minorBidi"/>
                <w:color w:val="000000"/>
                <w:sz w:val="20"/>
                <w:szCs w:val="18"/>
              </w:rPr>
            </w:pPr>
            <w:r w:rsidRPr="00FC4A34">
              <w:rPr>
                <w:rFonts w:eastAsiaTheme="minorBidi"/>
                <w:color w:val="000000"/>
                <w:sz w:val="20"/>
                <w:szCs w:val="18"/>
              </w:rPr>
              <w:t>≥2,0 g/L (11 mmol/L)</w:t>
            </w:r>
          </w:p>
        </w:tc>
        <w:tc>
          <w:tcPr>
            <w:tcW w:w="7270" w:type="dxa"/>
          </w:tcPr>
          <w:p w14:paraId="269C4EE7" w14:textId="77777777" w:rsidR="00FC4A34" w:rsidRPr="00FC4A34" w:rsidRDefault="00FC4A34" w:rsidP="00FC4A34">
            <w:pPr>
              <w:spacing w:after="160" w:line="259" w:lineRule="auto"/>
              <w:cnfStyle w:val="000000000000" w:firstRow="0" w:lastRow="0" w:firstColumn="0" w:lastColumn="0" w:oddVBand="0" w:evenVBand="0" w:oddHBand="0" w:evenHBand="0" w:firstRowFirstColumn="0" w:firstRowLastColumn="0" w:lastRowFirstColumn="0" w:lastRowLastColumn="0"/>
              <w:rPr>
                <w:color w:val="000000"/>
                <w:sz w:val="20"/>
                <w:szCs w:val="18"/>
              </w:rPr>
            </w:pPr>
            <w:r w:rsidRPr="00FC4A34">
              <w:rPr>
                <w:rFonts w:eastAsiaTheme="minorBidi"/>
                <w:color w:val="000000"/>
                <w:sz w:val="20"/>
                <w:szCs w:val="18"/>
              </w:rPr>
              <w:t>Avec symptômesclassiquesd’hyperglycemie (polyurie, polydipsie, amaigrissement)</w:t>
            </w:r>
          </w:p>
          <w:p w14:paraId="558BAC1D" w14:textId="77777777" w:rsidR="00FC4A34" w:rsidRPr="00FC4A34" w:rsidRDefault="00FC4A34" w:rsidP="00FC4A34">
            <w:pPr>
              <w:spacing w:after="160" w:line="259" w:lineRule="auto"/>
              <w:cnfStyle w:val="000000000000" w:firstRow="0" w:lastRow="0" w:firstColumn="0" w:lastColumn="0" w:oddVBand="0" w:evenVBand="0" w:oddHBand="0" w:evenHBand="0" w:firstRowFirstColumn="0" w:firstRowLastColumn="0" w:lastRowFirstColumn="0" w:lastRowLastColumn="0"/>
              <w:rPr>
                <w:rFonts w:eastAsiaTheme="minorBidi"/>
                <w:color w:val="000000"/>
                <w:sz w:val="20"/>
                <w:szCs w:val="18"/>
              </w:rPr>
            </w:pPr>
          </w:p>
        </w:tc>
      </w:tr>
      <w:tr w:rsidR="00FC4A34" w:rsidRPr="00116A61" w14:paraId="5B64909D" w14:textId="77777777" w:rsidTr="00FC4A34">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2335" w:type="dxa"/>
          </w:tcPr>
          <w:p w14:paraId="1BBF9B4A" w14:textId="77777777" w:rsidR="00FC4A34" w:rsidRPr="00FC4A34" w:rsidRDefault="00FC4A34" w:rsidP="00FC4A34">
            <w:pPr>
              <w:spacing w:after="160" w:line="259" w:lineRule="auto"/>
              <w:rPr>
                <w:color w:val="000000"/>
                <w:sz w:val="20"/>
                <w:szCs w:val="18"/>
              </w:rPr>
            </w:pPr>
            <w:r w:rsidRPr="00FC4A34">
              <w:rPr>
                <w:rFonts w:eastAsiaTheme="minorBidi"/>
                <w:color w:val="000000"/>
                <w:sz w:val="20"/>
                <w:szCs w:val="18"/>
              </w:rPr>
              <w:t>Glycémiecapillaire&gt;2 g/l après un test HGPO</w:t>
            </w:r>
          </w:p>
          <w:p w14:paraId="20B52559" w14:textId="77777777" w:rsidR="00FC4A34" w:rsidRPr="00FC4A34" w:rsidRDefault="00FC4A34" w:rsidP="00FC4A34">
            <w:pPr>
              <w:spacing w:after="160" w:line="259" w:lineRule="auto"/>
              <w:rPr>
                <w:rFonts w:eastAsiaTheme="minorBidi"/>
                <w:color w:val="000000"/>
                <w:sz w:val="20"/>
                <w:szCs w:val="18"/>
              </w:rPr>
            </w:pPr>
          </w:p>
        </w:tc>
        <w:tc>
          <w:tcPr>
            <w:tcW w:w="7270" w:type="dxa"/>
          </w:tcPr>
          <w:p w14:paraId="60669B66" w14:textId="77777777" w:rsidR="00FC4A34" w:rsidRPr="00FC4A34" w:rsidRDefault="00FC4A34" w:rsidP="00FC4A34">
            <w:pPr>
              <w:spacing w:after="160" w:line="259" w:lineRule="auto"/>
              <w:cnfStyle w:val="000000100000" w:firstRow="0" w:lastRow="0" w:firstColumn="0" w:lastColumn="0" w:oddVBand="0" w:evenVBand="0" w:oddHBand="1" w:evenHBand="0" w:firstRowFirstColumn="0" w:firstRowLastColumn="0" w:lastRowFirstColumn="0" w:lastRowLastColumn="0"/>
              <w:rPr>
                <w:rFonts w:eastAsiaTheme="minorBidi"/>
                <w:color w:val="000000"/>
                <w:sz w:val="20"/>
                <w:szCs w:val="18"/>
              </w:rPr>
            </w:pPr>
            <w:r w:rsidRPr="00FC4A34">
              <w:rPr>
                <w:rFonts w:eastAsiaTheme="minorBidi"/>
                <w:color w:val="000000"/>
                <w:sz w:val="20"/>
                <w:szCs w:val="18"/>
              </w:rPr>
              <w:t>(</w:t>
            </w:r>
            <w:proofErr w:type="gramStart"/>
            <w:r w:rsidRPr="00FC4A34">
              <w:rPr>
                <w:rFonts w:eastAsiaTheme="minorBidi"/>
                <w:color w:val="000000"/>
                <w:sz w:val="20"/>
                <w:szCs w:val="18"/>
              </w:rPr>
              <w:t>on</w:t>
            </w:r>
            <w:proofErr w:type="gramEnd"/>
            <w:r w:rsidRPr="00FC4A34">
              <w:rPr>
                <w:rFonts w:eastAsiaTheme="minorBidi"/>
                <w:color w:val="000000"/>
                <w:sz w:val="20"/>
                <w:szCs w:val="18"/>
              </w:rPr>
              <w:t xml:space="preserve"> réaliseune première glycémieveineuseplasmatique à jeun, on donne à boireen 5 minutes environ 75g de glucose (l’équivalent de 250 cc de SGH à 30%), on attend 2h (repos, sans fumer, pas trop de stress) et on réalise une deuxième glycémie plasmatique veineuse)</w:t>
            </w:r>
          </w:p>
        </w:tc>
      </w:tr>
      <w:tr w:rsidR="00FC4A34" w:rsidRPr="00116A61" w14:paraId="7C15D034" w14:textId="77777777" w:rsidTr="00FC4A34">
        <w:trPr>
          <w:trHeight w:val="903"/>
        </w:trPr>
        <w:tc>
          <w:tcPr>
            <w:cnfStyle w:val="001000000000" w:firstRow="0" w:lastRow="0" w:firstColumn="1" w:lastColumn="0" w:oddVBand="0" w:evenVBand="0" w:oddHBand="0" w:evenHBand="0" w:firstRowFirstColumn="0" w:firstRowLastColumn="0" w:lastRowFirstColumn="0" w:lastRowLastColumn="0"/>
            <w:tcW w:w="2335" w:type="dxa"/>
          </w:tcPr>
          <w:p w14:paraId="3C0CBAD7" w14:textId="77777777" w:rsidR="00FC4A34" w:rsidRPr="00FC4A34" w:rsidRDefault="00FC4A34" w:rsidP="00FC4A34">
            <w:pPr>
              <w:spacing w:after="160" w:line="259" w:lineRule="auto"/>
              <w:rPr>
                <w:rFonts w:eastAsiaTheme="minorBidi"/>
                <w:color w:val="000000"/>
                <w:sz w:val="20"/>
                <w:szCs w:val="18"/>
              </w:rPr>
            </w:pPr>
            <w:r w:rsidRPr="00FC4A34">
              <w:rPr>
                <w:rFonts w:eastAsiaTheme="minorBidi"/>
                <w:color w:val="000000"/>
                <w:sz w:val="20"/>
                <w:szCs w:val="18"/>
              </w:rPr>
              <w:t>HbA1c ≥6.5% (48 mmol/mol)</w:t>
            </w:r>
          </w:p>
        </w:tc>
        <w:tc>
          <w:tcPr>
            <w:tcW w:w="7270" w:type="dxa"/>
          </w:tcPr>
          <w:p w14:paraId="4F68A1D9" w14:textId="77777777" w:rsidR="00FC4A34" w:rsidRPr="00FC4A34" w:rsidRDefault="00FC4A34" w:rsidP="00FC4A34">
            <w:pPr>
              <w:spacing w:after="160" w:line="259" w:lineRule="auto"/>
              <w:cnfStyle w:val="000000000000" w:firstRow="0" w:lastRow="0" w:firstColumn="0" w:lastColumn="0" w:oddVBand="0" w:evenVBand="0" w:oddHBand="0" w:evenHBand="0" w:firstRowFirstColumn="0" w:firstRowLastColumn="0" w:lastRowFirstColumn="0" w:lastRowLastColumn="0"/>
              <w:rPr>
                <w:color w:val="000000"/>
                <w:sz w:val="20"/>
                <w:szCs w:val="18"/>
              </w:rPr>
            </w:pPr>
            <w:r w:rsidRPr="00FC4A34">
              <w:rPr>
                <w:rFonts w:eastAsiaTheme="minorBidi"/>
                <w:color w:val="000000"/>
                <w:sz w:val="20"/>
                <w:szCs w:val="18"/>
              </w:rPr>
              <w:t>Ce test estnécessaire pour le suiviou pour le choixthérapeutique et doitêtreréaliséenutilisant NGSP et standardisé pour le test DCCT.</w:t>
            </w:r>
          </w:p>
        </w:tc>
      </w:tr>
    </w:tbl>
    <w:p w14:paraId="1EBF9E44" w14:textId="3F6AB9B9" w:rsidR="00FC4A34" w:rsidRPr="00FC4A34" w:rsidRDefault="00FC4A34" w:rsidP="00FC4A34">
      <w:pPr>
        <w:jc w:val="center"/>
        <w:rPr>
          <w:rFonts w:eastAsiaTheme="minorBidi"/>
          <w:color w:val="000000"/>
          <w:lang w:val="fr-FR"/>
        </w:rPr>
      </w:pPr>
      <w:r>
        <w:rPr>
          <w:rFonts w:eastAsiaTheme="minorBidi"/>
          <w:color w:val="000000"/>
          <w:lang w:val="fr-FR"/>
        </w:rPr>
        <w:br w:type="page"/>
      </w:r>
    </w:p>
    <w:p w14:paraId="2B066667" w14:textId="530916E1" w:rsidR="00664D0A" w:rsidRPr="00FC4A34" w:rsidRDefault="00664D0A" w:rsidP="00FC4A34">
      <w:pPr>
        <w:pStyle w:val="Heading1"/>
        <w:rPr>
          <w:rFonts w:eastAsiaTheme="minorBidi"/>
          <w:color w:val="000000"/>
        </w:rPr>
      </w:pPr>
      <w:bookmarkStart w:id="25" w:name="_Toc229618770"/>
      <w:r w:rsidRPr="00664D0A">
        <w:rPr>
          <w:lang w:bidi="ar-DZ"/>
        </w:rPr>
        <w:lastRenderedPageBreak/>
        <w:t>4/Les facteurs de risque :</w:t>
      </w:r>
      <w:bookmarkEnd w:id="25"/>
    </w:p>
    <w:p w14:paraId="2F934D25" w14:textId="77777777" w:rsidR="00664D0A" w:rsidRPr="00E71797" w:rsidRDefault="00664D0A" w:rsidP="00B139C3">
      <w:pPr>
        <w:rPr>
          <w:rtl/>
          <w:lang w:bidi="ar-DZ"/>
        </w:rPr>
      </w:pPr>
      <w:r w:rsidRPr="00664D0A">
        <w:rPr>
          <w:lang w:val="fr-FR" w:bidi="ar-DZ"/>
        </w:rPr>
        <w:t>Les facteurs de risque du diabète de type 2 (DT2) comprennent une combinaison complexe de facteurs génétiques, métaboliques et environnementaux qui interagissent entre eux et contribuent à sa prévalence. Bien que la prédisposition individuelle au DT2 liée aux facteurs de risque non modifiables (ethnie et antécédents familiaux/prédisposition génétique) ait une forte base génétique, les données issues des études épidémiologiques suggèrent que de nombreux cas de DT2 peuvent être prévenus en améliorant les principaux facteurs de risque modifiables (obésité, faible activité physique et régime alimentaire malsain).</w:t>
      </w:r>
    </w:p>
    <w:p w14:paraId="4103421C" w14:textId="77777777" w:rsidR="00664D0A" w:rsidRPr="00664D0A" w:rsidRDefault="00664D0A" w:rsidP="00B139C3">
      <w:pPr>
        <w:rPr>
          <w:lang w:val="fr-FR" w:bidi="ar-DZ"/>
        </w:rPr>
      </w:pPr>
      <w:r w:rsidRPr="00664D0A">
        <w:rPr>
          <w:lang w:val="fr-FR" w:bidi="ar-DZ"/>
        </w:rPr>
        <w:t xml:space="preserve">Ces facteurs peuvent être divisés en deux grands groupes : </w:t>
      </w:r>
      <w:proofErr w:type="gramStart"/>
      <w:r w:rsidRPr="00664D0A">
        <w:rPr>
          <w:lang w:val="fr-FR" w:bidi="ar-DZ"/>
        </w:rPr>
        <w:t>facteurs non modifiable</w:t>
      </w:r>
      <w:proofErr w:type="gramEnd"/>
      <w:r w:rsidRPr="00664D0A">
        <w:rPr>
          <w:lang w:val="fr-FR" w:bidi="ar-DZ"/>
        </w:rPr>
        <w:t xml:space="preserve"> et facteurs modifiables </w:t>
      </w:r>
    </w:p>
    <w:p w14:paraId="350BF275" w14:textId="77777777" w:rsidR="00664D0A" w:rsidRPr="00664D0A" w:rsidRDefault="00664D0A" w:rsidP="00FC4A34">
      <w:pPr>
        <w:pStyle w:val="Heading2"/>
        <w:rPr>
          <w:lang w:bidi="ar-DZ"/>
        </w:rPr>
      </w:pPr>
      <w:bookmarkStart w:id="26" w:name="_Toc229618771"/>
      <w:r w:rsidRPr="00664D0A">
        <w:rPr>
          <w:lang w:bidi="ar-DZ"/>
        </w:rPr>
        <w:t xml:space="preserve">4-1/ les facteurs non </w:t>
      </w:r>
      <w:proofErr w:type="gramStart"/>
      <w:r w:rsidRPr="00664D0A">
        <w:rPr>
          <w:lang w:bidi="ar-DZ"/>
        </w:rPr>
        <w:t>modifiables:</w:t>
      </w:r>
      <w:bookmarkEnd w:id="26"/>
      <w:proofErr w:type="gramEnd"/>
    </w:p>
    <w:p w14:paraId="26613485" w14:textId="77777777" w:rsidR="00664D0A" w:rsidRPr="00664D0A" w:rsidRDefault="00664D0A" w:rsidP="00FC4A34">
      <w:pPr>
        <w:pStyle w:val="Heading3"/>
        <w:rPr>
          <w:lang w:bidi="ar-DZ"/>
        </w:rPr>
      </w:pPr>
      <w:r w:rsidRPr="00664D0A">
        <w:rPr>
          <w:lang w:bidi="ar-DZ"/>
        </w:rPr>
        <w:t>4-1-1/ l'âge et le sexe :</w:t>
      </w:r>
    </w:p>
    <w:p w14:paraId="7A2886C3" w14:textId="48738702" w:rsidR="00664D0A" w:rsidRPr="00664D0A" w:rsidRDefault="00664D0A" w:rsidP="00B139C3">
      <w:pPr>
        <w:rPr>
          <w:lang w:val="fr-FR"/>
        </w:rPr>
      </w:pPr>
      <w:r w:rsidRPr="00664D0A">
        <w:rPr>
          <w:lang w:val="fr-FR"/>
        </w:rPr>
        <w:t>Avec le vieillissement, le risque de développer un diabète de type 2 augmente ; du fait à la fois d’une augmentation de la résistance à l'insuline et d’une réduction de la sécrétion d’insuline</w:t>
      </w:r>
      <w:r w:rsidRPr="00E71797">
        <w:fldChar w:fldCharType="begin"/>
      </w:r>
      <w:r w:rsidR="00116A61">
        <w:rPr>
          <w:lang w:val="fr-FR"/>
        </w:rPr>
        <w:instrText xml:space="preserve"> ADDIN ZOTERO_ITEM CSL_CITATION {"citationID":"BJJn3MfB","properties":{"formattedCitation":"(14)","plainCitation":"(14)","noteIndex":0},"citationItems":[{"id":"6VBx8p83/lhlbezHD","uris":["http://zotero.org/users/local/QE2koe11/items/AC9RHBP9"],"itemData":{"id":19,"type":"document","title":"45-2014"}}],"schema":"https://github.com/citation-style-language/schema/raw/master/csl-citation.json"} </w:instrText>
      </w:r>
      <w:r w:rsidRPr="00E71797">
        <w:fldChar w:fldCharType="separate"/>
      </w:r>
      <w:r w:rsidR="006529E5" w:rsidRPr="006529E5">
        <w:rPr>
          <w:rFonts w:ascii="Calibri" w:hAnsi="Calibri"/>
          <w:lang w:val="fr-FR"/>
        </w:rPr>
        <w:t>(14)</w:t>
      </w:r>
      <w:r w:rsidRPr="00E71797">
        <w:fldChar w:fldCharType="end"/>
      </w:r>
    </w:p>
    <w:p w14:paraId="7FC6ECBC" w14:textId="679712EB" w:rsidR="00664D0A" w:rsidRPr="00664D0A" w:rsidRDefault="00664D0A" w:rsidP="00B139C3">
      <w:pPr>
        <w:rPr>
          <w:lang w:val="fr-FR"/>
        </w:rPr>
      </w:pPr>
      <w:r w:rsidRPr="00664D0A">
        <w:rPr>
          <w:lang w:val="fr-FR"/>
        </w:rPr>
        <w:t>Les grandes causes de l'insulinorésistance chez les sujets ages : sarcopénie, diminution de l’activité physique, augmentation de l’adiposité viscérale, augmentation de la masse grasse, diminution de l’action de l’insuline au niveau musculaire, et présence de stress physiologique (Exemple : sepsis)</w:t>
      </w:r>
      <w:r w:rsidRPr="00E71797">
        <w:fldChar w:fldCharType="begin"/>
      </w:r>
      <w:r w:rsidR="00116A61">
        <w:rPr>
          <w:lang w:val="fr-FR"/>
        </w:rPr>
        <w:instrText xml:space="preserve"> ADDIN ZOTERO_ITEM CSL_CITATION {"citationID":"jvA2cABS","properties":{"formattedCitation":"(15)","plainCitation":"(15)","noteIndex":0},"citationItems":[{"id":"6VBx8p83/8W5VSfRJ","uris":["http://zotero.org/users/local/QE2koe11/items/TPDNZ6V3"],"itemData":{"id":75,"type":"document","title":"Fiche-pratique-Diabete"}}],"schema":"https://github.com/citation-style-language/schema/raw/master/csl-citation.json"} </w:instrText>
      </w:r>
      <w:r w:rsidRPr="00E71797">
        <w:fldChar w:fldCharType="separate"/>
      </w:r>
      <w:r w:rsidR="006529E5" w:rsidRPr="006529E5">
        <w:rPr>
          <w:rFonts w:ascii="Calibri" w:hAnsi="Calibri"/>
          <w:lang w:val="fr-FR"/>
        </w:rPr>
        <w:t>(15)</w:t>
      </w:r>
      <w:r w:rsidRPr="00E71797">
        <w:fldChar w:fldCharType="end"/>
      </w:r>
    </w:p>
    <w:p w14:paraId="0D74D8EB" w14:textId="6425C441" w:rsidR="00664D0A" w:rsidRPr="00664D0A" w:rsidRDefault="00664D0A" w:rsidP="00B139C3">
      <w:pPr>
        <w:rPr>
          <w:rStyle w:val="Strong"/>
          <w:rFonts w:cstheme="majorBidi"/>
          <w:b w:val="0"/>
          <w:bCs w:val="0"/>
          <w:szCs w:val="24"/>
          <w:lang w:val="fr-FR"/>
        </w:rPr>
      </w:pPr>
      <w:r w:rsidRPr="00664D0A">
        <w:rPr>
          <w:lang w:val="fr-FR"/>
        </w:rPr>
        <w:t>En 2025, les données mondiales montrent que le diabète de type 2 touche légèrement plus d’hommes que de femmes, avec un sexe-ratio estimé autour de 1,1 à 1,2 hommes pour 1 femme.</w:t>
      </w:r>
      <w:r w:rsidRPr="00664D0A">
        <w:rPr>
          <w:rStyle w:val="Strong"/>
          <w:rFonts w:cstheme="majorBidi"/>
          <w:b w:val="0"/>
          <w:bCs w:val="0"/>
          <w:szCs w:val="24"/>
          <w:lang w:val="fr-FR"/>
        </w:rPr>
        <w:t>En 2025, les données mondiales montrent que le diabète de type 2 touche légèrement plus d’hommes que de femmes, avec un sexe ratio estimé autour de 1,1 à 1,2 homme pour 1 femme.</w:t>
      </w:r>
      <w:r w:rsidRPr="00E71797">
        <w:rPr>
          <w:rStyle w:val="Strong"/>
          <w:rFonts w:cstheme="majorBidi"/>
          <w:b w:val="0"/>
          <w:bCs w:val="0"/>
          <w:szCs w:val="24"/>
        </w:rPr>
        <w:fldChar w:fldCharType="begin"/>
      </w:r>
      <w:r w:rsidR="00116A61">
        <w:rPr>
          <w:rStyle w:val="Strong"/>
          <w:rFonts w:cstheme="majorBidi"/>
          <w:b w:val="0"/>
          <w:bCs w:val="0"/>
          <w:szCs w:val="24"/>
          <w:lang w:val="fr-FR"/>
        </w:rPr>
        <w:instrText xml:space="preserve"> ADDIN ZOTERO_ITEM CSL_CITATION {"citationID":"dzb4X9Sv","properties":{"formattedCitation":"(16)","plainCitation":"(16)","noteIndex":0},"citationItems":[{"id":"6VBx8p83/qfVQrkjq","uris":["http://zotero.org/users/local/QE2koe11/items/A59APA58"],"itemData":{"id":76,"type":"post-weblog","abstract":"Explorez l'Atlas du diabète 2025 de la FID pour connaître les dernières statistiques, tendances et projections mondiales sur le diabète afin d'éclairer les politiques, le plaidoyer et les stratégies de santé.","container-title":"Atlas du diabète","language":"fr","title":"Atlas du diabète de la FID 2025","URL":"https://diabetesatlas.org/fr/resources/idf-diabetes-atlas-2025/","accessed":{"date-parts":[["2026",1,11]]}}}],"schema":"https://github.com/citation-style-language/schema/raw/master/csl-citation.json"} </w:instrText>
      </w:r>
      <w:r w:rsidRPr="00E71797">
        <w:rPr>
          <w:rStyle w:val="Strong"/>
          <w:rFonts w:cstheme="majorBidi"/>
          <w:b w:val="0"/>
          <w:bCs w:val="0"/>
          <w:szCs w:val="24"/>
        </w:rPr>
        <w:fldChar w:fldCharType="separate"/>
      </w:r>
      <w:r w:rsidR="006529E5" w:rsidRPr="006529E5">
        <w:rPr>
          <w:rFonts w:ascii="Calibri" w:hAnsi="Calibri"/>
          <w:lang w:val="fr-FR"/>
        </w:rPr>
        <w:t>(16)</w:t>
      </w:r>
      <w:r w:rsidRPr="00E71797">
        <w:rPr>
          <w:rStyle w:val="Strong"/>
          <w:rFonts w:cstheme="majorBidi"/>
          <w:b w:val="0"/>
          <w:bCs w:val="0"/>
          <w:szCs w:val="24"/>
        </w:rPr>
        <w:fldChar w:fldCharType="end"/>
      </w:r>
    </w:p>
    <w:p w14:paraId="56B26325" w14:textId="77777777" w:rsidR="00664D0A" w:rsidRPr="00664D0A" w:rsidRDefault="00664D0A" w:rsidP="00FC4A34">
      <w:pPr>
        <w:pStyle w:val="Heading3"/>
      </w:pPr>
      <w:r w:rsidRPr="00664D0A">
        <w:t xml:space="preserve">4-1-2/facteurs </w:t>
      </w:r>
      <w:proofErr w:type="gramStart"/>
      <w:r w:rsidRPr="00664D0A">
        <w:t>génétique:</w:t>
      </w:r>
      <w:proofErr w:type="gramEnd"/>
    </w:p>
    <w:p w14:paraId="14926FFD" w14:textId="77777777" w:rsidR="00664D0A" w:rsidRPr="00664D0A" w:rsidRDefault="00664D0A" w:rsidP="00B139C3">
      <w:pPr>
        <w:rPr>
          <w:lang w:val="fr-FR"/>
        </w:rPr>
      </w:pPr>
      <w:r w:rsidRPr="00664D0A">
        <w:rPr>
          <w:lang w:val="fr-FR"/>
        </w:rPr>
        <w:t>Le diabète de type 2 est fortement influencé par la génétique : on estime que l’hérédité représente environ 60 % du risque, tandis que l’environnement (alimentation, sédentarité, obésité) compte pour 40 %.</w:t>
      </w:r>
    </w:p>
    <w:p w14:paraId="50DF05D1" w14:textId="77777777" w:rsidR="00664D0A" w:rsidRPr="00664D0A" w:rsidRDefault="00664D0A" w:rsidP="00B139C3">
      <w:pPr>
        <w:rPr>
          <w:lang w:val="fr-FR"/>
        </w:rPr>
      </w:pPr>
      <w:r w:rsidRPr="00664D0A">
        <w:rPr>
          <w:lang w:val="fr-FR"/>
        </w:rPr>
        <w:t>Il existe une forte prédisposition génétique au DT2. La fréquence d’apparition du diabète de type 2 dans la population générale est de 2 à 4 %, mais elle augmente considérablement s’il y a des diabétiques dans la famille. Elle peut atteindre 30 à 60 % si les deux parents sont diabétiques et jusqu’à 90 % chez des jumeaux homozygotes. Le mode de transmission reste inconnu, mais il y a une forte influence génétique. Il s'agit probablement d'une maladie polygénique impliquant de nombreux gènes, tels que ceux de l’insuline, du récepteur de l’insuline ou des transporteurs de glucose.</w:t>
      </w:r>
    </w:p>
    <w:p w14:paraId="67DFAE55" w14:textId="79FD4033" w:rsidR="00664D0A" w:rsidRPr="00FC4A34" w:rsidRDefault="00664D0A" w:rsidP="00FC4A34">
      <w:pPr>
        <w:rPr>
          <w:rFonts w:eastAsia="Times New Roman"/>
          <w:rtl/>
          <w:lang w:val="fr-FR" w:eastAsia="fr-FR"/>
        </w:rPr>
      </w:pPr>
      <w:r w:rsidRPr="00664D0A">
        <w:rPr>
          <w:lang w:val="fr-FR"/>
        </w:rPr>
        <w:t>Les études génétiques ont permis de découvrir l’implication des gènes de PPARc, IRS1, KIR6.2, les calpaïnes et plus récemment TCF7L2 dans les formes communes de diabète de type 2, mais elles sont complexes, car plusieurs gènes sont probablement impliqués.</w:t>
      </w:r>
      <w:r w:rsidRPr="00E71797">
        <w:fldChar w:fldCharType="begin"/>
      </w:r>
      <w:r w:rsidR="00116A61">
        <w:rPr>
          <w:lang w:val="fr-FR"/>
        </w:rPr>
        <w:instrText xml:space="preserve"> ADDIN ZOTERO_ITEM CSL_CITATION {"citationID":"HLGlZv9d","properties":{"formattedCitation":"(17)","plainCitation":"(17)","noteIndex":0},"citationItems":[{"id":"6VBx8p83/w444d6Nj","uris":["http://zotero.org/users/local/QE2koe11/items/BPX6MR6A"],"itemData":{"id":79,"type":"article-journal","language":"fr","source":"Zotero","title":"A notre promoteur Docteur","author":[{"family":"Benmediouni","given":"Farouk"}]}}],"schema":"https://github.com/citation-style-language/schema/raw/master/csl-citation.json"} </w:instrText>
      </w:r>
      <w:r w:rsidRPr="00E71797">
        <w:fldChar w:fldCharType="separate"/>
      </w:r>
      <w:r w:rsidR="006529E5" w:rsidRPr="006529E5">
        <w:rPr>
          <w:rFonts w:ascii="Calibri" w:hAnsi="Calibri"/>
          <w:lang w:val="fr-FR"/>
        </w:rPr>
        <w:t>(17)</w:t>
      </w:r>
      <w:r w:rsidRPr="00E71797">
        <w:fldChar w:fldCharType="end"/>
      </w:r>
    </w:p>
    <w:p w14:paraId="0B2FDF87" w14:textId="38AB3DB3" w:rsidR="00664D0A" w:rsidRPr="00FC4A34" w:rsidRDefault="00664D0A" w:rsidP="00577C0B">
      <w:pPr>
        <w:rPr>
          <w:color w:val="333333"/>
          <w:shd w:val="clear" w:color="auto" w:fill="FFFFFF"/>
          <w:lang w:val="fr-FR"/>
        </w:rPr>
      </w:pPr>
    </w:p>
    <w:p w14:paraId="62B5CFB8" w14:textId="64626720" w:rsidR="00577C0B" w:rsidRDefault="00577C0B" w:rsidP="00577C0B">
      <w:pPr>
        <w:pStyle w:val="Caption"/>
        <w:keepNext/>
      </w:pPr>
      <w:bookmarkStart w:id="27" w:name="_Toc229617363"/>
      <w:r>
        <w:t xml:space="preserve">Tableau </w:t>
      </w:r>
      <w:r>
        <w:fldChar w:fldCharType="begin"/>
      </w:r>
      <w:r>
        <w:instrText xml:space="preserve"> SEQ Tableau \* ARABIC </w:instrText>
      </w:r>
      <w:r>
        <w:fldChar w:fldCharType="separate"/>
      </w:r>
      <w:r w:rsidR="00983108">
        <w:rPr>
          <w:noProof/>
        </w:rPr>
        <w:t>2</w:t>
      </w:r>
      <w:r>
        <w:fldChar w:fldCharType="end"/>
      </w:r>
      <w:r>
        <w:t xml:space="preserve"> </w:t>
      </w:r>
      <w:r w:rsidRPr="006A47C6">
        <w:t>Fréquence estimée du diabète de type 2 chez les apparentés de sujets diabétiques de type 2. (Source : CEEDMM, 2021.)</w:t>
      </w:r>
      <w:bookmarkEnd w:id="27"/>
    </w:p>
    <w:tbl>
      <w:tblPr>
        <w:tblpPr w:leftFromText="141" w:rightFromText="141" w:vertAnchor="text" w:horzAnchor="margin" w:tblpY="104"/>
        <w:tblW w:w="6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32"/>
        <w:gridCol w:w="1925"/>
      </w:tblGrid>
      <w:tr w:rsidR="00664D0A" w:rsidRPr="00E71797" w14:paraId="7D869E16" w14:textId="77777777" w:rsidTr="00784D29">
        <w:trPr>
          <w:trHeight w:val="376"/>
        </w:trPr>
        <w:tc>
          <w:tcPr>
            <w:tcW w:w="0" w:type="auto"/>
            <w:shd w:val="clear" w:color="auto" w:fill="FFFFFF"/>
            <w:tcMar>
              <w:top w:w="44" w:type="dxa"/>
              <w:left w:w="44" w:type="dxa"/>
              <w:bottom w:w="44" w:type="dxa"/>
              <w:right w:w="44" w:type="dxa"/>
            </w:tcMar>
            <w:vAlign w:val="center"/>
            <w:hideMark/>
          </w:tcPr>
          <w:p w14:paraId="469F000E" w14:textId="77777777" w:rsidR="00664D0A" w:rsidRPr="00E71797" w:rsidRDefault="00664D0A" w:rsidP="00B139C3">
            <w:pPr>
              <w:rPr>
                <w:color w:val="000000"/>
              </w:rPr>
            </w:pPr>
            <w:r w:rsidRPr="00FC4A34">
              <w:rPr>
                <w:color w:val="000000"/>
                <w:lang w:val="fr-FR"/>
              </w:rPr>
              <w:t xml:space="preserve">  </w:t>
            </w:r>
            <w:r w:rsidRPr="00E71797">
              <w:rPr>
                <w:color w:val="000000"/>
              </w:rPr>
              <w:t>Population générale française  </w:t>
            </w:r>
          </w:p>
        </w:tc>
        <w:tc>
          <w:tcPr>
            <w:tcW w:w="0" w:type="auto"/>
            <w:shd w:val="clear" w:color="auto" w:fill="FFFFFF"/>
            <w:tcMar>
              <w:top w:w="44" w:type="dxa"/>
              <w:left w:w="44" w:type="dxa"/>
              <w:bottom w:w="44" w:type="dxa"/>
              <w:right w:w="44" w:type="dxa"/>
            </w:tcMar>
            <w:vAlign w:val="center"/>
            <w:hideMark/>
          </w:tcPr>
          <w:p w14:paraId="5CD1F3E6" w14:textId="77777777" w:rsidR="00664D0A" w:rsidRPr="00E71797" w:rsidRDefault="00664D0A" w:rsidP="00B139C3">
            <w:pPr>
              <w:rPr>
                <w:color w:val="000000"/>
              </w:rPr>
            </w:pPr>
            <w:r w:rsidRPr="00E71797">
              <w:rPr>
                <w:color w:val="000000"/>
              </w:rPr>
              <w:t>   2 à 4 %</w:t>
            </w:r>
          </w:p>
        </w:tc>
      </w:tr>
      <w:tr w:rsidR="00664D0A" w:rsidRPr="00E71797" w14:paraId="42C9ACB9" w14:textId="77777777" w:rsidTr="00784D29">
        <w:trPr>
          <w:trHeight w:val="376"/>
        </w:trPr>
        <w:tc>
          <w:tcPr>
            <w:tcW w:w="0" w:type="auto"/>
            <w:shd w:val="clear" w:color="auto" w:fill="FFFFFF"/>
            <w:tcMar>
              <w:top w:w="44" w:type="dxa"/>
              <w:left w:w="44" w:type="dxa"/>
              <w:bottom w:w="44" w:type="dxa"/>
              <w:right w:w="44" w:type="dxa"/>
            </w:tcMar>
            <w:vAlign w:val="center"/>
            <w:hideMark/>
          </w:tcPr>
          <w:p w14:paraId="306BA289" w14:textId="77777777" w:rsidR="00664D0A" w:rsidRPr="00E71797" w:rsidRDefault="00664D0A" w:rsidP="00B139C3">
            <w:pPr>
              <w:rPr>
                <w:color w:val="000000"/>
              </w:rPr>
            </w:pPr>
            <w:r w:rsidRPr="00E71797">
              <w:rPr>
                <w:color w:val="000000"/>
              </w:rPr>
              <w:t>   Jumeaux vrais</w:t>
            </w:r>
          </w:p>
        </w:tc>
        <w:tc>
          <w:tcPr>
            <w:tcW w:w="0" w:type="auto"/>
            <w:shd w:val="clear" w:color="auto" w:fill="FFFFFF"/>
            <w:tcMar>
              <w:top w:w="44" w:type="dxa"/>
              <w:left w:w="44" w:type="dxa"/>
              <w:bottom w:w="44" w:type="dxa"/>
              <w:right w:w="44" w:type="dxa"/>
            </w:tcMar>
            <w:vAlign w:val="center"/>
            <w:hideMark/>
          </w:tcPr>
          <w:p w14:paraId="2C473504" w14:textId="77777777" w:rsidR="00664D0A" w:rsidRPr="00E71797" w:rsidRDefault="00664D0A" w:rsidP="00B139C3">
            <w:pPr>
              <w:rPr>
                <w:color w:val="000000"/>
              </w:rPr>
            </w:pPr>
            <w:r w:rsidRPr="00E71797">
              <w:rPr>
                <w:color w:val="000000"/>
              </w:rPr>
              <w:t>   90 à 100 %  </w:t>
            </w:r>
          </w:p>
        </w:tc>
      </w:tr>
      <w:tr w:rsidR="00664D0A" w:rsidRPr="00E71797" w14:paraId="09ADB497" w14:textId="77777777" w:rsidTr="00784D29">
        <w:trPr>
          <w:trHeight w:val="376"/>
        </w:trPr>
        <w:tc>
          <w:tcPr>
            <w:tcW w:w="0" w:type="auto"/>
            <w:shd w:val="clear" w:color="auto" w:fill="FFFFFF"/>
            <w:tcMar>
              <w:top w:w="44" w:type="dxa"/>
              <w:left w:w="44" w:type="dxa"/>
              <w:bottom w:w="44" w:type="dxa"/>
              <w:right w:w="44" w:type="dxa"/>
            </w:tcMar>
            <w:vAlign w:val="center"/>
            <w:hideMark/>
          </w:tcPr>
          <w:p w14:paraId="4DF41FFB" w14:textId="77777777" w:rsidR="00664D0A" w:rsidRPr="00E71797" w:rsidRDefault="00664D0A" w:rsidP="00B139C3">
            <w:pPr>
              <w:rPr>
                <w:color w:val="000000"/>
              </w:rPr>
            </w:pPr>
            <w:r w:rsidRPr="00E71797">
              <w:rPr>
                <w:color w:val="000000"/>
              </w:rPr>
              <w:t>   2 parents diabétiques</w:t>
            </w:r>
          </w:p>
        </w:tc>
        <w:tc>
          <w:tcPr>
            <w:tcW w:w="0" w:type="auto"/>
            <w:shd w:val="clear" w:color="auto" w:fill="FFFFFF"/>
            <w:tcMar>
              <w:top w:w="44" w:type="dxa"/>
              <w:left w:w="44" w:type="dxa"/>
              <w:bottom w:w="44" w:type="dxa"/>
              <w:right w:w="44" w:type="dxa"/>
            </w:tcMar>
            <w:vAlign w:val="center"/>
            <w:hideMark/>
          </w:tcPr>
          <w:p w14:paraId="297BB3CE" w14:textId="77777777" w:rsidR="00664D0A" w:rsidRPr="00E71797" w:rsidRDefault="00664D0A" w:rsidP="00B139C3">
            <w:pPr>
              <w:rPr>
                <w:color w:val="000000"/>
              </w:rPr>
            </w:pPr>
            <w:r w:rsidRPr="00E71797">
              <w:rPr>
                <w:color w:val="000000"/>
              </w:rPr>
              <w:t>   30 à 60 %</w:t>
            </w:r>
          </w:p>
        </w:tc>
      </w:tr>
      <w:tr w:rsidR="00664D0A" w:rsidRPr="00E71797" w14:paraId="73C9C3F7" w14:textId="77777777" w:rsidTr="00784D29">
        <w:trPr>
          <w:trHeight w:val="367"/>
        </w:trPr>
        <w:tc>
          <w:tcPr>
            <w:tcW w:w="0" w:type="auto"/>
            <w:shd w:val="clear" w:color="auto" w:fill="FFFFFF"/>
            <w:tcMar>
              <w:top w:w="44" w:type="dxa"/>
              <w:left w:w="44" w:type="dxa"/>
              <w:bottom w:w="44" w:type="dxa"/>
              <w:right w:w="44" w:type="dxa"/>
            </w:tcMar>
            <w:vAlign w:val="center"/>
            <w:hideMark/>
          </w:tcPr>
          <w:p w14:paraId="67F5B4A8" w14:textId="77777777" w:rsidR="00664D0A" w:rsidRPr="00E71797" w:rsidRDefault="00664D0A" w:rsidP="00B139C3">
            <w:pPr>
              <w:rPr>
                <w:color w:val="000000"/>
              </w:rPr>
            </w:pPr>
            <w:r w:rsidRPr="00E71797">
              <w:rPr>
                <w:color w:val="000000"/>
              </w:rPr>
              <w:t>   1 apparenté au premier degré</w:t>
            </w:r>
          </w:p>
        </w:tc>
        <w:tc>
          <w:tcPr>
            <w:tcW w:w="0" w:type="auto"/>
            <w:shd w:val="clear" w:color="auto" w:fill="FFFFFF"/>
            <w:tcMar>
              <w:top w:w="44" w:type="dxa"/>
              <w:left w:w="44" w:type="dxa"/>
              <w:bottom w:w="44" w:type="dxa"/>
              <w:right w:w="44" w:type="dxa"/>
            </w:tcMar>
            <w:vAlign w:val="center"/>
            <w:hideMark/>
          </w:tcPr>
          <w:p w14:paraId="58208CE3" w14:textId="77777777" w:rsidR="00664D0A" w:rsidRPr="00E71797" w:rsidRDefault="00664D0A" w:rsidP="00B139C3">
            <w:pPr>
              <w:rPr>
                <w:color w:val="000000"/>
              </w:rPr>
            </w:pPr>
            <w:r w:rsidRPr="00E71797">
              <w:rPr>
                <w:color w:val="000000"/>
              </w:rPr>
              <w:t>   10 à 30 %</w:t>
            </w:r>
          </w:p>
        </w:tc>
      </w:tr>
    </w:tbl>
    <w:p w14:paraId="1E6FE354" w14:textId="77777777" w:rsidR="00664D0A" w:rsidRPr="00E71797" w:rsidRDefault="00664D0A" w:rsidP="00B139C3">
      <w:pPr>
        <w:rPr>
          <w:color w:val="333333"/>
          <w:shd w:val="clear" w:color="auto" w:fill="FFFFFF"/>
        </w:rPr>
      </w:pPr>
    </w:p>
    <w:p w14:paraId="4570C616" w14:textId="77777777" w:rsidR="00664D0A" w:rsidRPr="00E71797" w:rsidRDefault="00664D0A" w:rsidP="00B139C3">
      <w:pPr>
        <w:rPr>
          <w:rFonts w:eastAsia="Times New Roman"/>
          <w:lang w:eastAsia="fr-FR"/>
        </w:rPr>
      </w:pPr>
    </w:p>
    <w:p w14:paraId="126C1927" w14:textId="77777777" w:rsidR="00664D0A" w:rsidRPr="00E71797" w:rsidRDefault="00664D0A" w:rsidP="00B139C3"/>
    <w:p w14:paraId="580DBADE" w14:textId="77777777" w:rsidR="00664D0A" w:rsidRPr="00E71797" w:rsidRDefault="00664D0A" w:rsidP="00B139C3">
      <w:pPr>
        <w:rPr>
          <w:lang w:bidi="ar-DZ"/>
        </w:rPr>
      </w:pPr>
    </w:p>
    <w:p w14:paraId="21C6BE5A" w14:textId="77777777" w:rsidR="00664D0A" w:rsidRPr="00E71797" w:rsidRDefault="00664D0A" w:rsidP="00B139C3">
      <w:pPr>
        <w:rPr>
          <w:lang w:bidi="ar-DZ"/>
        </w:rPr>
      </w:pPr>
    </w:p>
    <w:p w14:paraId="60814528" w14:textId="77777777" w:rsidR="00664D0A" w:rsidRPr="00E71797" w:rsidRDefault="00664D0A" w:rsidP="00B139C3">
      <w:pPr>
        <w:rPr>
          <w:lang w:bidi="ar-DZ"/>
        </w:rPr>
      </w:pPr>
    </w:p>
    <w:p w14:paraId="5A46EDCA" w14:textId="77777777" w:rsidR="00664D0A" w:rsidRPr="00E71797" w:rsidRDefault="00664D0A" w:rsidP="00577C0B">
      <w:pPr>
        <w:pStyle w:val="Heading2"/>
        <w:rPr>
          <w:lang w:bidi="ar-DZ"/>
        </w:rPr>
      </w:pPr>
      <w:bookmarkStart w:id="28" w:name="_Toc229618772"/>
      <w:r w:rsidRPr="00E71797">
        <w:rPr>
          <w:lang w:bidi="ar-DZ"/>
        </w:rPr>
        <w:t>4-2/les facteurs modifiables :</w:t>
      </w:r>
      <w:bookmarkEnd w:id="28"/>
    </w:p>
    <w:p w14:paraId="6E1D4B8D" w14:textId="77777777" w:rsidR="00664D0A" w:rsidRPr="00E71797" w:rsidRDefault="00664D0A" w:rsidP="00577C0B">
      <w:pPr>
        <w:pStyle w:val="Heading3"/>
        <w:rPr>
          <w:lang w:bidi="ar-DZ"/>
        </w:rPr>
      </w:pPr>
      <w:r w:rsidRPr="00E71797">
        <w:t>4-2-1/</w:t>
      </w:r>
      <w:proofErr w:type="gramStart"/>
      <w:r w:rsidRPr="00E71797">
        <w:t>L’obésité:</w:t>
      </w:r>
      <w:proofErr w:type="gramEnd"/>
    </w:p>
    <w:p w14:paraId="74E85303" w14:textId="2C83D0B7" w:rsidR="00664D0A" w:rsidRPr="00664D0A" w:rsidRDefault="00664D0A" w:rsidP="00B139C3">
      <w:pPr>
        <w:rPr>
          <w:lang w:val="fr-FR"/>
        </w:rPr>
      </w:pPr>
      <w:r w:rsidRPr="00664D0A">
        <w:rPr>
          <w:lang w:val="fr-FR"/>
        </w:rPr>
        <w:t>L’obésité est caractérisée par une accumulation progressive de tissu adipeux au sein de l’organisme résultant principalement d’un déséquilibre important de la balance énergétique.</w:t>
      </w:r>
      <w:r w:rsidRPr="00E71797">
        <w:fldChar w:fldCharType="begin"/>
      </w:r>
      <w:r w:rsidR="00116A61">
        <w:rPr>
          <w:lang w:val="fr-FR"/>
        </w:rPr>
        <w:instrText xml:space="preserve"> ADDIN ZOTERO_ITEM CSL_CITATION {"citationID":"UA2It4w2","properties":{"formattedCitation":"(18)","plainCitation":"(18)","noteIndex":0},"citationItems":[{"id":"6VBx8p83/F9gNRyZB","uris":["http://zotero.org/users/local/QE2koe11/items/V3K5VPZP"],"itemData":{"id":67,"type":"document","title":"https://ipubli.inserm.fr/bitstream/handle/10608/9690/?sequence=15&amp;utm_source=copilot.com","URL":"https://ipubli.inserm.fr/bitstream/handle/10608/9690/?sequence=15&amp;utm_source=copilot.com","accessed":{"date-parts":[["2026",1,10]]}}}],"schema":"https://github.com/citation-style-language/schema/raw/master/csl-citation.json"} </w:instrText>
      </w:r>
      <w:r w:rsidRPr="00E71797">
        <w:fldChar w:fldCharType="separate"/>
      </w:r>
      <w:r w:rsidR="006529E5" w:rsidRPr="006529E5">
        <w:rPr>
          <w:rFonts w:ascii="Calibri" w:hAnsi="Calibri"/>
          <w:lang w:val="fr-FR"/>
        </w:rPr>
        <w:t>(18)</w:t>
      </w:r>
      <w:r w:rsidRPr="00E71797">
        <w:fldChar w:fldCharType="end"/>
      </w:r>
    </w:p>
    <w:p w14:paraId="0FC57E6C" w14:textId="206837A4" w:rsidR="00664D0A" w:rsidRPr="00664D0A" w:rsidRDefault="00664D0A" w:rsidP="00B139C3">
      <w:pPr>
        <w:rPr>
          <w:lang w:val="fr-FR"/>
        </w:rPr>
      </w:pPr>
      <w:r w:rsidRPr="00664D0A">
        <w:rPr>
          <w:lang w:val="fr-FR"/>
        </w:rPr>
        <w:t>Elle est, aujourd’hui, une réelle “épidémie” mondiale. La surcharge pondérale et l’obésité prédisposent au diabète de type 2 (DT2</w:t>
      </w:r>
      <w:proofErr w:type="gramStart"/>
      <w:r w:rsidRPr="00664D0A">
        <w:rPr>
          <w:lang w:val="fr-FR"/>
        </w:rPr>
        <w:t>):</w:t>
      </w:r>
      <w:proofErr w:type="gramEnd"/>
      <w:r w:rsidRPr="00664D0A">
        <w:rPr>
          <w:lang w:val="fr-FR"/>
        </w:rPr>
        <w:t xml:space="preserve"> l’excès de tissu adipeux viscéral entraîne une insulinorésistance favorisant l’apparition de celui-ci. Ainsi, l’augmentation de la prévalence de l’obésité explique celle du diabète de type 2, ce qui a conduit à utiliser le terme “diabésité”</w:t>
      </w:r>
      <w:r w:rsidRPr="00E71797">
        <w:fldChar w:fldCharType="begin"/>
      </w:r>
      <w:r w:rsidR="00116A61">
        <w:rPr>
          <w:lang w:val="fr-FR"/>
        </w:rPr>
        <w:instrText xml:space="preserve"> ADDIN ZOTERO_ITEM CSL_CITATION {"citationID":"l8v4YC36","properties":{"formattedCitation":"(19)","plainCitation":"(19)","noteIndex":0},"citationItems":[{"id":"6VBx8p83/L308aCTk","uris":["http://zotero.org/users/local/QE2koe11/items/VCE8ZSXN"],"itemData":{"id":68,"type":"document","title":"Diabete-type-2-obesite-et-nutrition-un-changement-de-paradigme-1"}}],"schema":"https://github.com/citation-style-language/schema/raw/master/csl-citation.json"} </w:instrText>
      </w:r>
      <w:r w:rsidRPr="00E71797">
        <w:fldChar w:fldCharType="separate"/>
      </w:r>
      <w:r w:rsidR="006529E5" w:rsidRPr="006529E5">
        <w:rPr>
          <w:rFonts w:ascii="Calibri" w:hAnsi="Calibri"/>
          <w:lang w:val="fr-FR"/>
        </w:rPr>
        <w:t>(19)</w:t>
      </w:r>
      <w:r w:rsidRPr="00E71797">
        <w:fldChar w:fldCharType="end"/>
      </w:r>
    </w:p>
    <w:p w14:paraId="268FB11B" w14:textId="3E24D235" w:rsidR="00664D0A" w:rsidRPr="00664D0A" w:rsidRDefault="00664D0A" w:rsidP="00B139C3">
      <w:pPr>
        <w:rPr>
          <w:lang w:val="fr-FR"/>
        </w:rPr>
      </w:pPr>
      <w:r w:rsidRPr="00664D0A">
        <w:rPr>
          <w:lang w:val="fr-FR"/>
        </w:rPr>
        <w:t>Ceci s’explique par l'afflux majeur des acides gras libres dans la veine porte en cas d’obésité abdominale, entraînant une hyperinsulinémie, une insulinorésistance, des anomalies de la tolérance au glucose pouvant aller jusqu'au DT2, une augmentation des VLDL triglycérides et une baisse du HDL-cholestérol.</w:t>
      </w:r>
      <w:r w:rsidRPr="00E71797">
        <w:fldChar w:fldCharType="begin"/>
      </w:r>
      <w:r w:rsidR="00116A61">
        <w:rPr>
          <w:lang w:val="fr-FR"/>
        </w:rPr>
        <w:instrText xml:space="preserve"> ADDIN ZOTERO_ITEM CSL_CITATION {"citationID":"oEAKEfxd","properties":{"formattedCitation":"(14)","plainCitation":"(14)","noteIndex":0},"citationItems":[{"id":"6VBx8p83/lhlbezHD","uris":["http://zotero.org/users/local/QE2koe11/items/AC9RHBP9"],"itemData":{"id":19,"type":"document","title":"45-2014"}}],"schema":"https://github.com/citation-style-language/schema/raw/master/csl-citation.json"} </w:instrText>
      </w:r>
      <w:r w:rsidRPr="00E71797">
        <w:fldChar w:fldCharType="separate"/>
      </w:r>
      <w:r w:rsidR="006529E5" w:rsidRPr="006529E5">
        <w:rPr>
          <w:rFonts w:ascii="Calibri" w:hAnsi="Calibri"/>
          <w:lang w:val="fr-FR"/>
        </w:rPr>
        <w:t>(14)</w:t>
      </w:r>
      <w:r w:rsidRPr="00E71797">
        <w:fldChar w:fldCharType="end"/>
      </w:r>
    </w:p>
    <w:p w14:paraId="718A114D" w14:textId="77777777" w:rsidR="00664D0A" w:rsidRPr="00664D0A" w:rsidRDefault="00664D0A" w:rsidP="00B139C3">
      <w:pPr>
        <w:rPr>
          <w:lang w:val="fr-FR"/>
        </w:rPr>
      </w:pPr>
      <w:r w:rsidRPr="00664D0A">
        <w:rPr>
          <w:lang w:val="fr-FR"/>
        </w:rPr>
        <w:t>Le tissu graisseux joue pourtant un rôle clé dans notre métabolisme et notre santé cardiovasculaire par la libération des hormones et cytokines (adiponectine, leptine, TNF-</w:t>
      </w:r>
      <w:r w:rsidRPr="00E71797">
        <w:t>α</w:t>
      </w:r>
      <w:r w:rsidRPr="00664D0A">
        <w:rPr>
          <w:lang w:val="fr-FR"/>
        </w:rPr>
        <w:t>, IL-6)  :L'adiponectine qui joue un rôle protecteur contre la résistance à l’insuline et les maladies métaboliques, mais elle diminue paradoxalement en cas d’obésité parce que les adipocytes grossissent (hypertrophie) et deviennent dysfonctionnels donc ces cellules sécrètent moins d’adiponectine.La sécrétion des TNF-</w:t>
      </w:r>
      <w:r w:rsidRPr="00E71797">
        <w:t>α</w:t>
      </w:r>
      <w:r w:rsidRPr="00664D0A">
        <w:rPr>
          <w:lang w:val="fr-FR"/>
        </w:rPr>
        <w:t xml:space="preserve"> et IL-6 augmentent en cas d'obésité qui va favorisent l’inflammation chronique et la résistance à l’insuline.</w:t>
      </w:r>
    </w:p>
    <w:p w14:paraId="58C6B586" w14:textId="19F1A497" w:rsidR="00664D0A" w:rsidRPr="00E71797" w:rsidRDefault="00664D0A" w:rsidP="00B139C3">
      <w:pPr>
        <w:rPr>
          <w:rtl/>
        </w:rPr>
      </w:pPr>
      <w:r w:rsidRPr="00664D0A">
        <w:rPr>
          <w:lang w:val="fr-FR"/>
        </w:rPr>
        <w:t xml:space="preserve">Une étude récente, publiée en 2025 dans le Journal of ClinicalMedicine, s’est intéressé de près aux liens entre l’obésité, le diabète de type 2 (DT2), et certains biomarqueurs encore peu connus du grand public : les adipocytokines.Les résultats montrent que les participants obèses et/ou diabétiques présentaient un déséquilibre hormonal important : trop de leptines et trop peu d’adiponectines.Ce déséquilibre, appelé baisse du ratio adiponectine/leptine (ALR), s’est révélé être un puissant indicateur de risque cardio-vasculaire. Avec des niveaux élevés d’inflammation ont également été observés, ce qui accentue le risque de maladies chroniques. </w:t>
      </w:r>
      <w:r w:rsidRPr="00E71797">
        <w:fldChar w:fldCharType="begin"/>
      </w:r>
      <w:r w:rsidR="00116A61">
        <w:rPr>
          <w:lang w:val="fr-FR"/>
        </w:rPr>
        <w:instrText xml:space="preserve"> ADDIN ZOTERO_ITEM CSL_CITATION {"citationID":"twoRAbD9","properties":{"formattedCitation":"(20)","plainCitation":"(20)","noteIndex":0},"citationItems":[{"id":"6VBx8p83/FrGFtAFG","uris":["http://zotero.org/users/local/QE2koe11/items/RB7MHNIV"],"itemData":{"id":69,"type":"post-weblog","abstract":"Par le Docteur Sebbah Tarik En Algérie, plus d’un adulte sur quatre est en situation d’obésité, une condition de plus en plus fréquente et souvent associée à des complications cardiovasculaires graves. Une étude récente, publiée en 2025 dans le Journal of Clinical Medicine, s’est intéressée de près aux liens entre l’obésité, le diabète de type […]","container-title":"L'Algérie Aujourd'hui","language":"fr-FR","title":"Obésité et diabète en Algérie : l’équilibre des hormones du tissu adipeux au cœur du risque cardiovasculaire","title-short":"Obésité et diabète en Algérie","URL":"https://lalgerieaujourdhui.dz/obesite-et-diabete-en-algerie-lequilibre-des-hormones-du-tissu-adipeux-au-coeur-du-risque-cardiovasculaire/","author":[{"family":"Admin","given":""}],"accessed":{"date-parts":[["2026",1,10]]},"issued":{"date-parts":[["2025",4,8]]}}}],"schema":"https://github.com/citation-style-language/schema/raw/master/csl-citation.json"} </w:instrText>
      </w:r>
      <w:r w:rsidRPr="00E71797">
        <w:fldChar w:fldCharType="separate"/>
      </w:r>
      <w:r w:rsidR="006529E5" w:rsidRPr="006529E5">
        <w:rPr>
          <w:rFonts w:ascii="Calibri" w:hAnsi="Calibri"/>
        </w:rPr>
        <w:t>(20)</w:t>
      </w:r>
      <w:r w:rsidRPr="00E71797">
        <w:fldChar w:fldCharType="end"/>
      </w:r>
    </w:p>
    <w:p w14:paraId="567D7B53" w14:textId="77777777" w:rsidR="00F96B82" w:rsidRDefault="00664D0A" w:rsidP="00F96B82">
      <w:pPr>
        <w:keepNext/>
      </w:pPr>
      <w:r w:rsidRPr="00E71797">
        <w:rPr>
          <w:noProof/>
          <w:color w:val="222222"/>
          <w:shd w:val="clear" w:color="auto" w:fill="FFFFFF"/>
          <w:lang w:val="fr-FR" w:eastAsia="fr-FR"/>
        </w:rPr>
        <w:lastRenderedPageBreak/>
        <w:drawing>
          <wp:inline distT="0" distB="0" distL="0" distR="0" wp14:anchorId="4604B5AE" wp14:editId="3DBA9B3E">
            <wp:extent cx="3429462" cy="2038350"/>
            <wp:effectExtent l="19050" t="0" r="0" b="0"/>
            <wp:docPr id="11" name="Image 0" descr="fig-2-dt2-768x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dt2-768x579.jpg"/>
                    <pic:cNvPicPr/>
                  </pic:nvPicPr>
                  <pic:blipFill>
                    <a:blip r:embed="rId18"/>
                    <a:stretch>
                      <a:fillRect/>
                    </a:stretch>
                  </pic:blipFill>
                  <pic:spPr>
                    <a:xfrm>
                      <a:off x="0" y="0"/>
                      <a:ext cx="3433966" cy="2041027"/>
                    </a:xfrm>
                    <a:prstGeom prst="rect">
                      <a:avLst/>
                    </a:prstGeom>
                  </pic:spPr>
                </pic:pic>
              </a:graphicData>
            </a:graphic>
          </wp:inline>
        </w:drawing>
      </w:r>
    </w:p>
    <w:p w14:paraId="509F5E7B" w14:textId="152E54D2" w:rsidR="00664D0A" w:rsidRPr="00F96B82" w:rsidRDefault="00F96B82" w:rsidP="00F96B82">
      <w:pPr>
        <w:pStyle w:val="Caption"/>
      </w:pPr>
      <w:bookmarkStart w:id="29" w:name="_Toc229617291"/>
      <w:r>
        <w:t xml:space="preserve">Figure </w:t>
      </w:r>
      <w:r>
        <w:fldChar w:fldCharType="begin"/>
      </w:r>
      <w:r>
        <w:instrText xml:space="preserve"> SEQ Figure \* ARABIC </w:instrText>
      </w:r>
      <w:r>
        <w:fldChar w:fldCharType="separate"/>
      </w:r>
      <w:r w:rsidR="00983108">
        <w:rPr>
          <w:noProof/>
        </w:rPr>
        <w:t>1</w:t>
      </w:r>
      <w:r>
        <w:fldChar w:fldCharType="end"/>
      </w:r>
      <w:r>
        <w:t xml:space="preserve"> </w:t>
      </w:r>
      <w:r w:rsidRPr="00D81916">
        <w:t>: les facteurs de la forme commune du diabète de type 2 (80 % des cas).</w:t>
      </w:r>
      <w:bookmarkEnd w:id="29"/>
    </w:p>
    <w:p w14:paraId="3745AD18" w14:textId="77777777" w:rsidR="00664D0A" w:rsidRPr="00664D0A" w:rsidRDefault="00664D0A" w:rsidP="00577C0B">
      <w:pPr>
        <w:pStyle w:val="Heading3"/>
        <w:rPr>
          <w:lang w:bidi="ar-DZ"/>
        </w:rPr>
      </w:pPr>
      <w:r w:rsidRPr="00664D0A">
        <w:rPr>
          <w:lang w:bidi="ar-DZ"/>
        </w:rPr>
        <w:t>4-2-2/ La sédentarité :</w:t>
      </w:r>
    </w:p>
    <w:p w14:paraId="070E3B27" w14:textId="2D86AF1F" w:rsidR="00664D0A" w:rsidRPr="00664D0A" w:rsidRDefault="00664D0A" w:rsidP="00B139C3">
      <w:pPr>
        <w:rPr>
          <w:lang w:val="fr-FR" w:bidi="ar-DZ"/>
        </w:rPr>
      </w:pPr>
      <w:r w:rsidRPr="00664D0A">
        <w:rPr>
          <w:lang w:val="fr-FR" w:bidi="ar-DZ"/>
        </w:rPr>
        <w:t xml:space="preserve">La sédentarité contribue significativement au risque de survenue du diabète de type 2. Le manque d’activité physique entraîne une diminution de la sensibilité à l’insuline, augmentant ainsi le risque de développer cette </w:t>
      </w:r>
      <w:proofErr w:type="gramStart"/>
      <w:r w:rsidRPr="00664D0A">
        <w:rPr>
          <w:lang w:val="fr-FR" w:bidi="ar-DZ"/>
        </w:rPr>
        <w:t>maladie.La</w:t>
      </w:r>
      <w:proofErr w:type="gramEnd"/>
      <w:r w:rsidRPr="00664D0A">
        <w:rPr>
          <w:lang w:val="fr-FR" w:bidi="ar-DZ"/>
        </w:rPr>
        <w:t xml:space="preserve"> relation entre la sédentarité et l’obésité est bien établie. L’inactivité physique favorise l’accumulation de graisses corporelle, ce qui peut mener à l’obésité.</w:t>
      </w:r>
      <w:r w:rsidRPr="00E71797">
        <w:rPr>
          <w:lang w:bidi="ar-DZ"/>
        </w:rPr>
        <w:fldChar w:fldCharType="begin"/>
      </w:r>
      <w:r w:rsidR="00116A61">
        <w:rPr>
          <w:lang w:val="fr-FR" w:bidi="ar-DZ"/>
        </w:rPr>
        <w:instrText xml:space="preserve"> ADDIN ZOTERO_ITEM CSL_CITATION {"citationID":"48ICl4F3","properties":{"formattedCitation":"(21)","plainCitation":"(21)","noteIndex":0},"citationItems":[{"id":"6VBx8p83/r572FVRv","uris":["http://zotero.org/users/local/QE2koe11/items/XWLYBAU3"],"itemData":{"id":71,"type":"post-weblog","abstract":"Introduction La sédentarité et l’inactivité physique sont devenues des préoccupations majeures de santé publique dans le monde entier. Les modes de vie modernes, caractérisés par des périodes prolongées assises et […]","container-title":"https://sport.cnrs.fr/","language":"fr_FR","note":"section: Mouv' en Santé","title":"Les Risques de la Sédentarité et de l'Inactivité Physique sur la Santé - GDR Sport &amp; Activités Physiques","URL":"https://sport.cnrs.fr/les-risques-de-la-sedentarite-et-de-linactivite-physique-sur-la-sante/","author":[{"family":"veroniquel","given":""}],"accessed":{"date-parts":[["2026",1,10]]},"issued":{"date-parts":[["2024",7,18]]}}}],"schema":"https://github.com/citation-style-language/schema/raw/master/csl-citation.json"} </w:instrText>
      </w:r>
      <w:r w:rsidRPr="00E71797">
        <w:rPr>
          <w:lang w:bidi="ar-DZ"/>
        </w:rPr>
        <w:fldChar w:fldCharType="separate"/>
      </w:r>
      <w:r w:rsidR="006529E5" w:rsidRPr="006529E5">
        <w:rPr>
          <w:rFonts w:ascii="Calibri" w:hAnsi="Calibri"/>
          <w:lang w:val="fr-FR"/>
        </w:rPr>
        <w:t>(21)</w:t>
      </w:r>
      <w:r w:rsidRPr="00E71797">
        <w:rPr>
          <w:lang w:bidi="ar-DZ"/>
        </w:rPr>
        <w:fldChar w:fldCharType="end"/>
      </w:r>
    </w:p>
    <w:p w14:paraId="47FFFAF1" w14:textId="77777777" w:rsidR="00664D0A" w:rsidRPr="00664D0A" w:rsidRDefault="00664D0A" w:rsidP="00577C0B">
      <w:pPr>
        <w:pStyle w:val="Heading3"/>
        <w:rPr>
          <w:lang w:bidi="ar-DZ"/>
        </w:rPr>
      </w:pPr>
      <w:r w:rsidRPr="00664D0A">
        <w:rPr>
          <w:lang w:bidi="ar-DZ"/>
        </w:rPr>
        <w:t>4-2-3/ la faible activité physique :</w:t>
      </w:r>
    </w:p>
    <w:p w14:paraId="424ADD19" w14:textId="5F0BF846" w:rsidR="00664D0A" w:rsidRPr="00664D0A" w:rsidRDefault="00664D0A" w:rsidP="00B139C3">
      <w:pPr>
        <w:rPr>
          <w:lang w:val="fr-FR" w:bidi="ar-DZ"/>
        </w:rPr>
      </w:pPr>
      <w:r w:rsidRPr="00664D0A">
        <w:rPr>
          <w:lang w:val="fr-FR" w:bidi="ar-DZ"/>
        </w:rPr>
        <w:t xml:space="preserve">Selon une large cohorte qui s’est déroulée pendant 14 ans et ayant intéressé 5 990 hommes, le risque de développer un diabète diminue de 6 % chez des individus qui pratiquaient une activité physique modérée régulièrement </w:t>
      </w:r>
      <w:r w:rsidRPr="00E71797">
        <w:rPr>
          <w:lang w:bidi="ar-DZ"/>
        </w:rPr>
        <w:fldChar w:fldCharType="begin"/>
      </w:r>
      <w:r w:rsidR="00116A61">
        <w:rPr>
          <w:lang w:val="fr-FR" w:bidi="ar-DZ"/>
        </w:rPr>
        <w:instrText xml:space="preserve"> ADDIN ZOTERO_ITEM CSL_CITATION {"citationID":"ZlrPR6gw","properties":{"formattedCitation":"(14)","plainCitation":"(14)","noteIndex":0},"citationItems":[{"id":"6VBx8p83/lhlbezHD","uris":["http://zotero.org/users/local/QE2koe11/items/AC9RHBP9"],"itemData":{"id":19,"type":"document","title":"45-2014"}}],"schema":"https://github.com/citation-style-language/schema/raw/master/csl-citation.json"} </w:instrText>
      </w:r>
      <w:r w:rsidRPr="00E71797">
        <w:rPr>
          <w:lang w:bidi="ar-DZ"/>
        </w:rPr>
        <w:fldChar w:fldCharType="separate"/>
      </w:r>
      <w:r w:rsidR="006529E5" w:rsidRPr="006529E5">
        <w:rPr>
          <w:rFonts w:ascii="Calibri" w:hAnsi="Calibri"/>
          <w:lang w:val="fr-FR"/>
        </w:rPr>
        <w:t>(14)</w:t>
      </w:r>
      <w:r w:rsidRPr="00E71797">
        <w:rPr>
          <w:lang w:bidi="ar-DZ"/>
        </w:rPr>
        <w:fldChar w:fldCharType="end"/>
      </w:r>
      <w:r w:rsidRPr="00664D0A">
        <w:rPr>
          <w:lang w:val="fr-FR" w:bidi="ar-DZ"/>
        </w:rPr>
        <w:t>Il y a une association inverse entre l’activité physique et le risque de diabète de type 2. Comparativement à une faible activité physique, les individus ayant des niveaux plus élevés d’activité physique totale, d’activité de loisir, d’activité vigoureuse, d’activité modérée, et même de marche, présentent un risque nettement plus faible de développer un diabète de type 2. Ces résultats suggèrent que pratiquer davantage d’activité physique est associé à une réduction marquée du risque de diabète de type 2, probablement en partie médiée par une diminution de l’adiposité.</w:t>
      </w:r>
      <w:r w:rsidRPr="00E71797">
        <w:rPr>
          <w:lang w:bidi="ar-DZ"/>
        </w:rPr>
        <w:fldChar w:fldCharType="begin"/>
      </w:r>
      <w:r w:rsidR="00116A61">
        <w:rPr>
          <w:lang w:val="fr-FR" w:bidi="ar-DZ"/>
        </w:rPr>
        <w:instrText xml:space="preserve"> ADDIN ZOTERO_ITEM CSL_CITATION {"citationID":"5GC8ZDjl","properties":{"formattedCitation":"(22)","plainCitation":"(22)","noteIndex":0},"citationItems":[{"id":"6VBx8p83/D0iTfmrz","uris":["http://zotero.org/users/local/QE2koe11/items/M4SEAKT9"],"itemData":{"id":89,"type":"article-journal","abstract":"We investigated the association between specific types of physical activity and the risk of type 2 diabetes in a systematic review and meta-analysis of published studies. PubMed, Embase and Ovid databases were searched for prospective studies and randomized trials up to 2nd of March 2015. Summary relative risks (RRs) were calculated using a random effects model. Eighty-one studies were included. The summary RRs for high versus low activity were 0.65 (95 % CI 0.59-0.71, I(2) = 18 %, n = 14) for total physical activity, 0.74 (95 % CI 0.70-0.79, I(2) = 84 %, n = 55) for leisure-time activity, 0.61 (95 % CI 0.51-0.74, I(2) = 73 %, n = 8) for vigorous activity, 0.68 (95 % CI 0.52-0.90, I(2) = 93 %, n = 5) for moderate activity, 0.66 (95 % CI 0.47-0.94, I(2) = 47 %, n = 4) for low intensity activity, and 0.85 (95 % CI 0.79-0.91, I(2) = 0 %, n = 7) for walking. Inverse associations were also observed for increasing activity over time, resistance exercise, occupational activity and for cardiorespiratory fitness. Nonlinear relations were observed for leisure-time activity, vigorous activity, walking and resistance exercise (p nonlinearity &lt; 0.0001 for all), with steeper reductions in type 2 diabetes risk at low activity levels than high activity levels. This meta-analysis provides strong evidence for an inverse association between physical activity and risk of type 2 diabetes, which may partly be mediated by reduced adiposity. All subtypes of physical activity appear to be beneficial. Reductions in risk are observed up to 5-7 h of leisure-time, vigorous or low intensity physical activity per week, but further reductions cannot be excluded beyond this range.","container-title":"European Journal of Epidemiology","DOI":"10.1007/s10654-015-0056-z","ISSN":"1573-7284","issue":"7","journalAbbreviation":"Eur J Epidemiol","language":"eng","page":"529-542","PMID":"26092138","source":"PubMed","title":"Physical activity and the risk of type 2 diabetes: a systematic review and dose-response meta-analysis","title-short":"Physical activity and the risk of type 2 diabetes","volume":"30","author":[{"family":"Aune","given":"Dagfinn"},{"family":"Norat","given":"Teresa"},{"family":"Leitzmann","given":"Michael"},{"family":"Tonstad","given":"Serena"},{"family":"Vatten","given":"Lars Johan"}],"issued":{"date-parts":[["2015",7]]}}}],"schema":"https://github.com/citation-style-language/schema/raw/master/csl-citation.json"} </w:instrText>
      </w:r>
      <w:r w:rsidRPr="00E71797">
        <w:rPr>
          <w:lang w:bidi="ar-DZ"/>
        </w:rPr>
        <w:fldChar w:fldCharType="separate"/>
      </w:r>
      <w:r w:rsidR="006529E5" w:rsidRPr="006529E5">
        <w:rPr>
          <w:rFonts w:ascii="Calibri" w:hAnsi="Calibri"/>
          <w:lang w:val="fr-FR"/>
        </w:rPr>
        <w:t>(22)</w:t>
      </w:r>
      <w:r w:rsidRPr="00E71797">
        <w:rPr>
          <w:lang w:bidi="ar-DZ"/>
        </w:rPr>
        <w:fldChar w:fldCharType="end"/>
      </w:r>
    </w:p>
    <w:p w14:paraId="4D10D0FD" w14:textId="77777777" w:rsidR="00664D0A" w:rsidRPr="00664D0A" w:rsidRDefault="00664D0A" w:rsidP="00577C0B">
      <w:pPr>
        <w:pStyle w:val="Heading3"/>
        <w:rPr>
          <w:lang w:bidi="ar-DZ"/>
        </w:rPr>
      </w:pPr>
      <w:r w:rsidRPr="00664D0A">
        <w:rPr>
          <w:lang w:bidi="ar-DZ"/>
        </w:rPr>
        <w:t>4-2-4/ le régime alimentaire malsain :</w:t>
      </w:r>
    </w:p>
    <w:p w14:paraId="192E49A3" w14:textId="64D962EC" w:rsidR="00664D0A" w:rsidRPr="00664D0A" w:rsidRDefault="00664D0A" w:rsidP="00B139C3">
      <w:pPr>
        <w:rPr>
          <w:lang w:val="fr-FR" w:bidi="ar-DZ"/>
        </w:rPr>
      </w:pPr>
      <w:r w:rsidRPr="00664D0A">
        <w:rPr>
          <w:lang w:val="fr-FR" w:bidi="ar-DZ"/>
        </w:rPr>
        <w:t>Les régimes riches en aliments à indice glycémique (IG) élevé, avec charge glycémique (CG) élevée, ou riches en glucides rapidement absorbés, ont été associés à un risque accru de diabète de type 2 dans de grandes études épidémiologiques prospectives. Les glucides à IG élevé provoquent des réponses glycémiques et insuliniques postprandiales plus importantes que les glucides à IG faible, entraînant une augmentation de la résistance à l’insuline et une demande accrue en insuline pour le pancréas. Ces mécanismes peuvent contribuer au développement du diabète de type 2.</w:t>
      </w:r>
      <w:r w:rsidRPr="00E71797">
        <w:rPr>
          <w:lang w:bidi="ar-DZ"/>
        </w:rPr>
        <w:fldChar w:fldCharType="begin"/>
      </w:r>
      <w:r w:rsidR="00116A61">
        <w:rPr>
          <w:lang w:val="fr-FR" w:bidi="ar-DZ"/>
        </w:rPr>
        <w:instrText xml:space="preserve"> ADDIN ZOTERO_ITEM CSL_CITATION {"citationID":"YT8BuzjA","properties":{"formattedCitation":"(23)","plainCitation":"(23)","noteIndex":0},"citationItems":[{"id":"6VBx8p83/Seng3IVF","uris":["http://zotero.org/users/local/QE2koe11/items/DF86JUD4"],"itemData":{"id":83,"type":"article-journal","abstract":"The possibility that high, long-term intake of carbohydrates that are rapidly absorbed as glucose may increase the risk of type 2 diabetes has been a long-standing controversy. Two main mechanisms have been hypothesized, one mediated by increases in insulin resistance and the other by pancreatic exhaustion as a result of the increased demand for insulin. During the past decade, several lines of evidence have collectively provided strong support for a relation between such diets and diabetes incidence. In animals and in short-term human studies, a high intake of carbohydrates with a high glycemic index (a relative measure of the incremental glucose response per gram of carbohydrate) produced greater insulin resistance than did the intake of low-glycemic-index carbohydrates. In large prospective epidemiologic studies, both the glycemic index and the glycemic load (the glycemic index multiplied by the amount of carbohydrate) of the overall diet have been associated with a greater risk of type 2 diabetes in both men and women. Conversely, a higher intake of cereal fiber has been consistently associated with lower diabetes risk. In diabetic patients, evidence from medium-term studies suggests that replacing high-glycemic-index carbohydrates with a low-glycemic-index forms will improve glycemic control and, among persons treated with insulin, will reduce hypoglycemic episodes. These dietary changes, which can be made by replacing products made with white flour and potatoes with whole-grain, minimally refined cereal products, have also been associated with a lower risk of cardiovascular disease and can be an appropriate component of recommendations for an overall healthy diet.","container-title":"The American Journal of Clinical Nutrition","DOI":"10.1093/ajcn/76/1.274S","ISSN":"0002-9165","issue":"1","journalAbbreviation":"Am J Clin Nutr","language":"eng","page":"274S-80S","PMID":"12081851","source":"PubMed","title":"Glycemic index, glycemic load, and risk of type 2 diabetes","volume":"76","author":[{"family":"Willett","given":"Walter"},{"family":"Manson","given":"JoAnn"},{"family":"Liu","given":"Simin"}],"issued":{"date-parts":[["2002",7]]}}}],"schema":"https://github.com/citation-style-language/schema/raw/master/csl-citation.json"} </w:instrText>
      </w:r>
      <w:r w:rsidRPr="00E71797">
        <w:rPr>
          <w:lang w:bidi="ar-DZ"/>
        </w:rPr>
        <w:fldChar w:fldCharType="separate"/>
      </w:r>
      <w:r w:rsidR="006529E5" w:rsidRPr="006529E5">
        <w:rPr>
          <w:rFonts w:ascii="Calibri" w:hAnsi="Calibri"/>
          <w:lang w:val="fr-FR"/>
        </w:rPr>
        <w:t>(23)</w:t>
      </w:r>
      <w:r w:rsidRPr="00E71797">
        <w:rPr>
          <w:lang w:bidi="ar-DZ"/>
        </w:rPr>
        <w:fldChar w:fldCharType="end"/>
      </w:r>
      <w:r w:rsidRPr="00664D0A">
        <w:rPr>
          <w:lang w:val="fr-FR" w:bidi="ar-DZ"/>
        </w:rPr>
        <w:t xml:space="preserve">La nature des acides gras de l’alimentation est susceptible de moduler le risque de survenue d’une insulinorésistance, d’un syndrome métabolique ou d’un diabète de type 2 (DT2). Un excès d’apport en acides gras saturés favorise la survenue d’une insulinorésistance, qui représente un mécanisme clé dans le développement du DT2, tandis que des acides gras polyinsaturés à longue chaîne apportent un effet protecteur vis à vis du risque de DT2. De plus, un degré plus élevé de saturation des </w:t>
      </w:r>
      <w:r w:rsidRPr="00664D0A">
        <w:rPr>
          <w:lang w:val="fr-FR" w:bidi="ar-DZ"/>
        </w:rPr>
        <w:lastRenderedPageBreak/>
        <w:t>phospholipides membranaires est positivement associé à l’insulinorésistance ou au risque de DT2</w:t>
      </w:r>
      <w:r w:rsidRPr="00E71797">
        <w:rPr>
          <w:lang w:bidi="ar-DZ"/>
        </w:rPr>
        <w:fldChar w:fldCharType="begin"/>
      </w:r>
      <w:r w:rsidR="00116A61">
        <w:rPr>
          <w:lang w:val="fr-FR" w:bidi="ar-DZ"/>
        </w:rPr>
        <w:instrText xml:space="preserve"> ADDIN ZOTERO_ITEM CSL_CITATION {"citationID":"SZO5B7Un","properties":{"formattedCitation":"(24)","plainCitation":"(24)","noteIndex":0},"citationItems":[{"id":"6VBx8p83/X2tVGp46","uris":["http://zotero.org/users/local/QE2koe11/items/BZK5FKX7"],"itemData":{"id":87,"type":"article-journal","abstract":"La nature des acides gras de l’alimentation est susceptible de moduler le risque de survenue d’une insulinorésistance seule, d’un syndrome métabolique ou d’un diabète de type 2 (DT2). L’excès d’apport d’acides gras saturés favorise la survenue d’une insulinorésistance. En revanche, un apport en acides gras polyinsaturés à longue chaîne de la série n-3 a un effet préventif, y compris vis-à-vis du risque de DT2. D’une manière générale, il existe également un lien positif entre le degré de saturation des phospholipides membranaires et l’insulinorésistance ou le risque de DT2. Sur le plan curatif, aucun type d’alimentation n’a été montré efficace vis-à-vis de l’équilibre glycémique ou de l’insulinorésistance du DT2. Une alimentation riche en acides gras mono-insaturés diminue la triglycéridémie, la lipémie post-prandiale et les marqueurs de l’inflammation.\nThe type of fatty acids may modulate the risk of development of insulin resistance, type 2 diabetes (T2D) or metabolic syndrome. An excess of saturated fatty acids is positively related to insulin resistance and risk of T2D, whereas long chain n-3 fatty acids are protective. Saturation of membrane muscle phospholipids is positively related to the risk of insulin resistance and T2D. No effect of any type of fatty acids has been demonstrated to improve glycemic control or insulin resistance in T2D patients. Monounsaturated fatty acids reduce plasma triglycerides, postprandial lipemia and markers of inflammation.","container-title":"Médecine des Maladies Métaboliques","DOI":"10.1016/S1957-2557(11)70236-X","ISSN":"1957-2557","issue":"3","journalAbbreviation":"Médecine des Maladies Métaboliques","page":"253-256","source":"ScienceDirect","title":"Acides gras, insulinorésistance, syndrome métabolique et diabète de type 2: Fatty acids, insulin resistance, metabolic syndrome and type 2 diabetes","title-short":"Acides gras, insulinorésistance, syndrome métabolique et diabète de type 2","volume":"5","author":[{"family":"Delarue","given":"J."},{"family":"Guriec","given":"N."}],"issued":{"date-parts":[["2011",6,1]]}}}],"schema":"https://github.com/citation-style-language/schema/raw/master/csl-citation.json"} </w:instrText>
      </w:r>
      <w:r w:rsidRPr="00E71797">
        <w:rPr>
          <w:lang w:bidi="ar-DZ"/>
        </w:rPr>
        <w:fldChar w:fldCharType="separate"/>
      </w:r>
      <w:r w:rsidR="006529E5" w:rsidRPr="006529E5">
        <w:rPr>
          <w:rFonts w:ascii="Calibri" w:hAnsi="Calibri"/>
          <w:lang w:val="fr-FR"/>
        </w:rPr>
        <w:t>(24)</w:t>
      </w:r>
      <w:r w:rsidRPr="00E71797">
        <w:rPr>
          <w:lang w:bidi="ar-DZ"/>
        </w:rPr>
        <w:fldChar w:fldCharType="end"/>
      </w:r>
    </w:p>
    <w:p w14:paraId="1FCBAFE2" w14:textId="77777777" w:rsidR="00664D0A" w:rsidRPr="00664D0A" w:rsidRDefault="00664D0A" w:rsidP="00577C0B">
      <w:pPr>
        <w:pStyle w:val="Heading1"/>
      </w:pPr>
      <w:bookmarkStart w:id="30" w:name="_Toc229618773"/>
      <w:r w:rsidRPr="00664D0A">
        <w:t xml:space="preserve">5/La </w:t>
      </w:r>
      <w:proofErr w:type="gramStart"/>
      <w:r w:rsidRPr="00664D0A">
        <w:t>Physiopathologie:</w:t>
      </w:r>
      <w:bookmarkEnd w:id="30"/>
      <w:proofErr w:type="gramEnd"/>
    </w:p>
    <w:p w14:paraId="64273762" w14:textId="506202AE" w:rsidR="00664D0A" w:rsidRPr="00664D0A" w:rsidRDefault="00664D0A" w:rsidP="00B139C3">
      <w:pPr>
        <w:rPr>
          <w:lang w:val="fr-FR"/>
        </w:rPr>
      </w:pPr>
      <w:r w:rsidRPr="00664D0A">
        <w:rPr>
          <w:lang w:val="fr-FR"/>
        </w:rPr>
        <w:t>L’insuline est l’hormone principale de l’homéostasie de glucose. Trois principales anomalies métaboliques conduisent à l’hyperglycémie dans le diabète de type 2 : insulinopénie relative, résistance périphérique à l’action de l’insuline et augmentation de la production hépatique de glucose. Chacune de ces altérations est actuellement bien caractérisée. Leur part relative est éminemment variable selon les patients ce qui souligne l’extrême hétérogénéité physiopathologique de diabète de type 2 :</w:t>
      </w:r>
      <w:r w:rsidRPr="00E71797">
        <w:fldChar w:fldCharType="begin"/>
      </w:r>
      <w:r w:rsidR="00116A61">
        <w:rPr>
          <w:lang w:val="fr-FR"/>
        </w:rPr>
        <w:instrText xml:space="preserve"> ADDIN ZOTERO_ITEM CSL_CITATION {"citationID":"YyVBeLTb","properties":{"formattedCitation":"(14)","plainCitation":"(14)","noteIndex":0},"citationItems":[{"id":"6VBx8p83/lhlbezHD","uris":["http://zotero.org/users/local/QE2koe11/items/AC9RHBP9"],"itemData":{"id":19,"type":"document","title":"45-2014"}}],"schema":"https://github.com/citation-style-language/schema/raw/master/csl-citation.json"} </w:instrText>
      </w:r>
      <w:r w:rsidRPr="00E71797">
        <w:fldChar w:fldCharType="separate"/>
      </w:r>
      <w:r w:rsidR="006529E5" w:rsidRPr="006529E5">
        <w:rPr>
          <w:rFonts w:ascii="Calibri" w:hAnsi="Calibri"/>
          <w:lang w:val="fr-FR"/>
        </w:rPr>
        <w:t>(14)</w:t>
      </w:r>
      <w:r w:rsidRPr="00E71797">
        <w:fldChar w:fldCharType="end"/>
      </w:r>
    </w:p>
    <w:p w14:paraId="4F8492FA" w14:textId="77777777" w:rsidR="00664D0A" w:rsidRPr="00664D0A" w:rsidRDefault="00664D0A" w:rsidP="00577C0B">
      <w:pPr>
        <w:pStyle w:val="Heading2"/>
      </w:pPr>
      <w:bookmarkStart w:id="31" w:name="_Toc229618774"/>
      <w:r w:rsidRPr="00664D0A">
        <w:t>5-1/ L’insulinorésistance :</w:t>
      </w:r>
      <w:bookmarkEnd w:id="31"/>
    </w:p>
    <w:p w14:paraId="2C075BA3" w14:textId="5099451F" w:rsidR="00664D0A" w:rsidRPr="00664D0A" w:rsidRDefault="00664D0A" w:rsidP="00B139C3">
      <w:pPr>
        <w:rPr>
          <w:lang w:val="fr-FR"/>
        </w:rPr>
      </w:pPr>
      <w:r w:rsidRPr="00664D0A">
        <w:rPr>
          <w:lang w:val="fr-FR"/>
        </w:rPr>
        <w:t>L’insulinorésistance se caractérise par la réduction de la capacité des tissus périphériques, notamment le muscle squelettique et le tissu adipeux, à répondre à l’insuline. Cette résistance diminue l’absorption du glucose par les muscles et diminue la suppression de la production hépatique de glucose, entraînant une hyperglycémie postprandiale. L’accumulation de lipides intracellulaires et d’acides gras libres joue un rôle central dans la perturbation du signal de l’insuline, exacerbant ainsi la résistance insulinique intracellulaires et d’acides gras libres joue un rôle central dans la perturbation du signal de l’insuline, exacerbant ainsi la résistance insulinique.</w:t>
      </w:r>
      <w:r w:rsidRPr="00E71797">
        <w:fldChar w:fldCharType="begin"/>
      </w:r>
      <w:r w:rsidR="00116A61">
        <w:rPr>
          <w:lang w:val="fr-FR"/>
        </w:rPr>
        <w:instrText xml:space="preserve"> ADDIN ZOTERO_ITEM CSL_CITATION {"citationID":"rEwYuB5m","properties":{"formattedCitation":"(25)","plainCitation":"(25)","noteIndex":0},"citationItems":[{"id":"6VBx8p83/MhDmfpC0","uris":["http://zotero.org/users/local/QE2koe11/items/3QFZT3J6"],"itemData":{"id":41,"type":"article-journal","abstract":"Insulin resistance is the pivotal pathogenic component of many metabolic diseases, including type 2 diabetes mellitus, and is defined as a state of reduced responsiveness of insulin-targeting tissues to physiological levels of insulin. Although the underlying mechanism of insulin resistance is not fully understood, several credible theories have been proposed. In this review, we summarize the functions of insulin in glucose metabolism in typical metabolic tissues and describe the mechanisms proposed to underlie insulin resistance, that is, ectopic lipid accumulation in liver and skeletal muscle, endoplasmic reticulum stress, and inflammation. In addition, we suggest potential therapeutic strategies for addressing insulin resistance.","container-title":"Diabetes &amp; Metabolism Journal","DOI":"10.4093/dmj.2021.0280","ISSN":"2233-6079, 2233-6087","issue":"1","journalAbbreviation":"Diabetes Metab J","language":"en","page":"15-37","source":"DOI.org (Crossref)","title":"Insulin Resistance: From Mechanisms to Therapeutic Strategies","title-short":"Insulin Resistance","volume":"46","author":[{"family":"Lee","given":"Shin-Hae"},{"family":"Park","given":"Shi-Young"},{"family":"Choi","given":"Cheol Soo"}],"issued":{"date-parts":[["2022",1,31]]}}}],"schema":"https://github.com/citation-style-language/schema/raw/master/csl-citation.json"} </w:instrText>
      </w:r>
      <w:r w:rsidRPr="00E71797">
        <w:fldChar w:fldCharType="separate"/>
      </w:r>
      <w:r w:rsidR="006529E5" w:rsidRPr="006529E5">
        <w:rPr>
          <w:rFonts w:ascii="Calibri" w:hAnsi="Calibri"/>
          <w:lang w:val="fr-FR"/>
        </w:rPr>
        <w:t>(25)</w:t>
      </w:r>
      <w:r w:rsidRPr="00E71797">
        <w:fldChar w:fldCharType="end"/>
      </w:r>
    </w:p>
    <w:p w14:paraId="31533563" w14:textId="77777777" w:rsidR="00664D0A" w:rsidRPr="00664D0A" w:rsidRDefault="00664D0A" w:rsidP="00577C0B">
      <w:pPr>
        <w:pStyle w:val="Heading2"/>
      </w:pPr>
      <w:bookmarkStart w:id="32" w:name="_Toc229618775"/>
      <w:r w:rsidRPr="00664D0A">
        <w:t>5-2/L’insulinopénie relative :</w:t>
      </w:r>
      <w:bookmarkEnd w:id="32"/>
    </w:p>
    <w:p w14:paraId="6033E124" w14:textId="06B2E0B7" w:rsidR="00664D0A" w:rsidRPr="00664D0A" w:rsidRDefault="00664D0A" w:rsidP="00B139C3">
      <w:pPr>
        <w:rPr>
          <w:lang w:val="fr-FR"/>
        </w:rPr>
      </w:pPr>
      <w:r w:rsidRPr="00664D0A">
        <w:rPr>
          <w:lang w:val="fr-FR"/>
        </w:rPr>
        <w:t xml:space="preserve">La progression vers le diabète de type 2 implique non seulement une insulinorésistance, mais également une dysfonction des cellules </w:t>
      </w:r>
      <w:r w:rsidRPr="00E71797">
        <w:t>β</w:t>
      </w:r>
      <w:r w:rsidRPr="00664D0A">
        <w:rPr>
          <w:lang w:val="fr-FR"/>
        </w:rPr>
        <w:t xml:space="preserve"> pancréatiques. Ces cellules ne parviennent plus à sécréter suffisamment d’insuline pour compenser la résistance périphérique, ce qui entraîne une hyperglycémie chronique. Des anomalies dans la biosynthèse et la sécrétion d’insuline, ainsi que la perte de masse cellulaire </w:t>
      </w:r>
      <w:r w:rsidRPr="00E71797">
        <w:t>β</w:t>
      </w:r>
      <w:r w:rsidRPr="00664D0A">
        <w:rPr>
          <w:lang w:val="fr-FR"/>
        </w:rPr>
        <w:t xml:space="preserve"> par apoptose, contribuent à cette dysfonction progressive </w:t>
      </w:r>
      <w:r w:rsidRPr="00E71797">
        <w:fldChar w:fldCharType="begin"/>
      </w:r>
      <w:r w:rsidR="00116A61">
        <w:rPr>
          <w:lang w:val="fr-FR"/>
        </w:rPr>
        <w:instrText xml:space="preserve"> ADDIN ZOTERO_ITEM CSL_CITATION {"citationID":"temjBd4d","properties":{"formattedCitation":"(26)","plainCitation":"(26)","noteIndex":0},"citationItems":[{"id":"6VBx8p83/0kcUaQTr","uris":["http://zotero.org/users/local/QE2koe11/items/WVDBDDCL"],"itemData":{"id":40,"type":"webpage","title":"The pathophysiology of type 2 diabetes mellitus: an overview - PubMed","URL":"https://pubmed.ncbi.nlm.nih.gov/11412136/","accessed":{"date-parts":[["2025",11,22]]}}}],"schema":"https://github.com/citation-style-language/schema/raw/master/csl-citation.json"} </w:instrText>
      </w:r>
      <w:r w:rsidRPr="00E71797">
        <w:fldChar w:fldCharType="separate"/>
      </w:r>
      <w:r w:rsidR="006529E5" w:rsidRPr="006529E5">
        <w:rPr>
          <w:rFonts w:ascii="Calibri" w:hAnsi="Calibri"/>
          <w:lang w:val="fr-FR"/>
        </w:rPr>
        <w:t>(26)</w:t>
      </w:r>
      <w:r w:rsidRPr="00E71797">
        <w:fldChar w:fldCharType="end"/>
      </w:r>
    </w:p>
    <w:p w14:paraId="41511B8A" w14:textId="77777777" w:rsidR="00664D0A" w:rsidRPr="00664D0A" w:rsidRDefault="00664D0A" w:rsidP="00577C0B">
      <w:pPr>
        <w:pStyle w:val="Heading2"/>
      </w:pPr>
      <w:bookmarkStart w:id="33" w:name="_Toc229618776"/>
      <w:r w:rsidRPr="00664D0A">
        <w:t>5-3/L’augmentation de la production hépatique de glucose :</w:t>
      </w:r>
      <w:bookmarkEnd w:id="33"/>
    </w:p>
    <w:p w14:paraId="5F9A4177" w14:textId="5492D039" w:rsidR="00664D0A" w:rsidRPr="00664D0A" w:rsidRDefault="00664D0A" w:rsidP="00B139C3">
      <w:pPr>
        <w:rPr>
          <w:lang w:val="fr-FR"/>
        </w:rPr>
      </w:pPr>
      <w:r w:rsidRPr="00664D0A">
        <w:rPr>
          <w:lang w:val="fr-FR"/>
        </w:rPr>
        <w:t>Dans le diabète de type 2, le foie devient résistant à l’action suppressive de l’insuline sur la néoglucogénèse et la glycogénolyse. Cette incapacité, à inhiber la production hépatique de glucose contribue de manière significative à l’hyperglycémie à jeun observée chez les patients. L’excès de substrats énergétiques et les altérations du signal insulinique intracellulaire dans les hépatocytes aggravent ce phénomène.</w:t>
      </w:r>
      <w:r w:rsidRPr="00E71797">
        <w:fldChar w:fldCharType="begin"/>
      </w:r>
      <w:r w:rsidR="00116A61">
        <w:rPr>
          <w:lang w:val="fr-FR"/>
        </w:rPr>
        <w:instrText xml:space="preserve"> ADDIN ZOTERO_ITEM CSL_CITATION {"citationID":"iAlerJfO","properties":{"formattedCitation":"(26)","plainCitation":"(26)","noteIndex":0},"citationItems":[{"id":"6VBx8p83/0kcUaQTr","uris":["http://zotero.org/users/local/QE2koe11/items/WVDBDDCL"],"itemData":{"id":40,"type":"webpage","title":"The pathophysiology of type 2 diabetes mellitus: an overview - PubMed","URL":"https://pubmed.ncbi.nlm.nih.gov/11412136/","accessed":{"date-parts":[["2025",11,22]]}}}],"schema":"https://github.com/citation-style-language/schema/raw/master/csl-citation.json"} </w:instrText>
      </w:r>
      <w:r w:rsidRPr="00E71797">
        <w:fldChar w:fldCharType="separate"/>
      </w:r>
      <w:r w:rsidR="006529E5" w:rsidRPr="006529E5">
        <w:rPr>
          <w:rFonts w:ascii="Calibri" w:hAnsi="Calibri"/>
          <w:lang w:val="fr-FR"/>
        </w:rPr>
        <w:t>(26)</w:t>
      </w:r>
      <w:r w:rsidRPr="00E71797">
        <w:fldChar w:fldCharType="end"/>
      </w:r>
    </w:p>
    <w:p w14:paraId="3BCE653F" w14:textId="77777777" w:rsidR="00664D0A" w:rsidRPr="00664D0A" w:rsidRDefault="00664D0A" w:rsidP="00577C0B">
      <w:pPr>
        <w:pStyle w:val="Heading2"/>
      </w:pPr>
      <w:bookmarkStart w:id="34" w:name="_Toc229618777"/>
      <w:r w:rsidRPr="00664D0A">
        <w:t>5-4/la lipotoxicité :</w:t>
      </w:r>
      <w:bookmarkEnd w:id="34"/>
    </w:p>
    <w:p w14:paraId="780EF4C1" w14:textId="565DD637" w:rsidR="00664D0A" w:rsidRPr="00664D0A" w:rsidRDefault="00664D0A" w:rsidP="00B139C3">
      <w:pPr>
        <w:rPr>
          <w:lang w:val="fr-FR"/>
        </w:rPr>
      </w:pPr>
      <w:r w:rsidRPr="00664D0A">
        <w:rPr>
          <w:lang w:val="fr-FR"/>
        </w:rPr>
        <w:t xml:space="preserve">L’excès d’acides gras libres circulants provenant du tissu adipeux favorise la lipotoxicité, un phénomène qui perturbe le fonctionnement des cellules </w:t>
      </w:r>
      <w:r w:rsidRPr="00E71797">
        <w:t>β</w:t>
      </w:r>
      <w:r w:rsidRPr="00664D0A">
        <w:rPr>
          <w:lang w:val="fr-FR"/>
        </w:rPr>
        <w:t xml:space="preserve"> et des tissus périphériques. Cette accumulation lipidique entraîne un stress oxydatif, altère la signalisation de l’insuline et contribue à l’aggravation de la résistance insulinique, créant un cercle vicieux entre hyperglycémie et dysfonction métabolique.</w:t>
      </w:r>
      <w:r w:rsidRPr="00E71797">
        <w:fldChar w:fldCharType="begin"/>
      </w:r>
      <w:r w:rsidR="00116A61">
        <w:rPr>
          <w:lang w:val="fr-FR"/>
        </w:rPr>
        <w:instrText xml:space="preserve"> ADDIN ZOTERO_ITEM CSL_CITATION {"citationID":"yPP0gaLZ","properties":{"formattedCitation":"(24)","plainCitation":"(24)","noteIndex":0},"citationItems":[{"id":"6VBx8p83/X2tVGp46","uris":["http://zotero.org/users/local/QE2koe11/items/BZK5FKX7"],"itemData":{"id":87,"type":"article-journal","abstract":"La nature des acides gras de l’alimentation est susceptible de moduler le risque de survenue d’une insulinorésistance seule, d’un syndrome métabolique ou d’un diabète de type 2 (DT2). L’excès d’apport d’acides gras saturés favorise la survenue d’une insulinorésistance. En revanche, un apport en acides gras polyinsaturés à longue chaîne de la série n-3 a un effet préventif, y compris vis-à-vis du risque de DT2. D’une manière générale, il existe également un lien positif entre le degré de saturation des phospholipides membranaires et l’insulinorésistance ou le risque de DT2. Sur le plan curatif, aucun type d’alimentation n’a été montré efficace vis-à-vis de l’équilibre glycémique ou de l’insulinorésistance du DT2. Une alimentation riche en acides gras mono-insaturés diminue la triglycéridémie, la lipémie post-prandiale et les marqueurs de l’inflammation.\nThe type of fatty acids may modulate the risk of development of insulin resistance, type 2 diabetes (T2D) or metabolic syndrome. An excess of saturated fatty acids is positively related to insulin resistance and risk of T2D, whereas long chain n-3 fatty acids are protective. Saturation of membrane muscle phospholipids is positively related to the risk of insulin resistance and T2D. No effect of any type of fatty acids has been demonstrated to improve glycemic control or insulin resistance in T2D patients. Monounsaturated fatty acids reduce plasma triglycerides, postprandial lipemia and markers of inflammation.","container-title":"Médecine des Maladies Métaboliques","DOI":"10.1016/S1957-2557(11)70236-X","ISSN":"1957-2557","issue":"3","journalAbbreviation":"Médecine des Maladies Métaboliques","page":"253-256","source":"ScienceDirect","title":"Acides gras, insulinorésistance, syndrome métabolique et diabète de type 2: Fatty acids, insulin resistance, metabolic syndrome and type 2 diabetes","title-short":"Acides gras, insulinorésistance, syndrome métabolique et diabète de type 2","volume":"5","author":[{"family":"Delarue","given":"J."},{"family":"Guriec","given":"N."}],"issued":{"date-parts":[["2011",6,1]]}}}],"schema":"https://github.com/citation-style-language/schema/raw/master/csl-citation.json"} </w:instrText>
      </w:r>
      <w:r w:rsidRPr="00E71797">
        <w:fldChar w:fldCharType="separate"/>
      </w:r>
      <w:r w:rsidR="006529E5" w:rsidRPr="006529E5">
        <w:rPr>
          <w:rFonts w:ascii="Calibri" w:hAnsi="Calibri"/>
          <w:lang w:val="fr-FR"/>
        </w:rPr>
        <w:t>(24)</w:t>
      </w:r>
      <w:r w:rsidRPr="00E71797">
        <w:fldChar w:fldCharType="end"/>
      </w:r>
    </w:p>
    <w:p w14:paraId="70D08C44" w14:textId="77777777" w:rsidR="00664D0A" w:rsidRPr="00664D0A" w:rsidRDefault="00664D0A" w:rsidP="00577C0B">
      <w:pPr>
        <w:pStyle w:val="Heading2"/>
      </w:pPr>
      <w:bookmarkStart w:id="35" w:name="_Toc229618778"/>
      <w:r w:rsidRPr="00664D0A">
        <w:t>5-5/L’Inflammation et stress oxydatif :</w:t>
      </w:r>
      <w:bookmarkEnd w:id="35"/>
    </w:p>
    <w:p w14:paraId="0BA20C29" w14:textId="66F028A6" w:rsidR="00664D0A" w:rsidRPr="00664D0A" w:rsidRDefault="00664D0A" w:rsidP="00B139C3">
      <w:pPr>
        <w:rPr>
          <w:lang w:val="fr-FR"/>
        </w:rPr>
      </w:pPr>
      <w:r w:rsidRPr="00664D0A">
        <w:rPr>
          <w:lang w:val="fr-FR"/>
        </w:rPr>
        <w:t xml:space="preserve">Dans le diabète de type 2, l’hyperglycémie chronique et les dysfonctionnements métaboliques entraînent une production excessive d'espèces réactives de l’oxygène (ROS), dépassant les </w:t>
      </w:r>
      <w:r w:rsidRPr="00664D0A">
        <w:rPr>
          <w:lang w:val="fr-FR"/>
        </w:rPr>
        <w:lastRenderedPageBreak/>
        <w:t>capacités de défense antioxydante de l’organisme et provoquant un stress oxydatif. Ce déséquilibre oxydatif contribue directement à la dysfonction des cellules </w:t>
      </w:r>
      <w:r w:rsidRPr="00E71797">
        <w:t>β</w:t>
      </w:r>
      <w:r w:rsidRPr="00664D0A">
        <w:rPr>
          <w:lang w:val="fr-FR"/>
        </w:rPr>
        <w:t xml:space="preserve"> pancréatiques, à l’insulinorésistance dans les tissus périphériques et à l’activation de voies pro inflammatoires. L’accumulation de ROS endommage les protéines, les lipides et l’ADN des cellules, altère la signalisation de l’insuline et favorise la progression des complications micro et macrovasculaires, telles que la rétinopathie et la néphropathie. Ainsi, le stress oxydatif constitue un mécanisme physiopathologique majeur dans le développement et l’aggravation du diabète de type 2 et ses complications.</w:t>
      </w:r>
      <w:r w:rsidRPr="00E71797">
        <w:fldChar w:fldCharType="begin"/>
      </w:r>
      <w:r w:rsidR="00116A61">
        <w:rPr>
          <w:lang w:val="fr-FR"/>
        </w:rPr>
        <w:instrText xml:space="preserve"> ADDIN ZOTERO_ITEM CSL_CITATION {"citationID":"Dgu2Q8lO","properties":{"formattedCitation":"(27)","plainCitation":"(27)","noteIndex":0},"citationItems":[{"id":"6VBx8p83/AOcUCFX4","uris":["http://zotero.org/users/local/QE2koe11/items/CJ6FZNMN"],"itemData":{"id":98,"type":"article-journal","abstract":"Oxidative stress is a critical factor in the pathogenesis and progression of diabetes and its associated complications. The imbalance between reactive oxygen species (ROS) production and the body's antioxidant defence mechanisms leads to cellular damage and dysfunction. In diabetes, chronic hyperglycaemia and mitochondrial dysfunction contribute to increased ROS production, further exacerbating oxidative stress. This oxidative burden adversely affects various aspects of diabetes, including impaired beta-cell function and insulin resistance, leading to disrupted glucose regulation. Additionally, oxidative stress-induced damage to blood vessels and impaired endothelial function contribute to the development of diabetic vascular complications such as retinopathy, nephropathy, and cardiovascular diseases. Moreover, organs and tissues throughout the body, including the kidneys, nerves, and eyes, are vulnerable to oxidative stress, resulting in diabetic nephropathy, neuropathy, and retinopathy. Strategies to mitigate oxidative stress in diabetes include antioxidant therapy, lifestyle modifications, and effective management of hyperglycaemia. However, further research is necessary to comprehensively understand the underlying mechanisms of oxidative stress in diabetes and to evaluate the efficacy of antioxidant interventions in preventing and treating diabetic complications. By addressing oxidative stress, it might be possible to alleviate the burden of diabetes and improve patient outcomes.","container-title":"Current Issues in Molecular Biology","DOI":"10.3390/cimb45080420","ISSN":"1467-3045","issue":"8","journalAbbreviation":"Curr Issues Mol Biol","language":"eng","page":"6651-6666","PMID":"37623239","PMCID":"PMC10453126","source":"PubMed","title":"Oxidative Stress in Type 2 Diabetes: Impacts from Pathogenesis to Lifestyle Modifications","title-short":"Oxidative Stress in Type 2 Diabetes","volume":"45","author":[{"family":"Caturano","given":"Alfredo"},{"family":"D'Angelo","given":"Margherita"},{"family":"Mormone","given":"Andrea"},{"family":"Russo","given":"Vincenzo"},{"family":"Mollica","given":"Maria Pina"},{"family":"Salvatore","given":"Teresa"},{"family":"Galiero","given":"Raffaele"},{"family":"Rinaldi","given":"Luca"},{"family":"Vetrano","given":"Erica"},{"family":"Marfella","given":"Raffaele"},{"family":"Monda","given":"Marcellino"},{"family":"Giordano","given":"Antonio"},{"family":"Sasso","given":"Ferdinando Carlo"}],"issued":{"date-parts":[["2023",8,12]]}}}],"schema":"https://github.com/citation-style-language/schema/raw/master/csl-citation.json"} </w:instrText>
      </w:r>
      <w:r w:rsidRPr="00E71797">
        <w:fldChar w:fldCharType="separate"/>
      </w:r>
      <w:r w:rsidR="006529E5" w:rsidRPr="006529E5">
        <w:rPr>
          <w:rFonts w:ascii="Calibri" w:hAnsi="Calibri"/>
          <w:lang w:val="fr-FR"/>
        </w:rPr>
        <w:t>(27)</w:t>
      </w:r>
      <w:r w:rsidRPr="00E71797">
        <w:fldChar w:fldCharType="end"/>
      </w:r>
    </w:p>
    <w:p w14:paraId="62B93352" w14:textId="77777777" w:rsidR="00664D0A" w:rsidRPr="00664D0A" w:rsidRDefault="00664D0A" w:rsidP="00B139C3">
      <w:pPr>
        <w:rPr>
          <w:lang w:val="fr-FR"/>
        </w:rPr>
      </w:pPr>
      <w:r w:rsidRPr="00E71797">
        <w:rPr>
          <w:noProof/>
          <w:lang w:val="fr-FR" w:eastAsia="fr-FR"/>
        </w:rPr>
        <w:drawing>
          <wp:inline distT="0" distB="0" distL="0" distR="0" wp14:anchorId="3AE27ADB" wp14:editId="1D8FFB87">
            <wp:extent cx="3543300" cy="1681818"/>
            <wp:effectExtent l="19050" t="0" r="0" b="0"/>
            <wp:docPr id="29" name="Image 28" descr="fig-3-dt2-1024x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dt2-1024x486.jpg"/>
                    <pic:cNvPicPr/>
                  </pic:nvPicPr>
                  <pic:blipFill>
                    <a:blip r:embed="rId19"/>
                    <a:stretch>
                      <a:fillRect/>
                    </a:stretch>
                  </pic:blipFill>
                  <pic:spPr>
                    <a:xfrm>
                      <a:off x="0" y="0"/>
                      <a:ext cx="3544123" cy="1682209"/>
                    </a:xfrm>
                    <a:prstGeom prst="rect">
                      <a:avLst/>
                    </a:prstGeom>
                  </pic:spPr>
                </pic:pic>
              </a:graphicData>
            </a:graphic>
          </wp:inline>
        </w:drawing>
      </w:r>
    </w:p>
    <w:p w14:paraId="75F2B3FE" w14:textId="57031837" w:rsidR="00664D0A" w:rsidRPr="00664D0A" w:rsidRDefault="00664D0A" w:rsidP="00B139C3">
      <w:pPr>
        <w:rPr>
          <w:lang w:val="fr-FR"/>
        </w:rPr>
      </w:pPr>
      <w:bookmarkStart w:id="36" w:name="_Toc229617292"/>
      <w:r w:rsidRPr="00664D0A">
        <w:rPr>
          <w:lang w:val="fr-FR"/>
        </w:rPr>
        <w:t xml:space="preserve">Figure </w:t>
      </w:r>
      <w:r>
        <w:fldChar w:fldCharType="begin"/>
      </w:r>
      <w:r w:rsidRPr="00664D0A">
        <w:rPr>
          <w:lang w:val="fr-FR"/>
        </w:rPr>
        <w:instrText xml:space="preserve"> SEQ Figure \* ARABIC </w:instrText>
      </w:r>
      <w:r>
        <w:fldChar w:fldCharType="separate"/>
      </w:r>
      <w:r w:rsidR="00983108">
        <w:rPr>
          <w:noProof/>
          <w:lang w:val="fr-FR"/>
        </w:rPr>
        <w:t>2</w:t>
      </w:r>
      <w:r>
        <w:rPr>
          <w:noProof/>
        </w:rPr>
        <w:fldChar w:fldCharType="end"/>
      </w:r>
      <w:r w:rsidRPr="00664D0A">
        <w:rPr>
          <w:lang w:val="fr-FR"/>
        </w:rPr>
        <w:t xml:space="preserve"> : Insulinorésistance hépatique et périphérique (musculaire et adipocytaire).</w:t>
      </w:r>
      <w:bookmarkEnd w:id="36"/>
    </w:p>
    <w:p w14:paraId="758AD606" w14:textId="3E2DEEE8" w:rsidR="00664D0A" w:rsidRPr="00577C0B" w:rsidRDefault="00664D0A" w:rsidP="00577C0B">
      <w:pPr>
        <w:rPr>
          <w:color w:val="333333"/>
          <w:lang w:val="fr-FR"/>
        </w:rPr>
      </w:pPr>
      <w:r w:rsidRPr="00664D0A">
        <w:rPr>
          <w:color w:val="333333"/>
          <w:lang w:val="fr-FR"/>
        </w:rPr>
        <w:t>(Source : CEEDMM, 2021.)</w:t>
      </w:r>
    </w:p>
    <w:p w14:paraId="192DEC66" w14:textId="29B55C5F" w:rsidR="00577C0B" w:rsidRPr="00577C0B" w:rsidRDefault="00577C0B" w:rsidP="00577C0B">
      <w:pPr>
        <w:pStyle w:val="Heading1"/>
        <w:rPr>
          <w:rFonts w:eastAsiaTheme="minorBidi"/>
        </w:rPr>
      </w:pPr>
      <w:bookmarkStart w:id="37" w:name="_Toc229618779"/>
      <w:r>
        <w:rPr>
          <w:rFonts w:eastAsiaTheme="minorBidi"/>
        </w:rPr>
        <w:t>6/ Com</w:t>
      </w:r>
      <w:r w:rsidR="00664D0A" w:rsidRPr="00664D0A">
        <w:rPr>
          <w:rFonts w:eastAsiaTheme="minorBidi"/>
        </w:rPr>
        <w:t xml:space="preserve">plications liées au diabète type </w:t>
      </w:r>
      <w:proofErr w:type="gramStart"/>
      <w:r w:rsidR="00664D0A" w:rsidRPr="00664D0A">
        <w:rPr>
          <w:rFonts w:eastAsiaTheme="minorBidi"/>
        </w:rPr>
        <w:t>2:</w:t>
      </w:r>
      <w:bookmarkEnd w:id="37"/>
      <w:proofErr w:type="gramEnd"/>
      <w:r w:rsidR="00664D0A" w:rsidRPr="00664D0A">
        <w:rPr>
          <w:rFonts w:eastAsiaTheme="minorBidi"/>
        </w:rPr>
        <w:t xml:space="preserve"> </w:t>
      </w:r>
    </w:p>
    <w:p w14:paraId="78B14525" w14:textId="77777777" w:rsidR="00664D0A" w:rsidRPr="00664D0A" w:rsidRDefault="00664D0A" w:rsidP="00577C0B">
      <w:pPr>
        <w:pStyle w:val="Heading2"/>
        <w:rPr>
          <w:rFonts w:eastAsiaTheme="minorBidi"/>
        </w:rPr>
      </w:pPr>
      <w:bookmarkStart w:id="38" w:name="_Toc229618780"/>
      <w:r w:rsidRPr="00664D0A">
        <w:rPr>
          <w:rFonts w:eastAsiaTheme="minorBidi"/>
        </w:rPr>
        <w:t>6-1/ Les complications métaboliques aiguës :</w:t>
      </w:r>
      <w:bookmarkEnd w:id="38"/>
    </w:p>
    <w:p w14:paraId="43B68D5C" w14:textId="77777777" w:rsidR="00664D0A" w:rsidRPr="00664D0A" w:rsidRDefault="00664D0A" w:rsidP="00577C0B">
      <w:pPr>
        <w:pStyle w:val="Heading3"/>
      </w:pPr>
      <w:r w:rsidRPr="00664D0A">
        <w:t xml:space="preserve"> 6-1-1/Hypoglycémie :</w:t>
      </w:r>
    </w:p>
    <w:p w14:paraId="4D59D212" w14:textId="0C484475" w:rsidR="00664D0A" w:rsidRPr="00664D0A" w:rsidRDefault="00664D0A" w:rsidP="00B139C3">
      <w:pPr>
        <w:rPr>
          <w:rFonts w:eastAsiaTheme="minorBidi"/>
          <w:color w:val="000000"/>
          <w:lang w:val="fr-FR"/>
        </w:rPr>
      </w:pPr>
      <w:r w:rsidRPr="00664D0A">
        <w:rPr>
          <w:rFonts w:eastAsiaTheme="minorBidi"/>
          <w:color w:val="000000"/>
          <w:lang w:val="fr-FR"/>
        </w:rPr>
        <w:t>L’hypoglycémie est définie par une glycémie capillaire ≤ 0,70 g/L (≤ 3,9 mmol/L), associée à des symptômes compatibles et/ou une amélioration des signes après apport glucidique.</w:t>
      </w:r>
      <w:r w:rsidR="007A397A">
        <w:rPr>
          <w:rFonts w:eastAsiaTheme="minorBidi"/>
          <w:color w:val="000000"/>
          <w:lang w:val="fr-FR"/>
        </w:rPr>
        <w:fldChar w:fldCharType="begin"/>
      </w:r>
      <w:r w:rsidR="00116A61">
        <w:rPr>
          <w:rFonts w:eastAsiaTheme="minorBidi"/>
          <w:color w:val="000000"/>
          <w:lang w:val="fr-FR"/>
        </w:rPr>
        <w:instrText xml:space="preserve"> ADDIN ZOTERO_ITEM CSL_CITATION {"citationID":"ykyJjCnd","properties":{"unsorted":false,"formattedCitation":"(28)","plainCitation":"(28)","noteIndex":0},"citationItems":[{"id":"6VBx8p83/m1lETWxg","uris":["http://zotero.org/users/local/xPnoPzR4/items/F7MAGFEI"],"itemData":{"id":287,"type":"article-journal","container-title":"Diabetes Care","DOI":"10.2337/dc24-SREV","ISSN":"0149-5992","issue":"Supplement_1","journalAbbreviation":"Diabetes Care","page":"S5-S10","source":"Silverchair","title":"Summary of Revisions: Standards of Care in Diabetes—2024","title-short":"Summary of Revisions","volume":"47","author":[{"literal":"American Diabetes Association Professional Practice Committee"}],"issued":{"date-parts":[["2023",12,11]]}}}],"schema":"https://github.com/citation-style-language/schema/raw/master/csl-citation.json"} </w:instrText>
      </w:r>
      <w:r w:rsidR="007A397A">
        <w:rPr>
          <w:rFonts w:eastAsiaTheme="minorBidi"/>
          <w:color w:val="000000"/>
          <w:lang w:val="fr-FR"/>
        </w:rPr>
        <w:fldChar w:fldCharType="separate"/>
      </w:r>
      <w:r w:rsidR="007A397A" w:rsidRPr="007A397A">
        <w:rPr>
          <w:rFonts w:ascii="Calibri" w:hAnsi="Calibri"/>
          <w:lang w:val="fr-FR"/>
        </w:rPr>
        <w:t>(28)</w:t>
      </w:r>
      <w:r w:rsidR="007A397A">
        <w:rPr>
          <w:rFonts w:eastAsiaTheme="minorBidi"/>
          <w:color w:val="000000"/>
          <w:lang w:val="fr-FR"/>
        </w:rPr>
        <w:fldChar w:fldCharType="end"/>
      </w:r>
    </w:p>
    <w:p w14:paraId="09DCD99B" w14:textId="77777777" w:rsidR="00664D0A" w:rsidRPr="00664D0A" w:rsidRDefault="00664D0A" w:rsidP="00B139C3">
      <w:pPr>
        <w:rPr>
          <w:color w:val="000000"/>
          <w:sz w:val="36"/>
          <w:lang w:val="fr-FR"/>
        </w:rPr>
      </w:pPr>
      <w:r w:rsidRPr="00664D0A">
        <w:rPr>
          <w:rFonts w:eastAsiaTheme="minorBidi"/>
          <w:color w:val="000000"/>
          <w:u w:val="single"/>
          <w:lang w:val="fr-FR"/>
        </w:rPr>
        <w:t xml:space="preserve">  Causes et facteurs déclencheurs :</w:t>
      </w:r>
    </w:p>
    <w:p w14:paraId="7894B359" w14:textId="77777777" w:rsidR="00664D0A" w:rsidRPr="00664D0A" w:rsidRDefault="00664D0A" w:rsidP="00B139C3">
      <w:pPr>
        <w:rPr>
          <w:color w:val="000000"/>
          <w:lang w:val="fr-FR"/>
        </w:rPr>
      </w:pPr>
      <w:r w:rsidRPr="00664D0A">
        <w:rPr>
          <w:color w:val="000000"/>
          <w:lang w:val="fr-FR"/>
        </w:rPr>
        <w:t>Les hypoglycémies chez le DT2 sont le plus souvent liées à :</w:t>
      </w:r>
    </w:p>
    <w:p w14:paraId="7BB14554" w14:textId="77777777" w:rsidR="00664D0A" w:rsidRPr="00664D0A" w:rsidRDefault="00664D0A" w:rsidP="00B139C3">
      <w:pPr>
        <w:rPr>
          <w:rFonts w:eastAsiaTheme="minorBidi"/>
          <w:color w:val="000000"/>
          <w:lang w:val="fr-FR"/>
        </w:rPr>
      </w:pPr>
      <w:r w:rsidRPr="00664D0A">
        <w:rPr>
          <w:rFonts w:eastAsiaTheme="minorBidi"/>
          <w:color w:val="000000"/>
          <w:lang w:val="fr-FR"/>
        </w:rPr>
        <w:t>_ Surdosage d’insuline ou d’agonistes de l’insuline</w:t>
      </w:r>
      <w:r w:rsidRPr="00664D0A">
        <w:rPr>
          <w:rFonts w:eastAsiaTheme="minorBidi"/>
          <w:color w:val="000000"/>
          <w:lang w:val="fr-FR"/>
        </w:rPr>
        <w:br/>
        <w:t xml:space="preserve"> _Sauts de repas ou jeûne prolongé</w:t>
      </w:r>
      <w:r w:rsidRPr="00664D0A">
        <w:rPr>
          <w:rFonts w:eastAsiaTheme="minorBidi"/>
          <w:color w:val="000000"/>
          <w:lang w:val="fr-FR"/>
        </w:rPr>
        <w:br/>
        <w:t>_ Activité physique intense non anticipée</w:t>
      </w:r>
      <w:r w:rsidRPr="00664D0A">
        <w:rPr>
          <w:rFonts w:eastAsiaTheme="minorBidi"/>
          <w:color w:val="000000"/>
          <w:lang w:val="fr-FR"/>
        </w:rPr>
        <w:br/>
        <w:t>_ Alcoolisation</w:t>
      </w:r>
      <w:r w:rsidRPr="00664D0A">
        <w:rPr>
          <w:rFonts w:eastAsiaTheme="minorBidi"/>
          <w:color w:val="000000"/>
          <w:lang w:val="fr-FR"/>
        </w:rPr>
        <w:br/>
        <w:t>_ Insuffisance rénale diminuant l’élimination des médicaments</w:t>
      </w:r>
      <w:r w:rsidRPr="00664D0A">
        <w:rPr>
          <w:rFonts w:eastAsiaTheme="minorBidi"/>
          <w:color w:val="000000"/>
          <w:lang w:val="fr-FR"/>
        </w:rPr>
        <w:br/>
        <w:t xml:space="preserve"> _Interactions médicamenteuses (ex : bêta</w:t>
      </w:r>
      <w:r w:rsidRPr="00664D0A">
        <w:rPr>
          <w:rFonts w:eastAsiaTheme="minorBidi"/>
          <w:color w:val="000000"/>
          <w:lang w:val="fr-FR"/>
        </w:rPr>
        <w:noBreakHyphen/>
        <w:t>bloquants masquant les symptômes)</w:t>
      </w:r>
      <w:r w:rsidRPr="00664D0A">
        <w:rPr>
          <w:rFonts w:eastAsiaTheme="minorBidi"/>
          <w:color w:val="000000"/>
          <w:lang w:val="fr-FR"/>
        </w:rPr>
        <w:br/>
        <w:t xml:space="preserve"> _Variations de routine alimentaire</w:t>
      </w:r>
    </w:p>
    <w:p w14:paraId="398487D5" w14:textId="0E69D472" w:rsidR="00664D0A" w:rsidRPr="00577C0B" w:rsidRDefault="00664D0A" w:rsidP="00577C0B">
      <w:pPr>
        <w:rPr>
          <w:rFonts w:eastAsiaTheme="minorBidi"/>
          <w:color w:val="000000"/>
          <w:lang w:val="fr-FR"/>
        </w:rPr>
      </w:pPr>
      <w:r w:rsidRPr="00664D0A">
        <w:rPr>
          <w:rFonts w:eastAsiaTheme="minorBidi"/>
          <w:color w:val="000000"/>
          <w:lang w:val="fr-FR"/>
        </w:rPr>
        <w:t xml:space="preserve">   Les patients âgés, les polypathologiques et ceux traités par insuline ou sulfonylurées sont particulièrement à risque.</w:t>
      </w:r>
      <w:r w:rsidR="007A397A">
        <w:rPr>
          <w:rFonts w:eastAsiaTheme="minorBidi"/>
          <w:color w:val="000000"/>
          <w:lang w:val="fr-FR"/>
        </w:rPr>
        <w:fldChar w:fldCharType="begin"/>
      </w:r>
      <w:r w:rsidR="00116A61">
        <w:rPr>
          <w:rFonts w:eastAsiaTheme="minorBidi"/>
          <w:color w:val="000000"/>
          <w:lang w:val="fr-FR"/>
        </w:rPr>
        <w:instrText xml:space="preserve"> ADDIN ZOTERO_ITEM CSL_CITATION {"citationID":"8NTkUOOy","properties":{"unsorted":false,"formattedCitation":"(29)","plainCitation":"(29)","noteIndex":0},"citationItems":[{"id":"6VBx8p83/WctI2yCh","uris":["http://zotero.org/users/local/xPnoPzR4/items/UZYGQ3AG"],"itemData":{"id":284,"type":"article-journal","abstract":"The American Diabetes Association (ADA) “Standards of Care in Diabetes” includes the ADA’s current clinical practice recommendations and is intended to provide the components of diabetes care, general treatment goals and guidelines, and tools to evaluate quality of care. Members of the ADA Professional Practice Committee, an interprofessional expert committee, are responsible for updating the Standards of Care annually, or more frequently as warranted. For a detailed description of ADA standards, statements, and reports, as well as the evidence-grading system for ADA’s clinical practice recommendations and a full list of Professional Practice Committee members, please refer to Introduction and Methodology. Readers who wish to comment on the Standards of Care are invited to do so at professional.diabetes.org/SOC.","container-title":"Diabetes Care","DOI":"10.2337/dc24-S006","ISSN":"0149-5992","issue":"Supplement_1","journalAbbreviation":"Diabetes Care","page":"S111-S125","source":"Silverchair","title":"6. Glycemic Goals and Hypoglycemia: Standards of Care in Diabetes—2024","title-short":"6. Glycemic Goals and Hypoglycemia","volume":"47","author":[{"literal":"American Diabetes Association Professional Practice Committee"}],"issued":{"date-parts":[["2023",12,11]]}}}],"schema":"https://github.com/citation-style-language/schema/raw/master/csl-citation.json"} </w:instrText>
      </w:r>
      <w:r w:rsidR="007A397A">
        <w:rPr>
          <w:rFonts w:eastAsiaTheme="minorBidi"/>
          <w:color w:val="000000"/>
          <w:lang w:val="fr-FR"/>
        </w:rPr>
        <w:fldChar w:fldCharType="separate"/>
      </w:r>
      <w:r w:rsidR="007A397A" w:rsidRPr="007A397A">
        <w:rPr>
          <w:rFonts w:ascii="Calibri" w:hAnsi="Calibri"/>
          <w:lang w:val="fr-FR"/>
        </w:rPr>
        <w:t>(29)</w:t>
      </w:r>
      <w:r w:rsidR="007A397A">
        <w:rPr>
          <w:rFonts w:eastAsiaTheme="minorBidi"/>
          <w:color w:val="000000"/>
          <w:lang w:val="fr-FR"/>
        </w:rPr>
        <w:fldChar w:fldCharType="end"/>
      </w:r>
    </w:p>
    <w:p w14:paraId="2C5BC5A8" w14:textId="77777777" w:rsidR="00664D0A" w:rsidRPr="00664D0A" w:rsidRDefault="00664D0A" w:rsidP="00577C0B">
      <w:pPr>
        <w:pStyle w:val="Heading3"/>
        <w:rPr>
          <w:rFonts w:eastAsiaTheme="minorBidi"/>
          <w:color w:val="000000"/>
        </w:rPr>
      </w:pPr>
      <w:r w:rsidRPr="00664D0A">
        <w:rPr>
          <w:color w:val="000000" w:themeColor="text1"/>
        </w:rPr>
        <w:t xml:space="preserve">6-1-2/ </w:t>
      </w:r>
      <w:r w:rsidRPr="00664D0A">
        <w:rPr>
          <w:rFonts w:eastAsiaTheme="minorBidi"/>
        </w:rPr>
        <w:t>Acidocétose diabétique (ACD</w:t>
      </w:r>
      <w:proofErr w:type="gramStart"/>
      <w:r w:rsidRPr="00664D0A">
        <w:rPr>
          <w:rFonts w:eastAsiaTheme="minorBidi"/>
        </w:rPr>
        <w:t>):</w:t>
      </w:r>
      <w:proofErr w:type="gramEnd"/>
    </w:p>
    <w:p w14:paraId="57BA7840" w14:textId="77777777" w:rsidR="00664D0A" w:rsidRPr="00664D0A" w:rsidRDefault="00664D0A" w:rsidP="00B139C3">
      <w:pPr>
        <w:rPr>
          <w:rFonts w:eastAsiaTheme="minorBidi"/>
          <w:color w:val="000000"/>
          <w:lang w:val="fr-FR"/>
        </w:rPr>
      </w:pPr>
      <w:r w:rsidRPr="00664D0A">
        <w:rPr>
          <w:rFonts w:eastAsiaTheme="minorBidi"/>
          <w:color w:val="000000"/>
          <w:lang w:val="fr-FR"/>
        </w:rPr>
        <w:lastRenderedPageBreak/>
        <w:t>L’acidocétose diabétique est un état métabolique aigu grave caractérisé par :</w:t>
      </w:r>
    </w:p>
    <w:p w14:paraId="27A40E43" w14:textId="77777777" w:rsidR="00664D0A" w:rsidRPr="00664D0A" w:rsidRDefault="00664D0A" w:rsidP="00B139C3">
      <w:pPr>
        <w:rPr>
          <w:rFonts w:eastAsiaTheme="minorBidi"/>
          <w:color w:val="000000"/>
          <w:lang w:val="fr-FR"/>
        </w:rPr>
      </w:pPr>
      <w:r w:rsidRPr="00664D0A">
        <w:rPr>
          <w:rFonts w:eastAsiaTheme="minorBidi"/>
          <w:color w:val="000000"/>
          <w:lang w:val="fr-FR"/>
        </w:rPr>
        <w:t>_ hyperglycémie</w:t>
      </w:r>
      <w:r w:rsidRPr="00664D0A">
        <w:rPr>
          <w:rFonts w:eastAsiaTheme="minorBidi"/>
          <w:color w:val="000000"/>
          <w:lang w:val="fr-FR"/>
        </w:rPr>
        <w:br/>
        <w:t>_ acidose métabolique (pH artériel &lt; 7,30)</w:t>
      </w:r>
      <w:r w:rsidRPr="00664D0A">
        <w:rPr>
          <w:rFonts w:eastAsiaTheme="minorBidi"/>
          <w:color w:val="000000"/>
          <w:lang w:val="fr-FR"/>
        </w:rPr>
        <w:br/>
        <w:t>_ cétonémie/cétonurie élevée</w:t>
      </w:r>
    </w:p>
    <w:p w14:paraId="5BC3E01A" w14:textId="222A7E98" w:rsidR="00664D0A" w:rsidRPr="00664D0A" w:rsidRDefault="00664D0A" w:rsidP="00B139C3">
      <w:pPr>
        <w:rPr>
          <w:rFonts w:eastAsiaTheme="minorBidi"/>
          <w:color w:val="000000"/>
          <w:lang w:val="fr-FR"/>
        </w:rPr>
      </w:pPr>
      <w:r w:rsidRPr="00664D0A">
        <w:rPr>
          <w:rFonts w:eastAsiaTheme="minorBidi"/>
          <w:color w:val="000000"/>
          <w:lang w:val="fr-FR"/>
        </w:rPr>
        <w:t>Elle est plus fréquente en DT1, mais survient aussi en DT2, surtout chez les patients avec stress physiologique sévère.</w:t>
      </w:r>
      <w:r w:rsidRPr="00664D0A">
        <w:rPr>
          <w:rFonts w:eastAsiaTheme="minorBidi"/>
          <w:color w:val="000000"/>
          <w:lang w:val="fr-FR"/>
        </w:rPr>
        <w:br/>
      </w:r>
      <w:r w:rsidRPr="00664D0A">
        <w:rPr>
          <w:rFonts w:eastAsiaTheme="minorBidi"/>
          <w:color w:val="000000"/>
          <w:u w:val="single"/>
          <w:lang w:val="fr-FR"/>
        </w:rPr>
        <w:t>Causes et facteurs déclencheurs</w:t>
      </w:r>
      <w:r w:rsidRPr="00664D0A">
        <w:rPr>
          <w:rFonts w:eastAsiaTheme="minorBidi"/>
          <w:color w:val="000000"/>
          <w:lang w:val="fr-FR"/>
        </w:rPr>
        <w:t xml:space="preserve"> : Infections, arrêt d’insuline, stress physiologique, jeûne ou déshydratation, médicaments (corticoïdes, diurétiques), alcool.</w:t>
      </w:r>
      <w:r w:rsidR="007A397A">
        <w:rPr>
          <w:rFonts w:eastAsiaTheme="minorBidi"/>
          <w:color w:val="000000"/>
          <w:lang w:val="fr-FR"/>
        </w:rPr>
        <w:fldChar w:fldCharType="begin"/>
      </w:r>
      <w:r w:rsidR="00116A61">
        <w:rPr>
          <w:rFonts w:eastAsiaTheme="minorBidi"/>
          <w:color w:val="000000"/>
          <w:lang w:val="fr-FR"/>
        </w:rPr>
        <w:instrText xml:space="preserve"> ADDIN ZOTERO_ITEM CSL_CITATION {"citationID":"lqIawcMo","properties":{"unsorted":false,"formattedCitation":"(30)","plainCitation":"(30)","noteIndex":0},"citationItems":[{"id":"6VBx8p83/SUPkyT0l","uris":["http://zotero.org/users/local/xPnoPzR4/items/ETG7DNL9"],"itemData":{"id":290,"type":"webpage","title":"Hyperglycaemic crises in adults with diabetes: a consensus report | Diabetologia | Springer Nature Link","URL":"https://link.springer.com/article/10.1007/s00125-024-06183-8","accessed":{"date-parts":[["2026",5,13]]}}}],"schema":"https://github.com/citation-style-language/schema/raw/master/csl-citation.json"} </w:instrText>
      </w:r>
      <w:r w:rsidR="007A397A">
        <w:rPr>
          <w:rFonts w:eastAsiaTheme="minorBidi"/>
          <w:color w:val="000000"/>
          <w:lang w:val="fr-FR"/>
        </w:rPr>
        <w:fldChar w:fldCharType="separate"/>
      </w:r>
      <w:r w:rsidR="007A397A" w:rsidRPr="007A397A">
        <w:rPr>
          <w:rFonts w:ascii="Calibri" w:hAnsi="Calibri"/>
          <w:lang w:val="fr-FR"/>
        </w:rPr>
        <w:t>(30)</w:t>
      </w:r>
      <w:r w:rsidR="007A397A">
        <w:rPr>
          <w:rFonts w:eastAsiaTheme="minorBidi"/>
          <w:color w:val="000000"/>
          <w:lang w:val="fr-FR"/>
        </w:rPr>
        <w:fldChar w:fldCharType="end"/>
      </w:r>
    </w:p>
    <w:p w14:paraId="04793564" w14:textId="77777777" w:rsidR="00664D0A" w:rsidRPr="00664D0A" w:rsidRDefault="00664D0A" w:rsidP="00577C0B">
      <w:pPr>
        <w:pStyle w:val="Heading3"/>
        <w:rPr>
          <w:rFonts w:eastAsiaTheme="minorBidi"/>
          <w:color w:val="C00000"/>
          <w:szCs w:val="26"/>
          <w:u w:val="single"/>
        </w:rPr>
      </w:pPr>
      <w:r w:rsidRPr="00664D0A">
        <w:t xml:space="preserve">6-1-3/ </w:t>
      </w:r>
      <w:r w:rsidRPr="00664D0A">
        <w:rPr>
          <w:rFonts w:eastAsiaTheme="minorBidi"/>
        </w:rPr>
        <w:t>Coma hyperosmolairehyperglycémique (CHH)</w:t>
      </w:r>
      <w:r w:rsidRPr="00664D0A">
        <w:rPr>
          <w:rFonts w:eastAsiaTheme="minorBidi"/>
          <w:szCs w:val="26"/>
          <w:u w:val="single"/>
        </w:rPr>
        <w:t xml:space="preserve"> :</w:t>
      </w:r>
    </w:p>
    <w:p w14:paraId="1CA207F0" w14:textId="7E19684B" w:rsidR="00664D0A" w:rsidRPr="00577C0B" w:rsidRDefault="00664D0A" w:rsidP="00577C0B">
      <w:pPr>
        <w:rPr>
          <w:rFonts w:eastAsiaTheme="minorBidi"/>
          <w:color w:val="000000"/>
          <w:lang w:val="fr-FR"/>
        </w:rPr>
      </w:pPr>
      <w:r w:rsidRPr="00664D0A">
        <w:rPr>
          <w:rFonts w:eastAsiaTheme="minorBidi"/>
          <w:color w:val="000000"/>
          <w:u w:val="single"/>
          <w:lang w:val="fr-FR"/>
        </w:rPr>
        <w:t>Définition</w:t>
      </w:r>
      <w:r w:rsidRPr="00664D0A">
        <w:rPr>
          <w:rFonts w:eastAsiaTheme="minorBidi"/>
          <w:color w:val="000000"/>
          <w:lang w:val="fr-FR"/>
        </w:rPr>
        <w:t xml:space="preserve"> : Hyperglycémie sévère avec hyperosmolarité plasmatique et absence majeure de cétose.</w:t>
      </w:r>
      <w:r w:rsidRPr="00664D0A">
        <w:rPr>
          <w:rFonts w:eastAsiaTheme="minorBidi"/>
          <w:color w:val="000000"/>
          <w:lang w:val="fr-FR"/>
        </w:rPr>
        <w:br/>
      </w:r>
      <w:r w:rsidRPr="00664D0A">
        <w:rPr>
          <w:rFonts w:eastAsiaTheme="minorBidi"/>
          <w:color w:val="000000"/>
          <w:u w:val="single"/>
          <w:lang w:val="fr-FR"/>
        </w:rPr>
        <w:t>Causes et facteurs déclencheurs</w:t>
      </w:r>
      <w:r w:rsidRPr="00664D0A">
        <w:rPr>
          <w:rFonts w:eastAsiaTheme="minorBidi"/>
          <w:color w:val="000000"/>
          <w:lang w:val="fr-FR"/>
        </w:rPr>
        <w:t xml:space="preserve"> : Infections graves, déshydratation, médicaments diurétiques, stress physiologique, maladies aiguës associées.</w:t>
      </w:r>
      <w:r w:rsidR="007A397A">
        <w:rPr>
          <w:rFonts w:eastAsiaTheme="minorBidi"/>
          <w:color w:val="000000"/>
          <w:lang w:val="fr-FR"/>
        </w:rPr>
        <w:fldChar w:fldCharType="begin"/>
      </w:r>
      <w:r w:rsidR="00116A61">
        <w:rPr>
          <w:rFonts w:eastAsiaTheme="minorBidi"/>
          <w:color w:val="000000"/>
          <w:lang w:val="fr-FR"/>
        </w:rPr>
        <w:instrText xml:space="preserve"> ADDIN ZOTERO_ITEM CSL_CITATION {"citationID":"ZZ6oSu85","properties":{"unsorted":false,"formattedCitation":"(30)","plainCitation":"(30)","noteIndex":0},"citationItems":[{"id":"6VBx8p83/SUPkyT0l","uris":["http://zotero.org/users/local/xPnoPzR4/items/ETG7DNL9"],"itemData":{"id":290,"type":"webpage","title":"Hyperglycaemic crises in adults with diabetes: a consensus report | Diabetologia | Springer Nature Link","URL":"https://link.springer.com/article/10.1007/s00125-024-06183-8","accessed":{"date-parts":[["2026",5,13]]}}}],"schema":"https://github.com/citation-style-language/schema/raw/master/csl-citation.json"} </w:instrText>
      </w:r>
      <w:r w:rsidR="007A397A">
        <w:rPr>
          <w:rFonts w:eastAsiaTheme="minorBidi"/>
          <w:color w:val="000000"/>
          <w:lang w:val="fr-FR"/>
        </w:rPr>
        <w:fldChar w:fldCharType="separate"/>
      </w:r>
      <w:r w:rsidR="007A397A" w:rsidRPr="009D3632">
        <w:rPr>
          <w:rFonts w:ascii="Calibri" w:hAnsi="Calibri"/>
          <w:lang w:val="fr-FR"/>
        </w:rPr>
        <w:t>(30)</w:t>
      </w:r>
      <w:r w:rsidR="007A397A">
        <w:rPr>
          <w:rFonts w:eastAsiaTheme="minorBidi"/>
          <w:color w:val="000000"/>
          <w:lang w:val="fr-FR"/>
        </w:rPr>
        <w:fldChar w:fldCharType="end"/>
      </w:r>
    </w:p>
    <w:p w14:paraId="0F174BD8" w14:textId="77777777" w:rsidR="00664D0A" w:rsidRPr="00664D0A" w:rsidRDefault="00664D0A" w:rsidP="00577C0B">
      <w:pPr>
        <w:pStyle w:val="Heading3"/>
        <w:rPr>
          <w:rFonts w:eastAsiaTheme="minorBidi"/>
        </w:rPr>
      </w:pPr>
      <w:r w:rsidRPr="00664D0A">
        <w:t xml:space="preserve">6-1-4/ </w:t>
      </w:r>
      <w:r w:rsidRPr="00664D0A">
        <w:rPr>
          <w:rFonts w:eastAsiaTheme="minorBidi"/>
        </w:rPr>
        <w:t>Acidose lactique</w:t>
      </w:r>
    </w:p>
    <w:p w14:paraId="2EECA0FD" w14:textId="222BC318" w:rsidR="00664D0A" w:rsidRPr="00577C0B" w:rsidRDefault="00664D0A" w:rsidP="00577C0B">
      <w:pPr>
        <w:rPr>
          <w:rFonts w:eastAsiaTheme="minorBidi"/>
          <w:color w:val="000000"/>
          <w:lang w:val="fr-FR"/>
        </w:rPr>
      </w:pPr>
      <w:r w:rsidRPr="00664D0A">
        <w:rPr>
          <w:rFonts w:eastAsiaTheme="minorBidi"/>
          <w:color w:val="000000"/>
          <w:u w:val="single"/>
          <w:lang w:val="fr-FR"/>
        </w:rPr>
        <w:t>Définition</w:t>
      </w:r>
      <w:r w:rsidRPr="00664D0A">
        <w:rPr>
          <w:rFonts w:eastAsiaTheme="minorBidi"/>
          <w:color w:val="000000"/>
          <w:lang w:val="fr-FR"/>
        </w:rPr>
        <w:t xml:space="preserve"> : Accumulation excessive de lactate (&gt; 5 mmol/L) entraînant acidose métabolique sévère.</w:t>
      </w:r>
      <w:r w:rsidRPr="00664D0A">
        <w:rPr>
          <w:rFonts w:eastAsiaTheme="minorBidi"/>
          <w:color w:val="000000"/>
          <w:lang w:val="fr-FR"/>
        </w:rPr>
        <w:br/>
      </w:r>
      <w:r w:rsidRPr="00664D0A">
        <w:rPr>
          <w:rFonts w:eastAsiaTheme="minorBidi"/>
          <w:color w:val="000000"/>
          <w:u w:val="single"/>
          <w:lang w:val="fr-FR"/>
        </w:rPr>
        <w:t>Causes et facteurs déclencheurs</w:t>
      </w:r>
      <w:r w:rsidRPr="00664D0A">
        <w:rPr>
          <w:rFonts w:eastAsiaTheme="minorBidi"/>
          <w:color w:val="000000"/>
          <w:lang w:val="fr-FR"/>
        </w:rPr>
        <w:t xml:space="preserve"> : Insuffisance rénale ou hépatique sévère, hypoxie, choc septique, intoxication médicamenteuse (metformine), déshydratation sévère.</w:t>
      </w:r>
      <w:r w:rsidR="007A397A">
        <w:rPr>
          <w:rFonts w:eastAsiaTheme="minorBidi"/>
          <w:color w:val="000000"/>
          <w:lang w:val="fr-FR"/>
        </w:rPr>
        <w:fldChar w:fldCharType="begin"/>
      </w:r>
      <w:r w:rsidR="00116A61">
        <w:rPr>
          <w:rFonts w:eastAsiaTheme="minorBidi"/>
          <w:color w:val="000000"/>
          <w:lang w:val="fr-FR"/>
        </w:rPr>
        <w:instrText xml:space="preserve"> ADDIN ZOTERO_ITEM CSL_CITATION {"citationID":"tTq932NX","properties":{"unsorted":false,"formattedCitation":"(31)","plainCitation":"(31)","noteIndex":0},"citationItems":[{"id":"6VBx8p83/vaKTapaa","uris":["http://zotero.org/users/local/xPnoPzR4/items/8I2F6T8J"],"itemData":{"id":292,"type":"webpage","title":"16. Diabetes Care in the Hospital: Standards of Care in Diabetes—2024 | Diabetes Care | American Diabetes Association","URL":"https://diabetesjournals.org/care/article/47/Supplement_1/S295/153950/16-Diabetes-Care-in-the-Hospital-Standards-of-Care","accessed":{"date-parts":[["2026",5,13]]}}}],"schema":"https://github.com/citation-style-language/schema/raw/master/csl-citation.json"} </w:instrText>
      </w:r>
      <w:r w:rsidR="007A397A">
        <w:rPr>
          <w:rFonts w:eastAsiaTheme="minorBidi"/>
          <w:color w:val="000000"/>
          <w:lang w:val="fr-FR"/>
        </w:rPr>
        <w:fldChar w:fldCharType="separate"/>
      </w:r>
      <w:r w:rsidR="007A397A" w:rsidRPr="007A397A">
        <w:rPr>
          <w:rFonts w:ascii="Calibri" w:hAnsi="Calibri"/>
          <w:lang w:val="fr-FR"/>
        </w:rPr>
        <w:t>(31)</w:t>
      </w:r>
      <w:r w:rsidR="007A397A">
        <w:rPr>
          <w:rFonts w:eastAsiaTheme="minorBidi"/>
          <w:color w:val="000000"/>
          <w:lang w:val="fr-FR"/>
        </w:rPr>
        <w:fldChar w:fldCharType="end"/>
      </w:r>
    </w:p>
    <w:p w14:paraId="6D1789B5" w14:textId="0FDB38CA" w:rsidR="00664D0A" w:rsidRPr="00577C0B" w:rsidRDefault="00664D0A" w:rsidP="00577C0B">
      <w:pPr>
        <w:pStyle w:val="Heading2"/>
        <w:rPr>
          <w:szCs w:val="28"/>
        </w:rPr>
      </w:pPr>
      <w:r w:rsidRPr="00664D0A">
        <w:rPr>
          <w:szCs w:val="28"/>
        </w:rPr>
        <w:t xml:space="preserve"> </w:t>
      </w:r>
      <w:bookmarkStart w:id="39" w:name="_Toc229618781"/>
      <w:r w:rsidRPr="00664D0A">
        <w:rPr>
          <w:szCs w:val="28"/>
        </w:rPr>
        <w:t>6-2/ Complications chroniques du diabète de type 2 :</w:t>
      </w:r>
      <w:bookmarkEnd w:id="39"/>
    </w:p>
    <w:p w14:paraId="3B0AD7B2" w14:textId="77777777" w:rsidR="00664D0A" w:rsidRPr="00664D0A" w:rsidRDefault="00664D0A" w:rsidP="00577C0B">
      <w:pPr>
        <w:pStyle w:val="Heading3"/>
      </w:pPr>
      <w:r w:rsidRPr="00664D0A">
        <w:t>6-2-1/ Microangiopathies :</w:t>
      </w:r>
    </w:p>
    <w:p w14:paraId="198CBB55" w14:textId="65DA10EB" w:rsidR="00664D0A" w:rsidRPr="001C2505" w:rsidRDefault="00664D0A" w:rsidP="001C2505">
      <w:pPr>
        <w:rPr>
          <w:color w:val="000000"/>
          <w:sz w:val="18"/>
          <w:lang w:val="fr-FR"/>
        </w:rPr>
      </w:pPr>
      <w:r w:rsidRPr="00664D0A">
        <w:rPr>
          <w:rFonts w:eastAsiaTheme="minorBidi"/>
          <w:color w:val="000000"/>
          <w:lang w:val="fr-FR"/>
        </w:rPr>
        <w:t xml:space="preserve">Les microangiopathies se caractérisent par une atteinte de la microcirculation, désignant une circulation dans les vaisseaux dont le calibre est&lt; 150µm y compris les capillaires. Elles sont principalement séparées en trois atteintes prédominantes </w:t>
      </w:r>
      <w:r w:rsidRPr="00664D0A">
        <w:rPr>
          <w:color w:val="000000"/>
          <w:sz w:val="18"/>
          <w:lang w:val="fr-FR"/>
        </w:rPr>
        <w:t>:</w:t>
      </w:r>
      <w:r w:rsidR="007A397A">
        <w:rPr>
          <w:color w:val="000000"/>
          <w:sz w:val="18"/>
          <w:lang w:val="fr-FR"/>
        </w:rPr>
        <w:fldChar w:fldCharType="begin"/>
      </w:r>
      <w:r w:rsidR="00116A61">
        <w:rPr>
          <w:color w:val="000000"/>
          <w:sz w:val="18"/>
          <w:lang w:val="fr-FR"/>
        </w:rPr>
        <w:instrText xml:space="preserve"> ADDIN ZOTERO_ITEM CSL_CITATION {"citationID":"qE8x8Ycw","properties":{"unsorted":false,"formattedCitation":"(28)","plainCitation":"(28)","noteIndex":0},"citationItems":[{"id":"6VBx8p83/m1lETWxg","uris":["http://zotero.org/users/local/xPnoPzR4/items/F7MAGFEI"],"itemData":{"id":287,"type":"article-journal","container-title":"Diabetes Care","DOI":"10.2337/dc24-SREV","ISSN":"0149-5992","issue":"Supplement_1","journalAbbreviation":"Diabetes Care","page":"S5-S10","source":"Silverchair","title":"Summary of Revisions: Standards of Care in Diabetes—2024","title-short":"Summary of Revisions","volume":"47","author":[{"literal":"American Diabetes Association Professional Practice Committee"}],"issued":{"date-parts":[["2023",12,11]]}}}],"schema":"https://github.com/citation-style-language/schema/raw/master/csl-citation.json"} </w:instrText>
      </w:r>
      <w:r w:rsidR="007A397A">
        <w:rPr>
          <w:color w:val="000000"/>
          <w:sz w:val="18"/>
          <w:lang w:val="fr-FR"/>
        </w:rPr>
        <w:fldChar w:fldCharType="separate"/>
      </w:r>
      <w:r w:rsidR="007A397A" w:rsidRPr="009D3632">
        <w:rPr>
          <w:rFonts w:ascii="Calibri" w:hAnsi="Calibri"/>
          <w:sz w:val="18"/>
          <w:lang w:val="fr-FR"/>
        </w:rPr>
        <w:t>(28)</w:t>
      </w:r>
      <w:r w:rsidR="007A397A">
        <w:rPr>
          <w:color w:val="000000"/>
          <w:sz w:val="18"/>
          <w:lang w:val="fr-FR"/>
        </w:rPr>
        <w:fldChar w:fldCharType="end"/>
      </w:r>
    </w:p>
    <w:p w14:paraId="46FB7C47" w14:textId="77777777" w:rsidR="00664D0A" w:rsidRPr="00664D0A" w:rsidRDefault="00664D0A" w:rsidP="00577C0B">
      <w:pPr>
        <w:pStyle w:val="Heading4"/>
        <w:rPr>
          <w:sz w:val="28"/>
          <w:szCs w:val="28"/>
          <w:lang w:val="fr-FR"/>
        </w:rPr>
      </w:pPr>
      <w:r w:rsidRPr="00664D0A">
        <w:rPr>
          <w:sz w:val="28"/>
          <w:szCs w:val="28"/>
          <w:lang w:val="fr-FR"/>
        </w:rPr>
        <w:t>6-2-1-1/ La Rétinopathie Diabétique (RD) :</w:t>
      </w:r>
    </w:p>
    <w:p w14:paraId="38DB85D0" w14:textId="77777777" w:rsidR="00664D0A" w:rsidRPr="00664D0A" w:rsidRDefault="00664D0A" w:rsidP="00B139C3">
      <w:pPr>
        <w:rPr>
          <w:rFonts w:eastAsiaTheme="minorBidi"/>
          <w:color w:val="000000"/>
          <w:u w:val="single"/>
          <w:lang w:val="fr-FR"/>
        </w:rPr>
      </w:pPr>
      <w:r w:rsidRPr="00664D0A">
        <w:rPr>
          <w:rFonts w:eastAsiaTheme="minorBidi"/>
          <w:color w:val="000000"/>
          <w:u w:val="single"/>
          <w:lang w:val="fr-FR"/>
        </w:rPr>
        <w:t xml:space="preserve"> . Définition </w:t>
      </w:r>
    </w:p>
    <w:p w14:paraId="70A71EA5" w14:textId="369C3D8A" w:rsidR="00664D0A" w:rsidRPr="00577C0B" w:rsidRDefault="00664D0A" w:rsidP="00577C0B">
      <w:pPr>
        <w:rPr>
          <w:rFonts w:eastAsiaTheme="minorBidi"/>
          <w:color w:val="000000"/>
          <w:lang w:val="fr-FR"/>
        </w:rPr>
      </w:pPr>
      <w:r w:rsidRPr="00664D0A">
        <w:rPr>
          <w:rFonts w:eastAsiaTheme="minorBidi"/>
          <w:color w:val="000000"/>
          <w:lang w:val="fr-FR"/>
        </w:rPr>
        <w:t>Elle constitue la complication microangiopathique la plus fréquente et la plus grave chez les diabétiques de type 2. Elle se caractérise par une atteinte des petits vaisseaux sanguins capillaires de la rétine lorsque le diabète est mal équilibré (HbA1c trop élevée) ou ancien depuis plus de 10 ans. Elle peut être aggravée par l’hypertension artérielle (HTA), l’existence d’une néphropathie diabétique (ND), la grossesse, une normalisation rapide de la glycémie, la puberté et la chirurgie d’une cataracte .</w:t>
      </w:r>
      <w:r w:rsidR="009D3632">
        <w:rPr>
          <w:rFonts w:eastAsiaTheme="minorBidi"/>
          <w:color w:val="000000"/>
          <w:lang w:val="fr-FR"/>
        </w:rPr>
        <w:fldChar w:fldCharType="begin"/>
      </w:r>
      <w:r w:rsidR="00116A61">
        <w:rPr>
          <w:rFonts w:eastAsiaTheme="minorBidi"/>
          <w:color w:val="000000"/>
          <w:lang w:val="fr-FR"/>
        </w:rPr>
        <w:instrText xml:space="preserve"> ADDIN ZOTERO_ITEM CSL_CITATION {"citationID":"bBAcMcsd","properties":{"unsorted":false,"formattedCitation":"(32)","plainCitation":"(32)","noteIndex":0},"citationItems":[{"id":"6VBx8p83/7iKDJM3b","uris":["http://zotero.org/users/local/xPnoPzR4/items/N94U4YL6"],"itemData":{"id":293,"type":"article-journal","abstract":"Diabetic retinopathy is a common and specific microvascular complication of diabetes, and remains the leading cause of preventable blindness in working-aged people. It is identified in a third of people with diabetes and associated with increased risk of life-threatening systemic vascular complications, including stroke, coronary heart disease, and heart failure. Optimum control of blood glucose, blood pressure, and possibly blood lipids remains the foundation for reduction of risk of retinopathy development and progression. Timely laser therapy is effective for preservation of sight in proliferative retinopathy and macular oedema, but its ability to reverse visual loss is poor. Vitrectomy surgery might occasionally be needed for advanced retinopathy. New therapies, such as intraocular injection of steroids and antivascular endothelial growth-factor agents, are less destructive to the retina than are older therapies, and could be useful in patients who respond poorly to conventional therapy. The outlook for future treatment modalities, such as inhibition of other angiogenic factors, regenerative therapy, and topical therapy, is promising.","container-title":"Lancet","DOI":"10.1016/S0140-6736(09)62124-3","ISSN":"1474-547X","issue":"9735","journalAbbreviation":"Lancet","language":"eng","page":"124-136","PMID":"20580421","publisher-place":"London, England","source":"PubMed","title":"Diabetic retinopathy","volume":"376","author":[{"family":"Cheung","given":"Ning"},{"family":"Mitchell","given":"Paul"},{"family":"Wong","given":"Tien Yin"}],"issued":{"date-parts":[["2010",7,10]]}}}],"schema":"https://github.com/citation-style-language/schema/raw/master/csl-citation.json"} </w:instrText>
      </w:r>
      <w:r w:rsidR="009D3632">
        <w:rPr>
          <w:rFonts w:eastAsiaTheme="minorBidi"/>
          <w:color w:val="000000"/>
          <w:lang w:val="fr-FR"/>
        </w:rPr>
        <w:fldChar w:fldCharType="separate"/>
      </w:r>
      <w:r w:rsidR="009D3632" w:rsidRPr="009D3632">
        <w:rPr>
          <w:rFonts w:ascii="Calibri" w:hAnsi="Calibri"/>
          <w:lang w:val="fr-FR"/>
        </w:rPr>
        <w:t>(32)</w:t>
      </w:r>
      <w:r w:rsidR="009D3632">
        <w:rPr>
          <w:rFonts w:eastAsiaTheme="minorBidi"/>
          <w:color w:val="000000"/>
          <w:lang w:val="fr-FR"/>
        </w:rPr>
        <w:fldChar w:fldCharType="end"/>
      </w:r>
    </w:p>
    <w:p w14:paraId="564F816C" w14:textId="77777777" w:rsidR="00664D0A" w:rsidRPr="00664D0A" w:rsidRDefault="00664D0A" w:rsidP="00577C0B">
      <w:pPr>
        <w:pStyle w:val="Heading4"/>
        <w:rPr>
          <w:lang w:val="fr-FR"/>
        </w:rPr>
      </w:pPr>
      <w:r w:rsidRPr="00664D0A">
        <w:rPr>
          <w:lang w:val="fr-FR"/>
        </w:rPr>
        <w:t>6-2-1-2</w:t>
      </w:r>
      <w:proofErr w:type="gramStart"/>
      <w:r w:rsidRPr="00664D0A">
        <w:rPr>
          <w:lang w:val="fr-FR"/>
        </w:rPr>
        <w:t>/  La</w:t>
      </w:r>
      <w:proofErr w:type="gramEnd"/>
      <w:r w:rsidRPr="00664D0A">
        <w:rPr>
          <w:lang w:val="fr-FR"/>
        </w:rPr>
        <w:t xml:space="preserve"> Néphropathie Diabétique (ND) : </w:t>
      </w:r>
    </w:p>
    <w:p w14:paraId="4324F236" w14:textId="77777777" w:rsidR="00664D0A" w:rsidRPr="00664D0A" w:rsidRDefault="00664D0A" w:rsidP="00B139C3">
      <w:pPr>
        <w:rPr>
          <w:rFonts w:eastAsiaTheme="minorBidi"/>
          <w:color w:val="000000"/>
          <w:u w:val="single"/>
          <w:lang w:val="fr-FR"/>
        </w:rPr>
      </w:pPr>
      <w:r w:rsidRPr="00664D0A">
        <w:rPr>
          <w:rFonts w:eastAsiaTheme="minorBidi"/>
          <w:color w:val="000000"/>
          <w:u w:val="single"/>
          <w:lang w:val="fr-FR"/>
        </w:rPr>
        <w:t>Définition :</w:t>
      </w:r>
    </w:p>
    <w:p w14:paraId="1B653B15" w14:textId="77C73281" w:rsidR="00664D0A" w:rsidRPr="00664D0A" w:rsidRDefault="00664D0A" w:rsidP="00577C0B">
      <w:pPr>
        <w:rPr>
          <w:rFonts w:eastAsiaTheme="minorBidi"/>
          <w:color w:val="000000"/>
          <w:lang w:val="fr-FR"/>
        </w:rPr>
      </w:pPr>
      <w:r w:rsidRPr="00664D0A">
        <w:rPr>
          <w:rFonts w:eastAsiaTheme="minorBidi"/>
          <w:color w:val="000000"/>
          <w:lang w:val="fr-FR"/>
        </w:rPr>
        <w:t xml:space="preserve"> La ND est une glomérulopathie caractérisée par une albuminurie croissante détectable au stade de microalbuminurie (30 à 300 mg/24h), puis une élévation de la pression artérielle et une diminution progressive du débit de filtration glomérulaire (DFG), associée à des lésions </w:t>
      </w:r>
      <w:r w:rsidRPr="00664D0A">
        <w:rPr>
          <w:rFonts w:eastAsiaTheme="minorBidi"/>
          <w:color w:val="000000"/>
          <w:lang w:val="fr-FR"/>
        </w:rPr>
        <w:lastRenderedPageBreak/>
        <w:t>histologiques spécifiques. 70% des rétinopathies diabétiques sont associées à une ND dans le DT2. Le dépistage se fait dès le diagnostic par dosage de l'albuminurie et du DFG, puis une fois par an.</w:t>
      </w:r>
      <w:r w:rsidR="009D3632">
        <w:rPr>
          <w:rFonts w:eastAsiaTheme="minorBidi"/>
          <w:color w:val="000000"/>
          <w:lang w:val="fr-FR"/>
        </w:rPr>
        <w:fldChar w:fldCharType="begin"/>
      </w:r>
      <w:r w:rsidR="00116A61">
        <w:rPr>
          <w:rFonts w:eastAsiaTheme="minorBidi"/>
          <w:color w:val="000000"/>
          <w:lang w:val="fr-FR"/>
        </w:rPr>
        <w:instrText xml:space="preserve"> ADDIN ZOTERO_ITEM CSL_CITATION {"citationID":"uqZnA2n5","properties":{"unsorted":false,"formattedCitation":"(33)","plainCitation":"(33)","noteIndex":0},"citationItems":[{"id":"6VBx8p83/Veh74GTr","uris":["http://zotero.org/users/local/xPnoPzR4/items/CY6PK6BQ"],"itemData":{"id":295,"type":"webpage","title":"11. Chronic Kidney Disease and Risk Management: Standards of Care in Diabetes—2024 | Diabetes Care | American Diabetes Association","URL":"https://diabetesjournals.org/care/article/47/Supplement_1/S219/153938/11-Chronic-Kidney-Disease-and-Risk-Management","accessed":{"date-parts":[["2026",5,13]]}}}],"schema":"https://github.com/citation-style-language/schema/raw/master/csl-citation.json"} </w:instrText>
      </w:r>
      <w:r w:rsidR="009D3632">
        <w:rPr>
          <w:rFonts w:eastAsiaTheme="minorBidi"/>
          <w:color w:val="000000"/>
          <w:lang w:val="fr-FR"/>
        </w:rPr>
        <w:fldChar w:fldCharType="separate"/>
      </w:r>
      <w:r w:rsidR="009D3632" w:rsidRPr="009D3632">
        <w:rPr>
          <w:rFonts w:ascii="Calibri" w:hAnsi="Calibri"/>
          <w:lang w:val="fr-FR"/>
        </w:rPr>
        <w:t>(33)</w:t>
      </w:r>
      <w:r w:rsidR="009D3632">
        <w:rPr>
          <w:rFonts w:eastAsiaTheme="minorBidi"/>
          <w:color w:val="000000"/>
          <w:lang w:val="fr-FR"/>
        </w:rPr>
        <w:fldChar w:fldCharType="end"/>
      </w:r>
    </w:p>
    <w:p w14:paraId="0FB0F2DC" w14:textId="31E88BB3" w:rsidR="00664D0A" w:rsidRPr="00577C0B" w:rsidRDefault="00664D0A" w:rsidP="00577C0B">
      <w:pPr>
        <w:rPr>
          <w:rFonts w:eastAsiaTheme="minorBidi"/>
          <w:color w:val="000000"/>
          <w:lang w:val="fr-FR"/>
        </w:rPr>
      </w:pPr>
      <w:r w:rsidRPr="00664D0A">
        <w:rPr>
          <w:rFonts w:eastAsiaTheme="minorBidi"/>
          <w:color w:val="000000"/>
          <w:u w:val="single"/>
          <w:lang w:val="fr-FR"/>
        </w:rPr>
        <w:t xml:space="preserve">Facteurs de </w:t>
      </w:r>
      <w:proofErr w:type="gramStart"/>
      <w:r w:rsidRPr="00664D0A">
        <w:rPr>
          <w:rFonts w:eastAsiaTheme="minorBidi"/>
          <w:color w:val="000000"/>
          <w:u w:val="single"/>
          <w:lang w:val="fr-FR"/>
        </w:rPr>
        <w:t>risque</w:t>
      </w:r>
      <w:r w:rsidRPr="00664D0A">
        <w:rPr>
          <w:rFonts w:eastAsiaTheme="minorBidi"/>
          <w:color w:val="000000"/>
          <w:lang w:val="fr-FR"/>
        </w:rPr>
        <w:t xml:space="preserve">  :</w:t>
      </w:r>
      <w:proofErr w:type="gramEnd"/>
      <w:r w:rsidRPr="00664D0A">
        <w:rPr>
          <w:rFonts w:eastAsiaTheme="minorBidi"/>
          <w:color w:val="000000"/>
          <w:lang w:val="fr-FR"/>
        </w:rPr>
        <w:t xml:space="preserve">durée du diabète, hypertension artérielle, niveau élevé d’HbA1c, tabagisme, </w:t>
      </w:r>
      <w:r w:rsidR="00577C0B">
        <w:rPr>
          <w:rFonts w:eastAsiaTheme="minorBidi"/>
          <w:color w:val="000000"/>
          <w:lang w:val="fr-FR"/>
        </w:rPr>
        <w:t xml:space="preserve">antécédents cardiovasculaires. </w:t>
      </w:r>
    </w:p>
    <w:p w14:paraId="47A9D953" w14:textId="49437616" w:rsidR="00664D0A" w:rsidRPr="00577C0B" w:rsidRDefault="00664D0A" w:rsidP="00577C0B">
      <w:pPr>
        <w:pStyle w:val="Heading4"/>
        <w:rPr>
          <w:lang w:val="fr-FR"/>
        </w:rPr>
      </w:pPr>
      <w:r w:rsidRPr="00664D0A">
        <w:rPr>
          <w:lang w:val="fr-FR"/>
        </w:rPr>
        <w:t>6-2-1-3/   Neuropathie Diabétique (NRD) :</w:t>
      </w:r>
    </w:p>
    <w:p w14:paraId="5A032EE0" w14:textId="77777777" w:rsidR="00664D0A" w:rsidRPr="00664D0A" w:rsidRDefault="00664D0A" w:rsidP="00B139C3">
      <w:pPr>
        <w:rPr>
          <w:rFonts w:eastAsiaTheme="minorBidi"/>
          <w:color w:val="000000"/>
          <w:lang w:val="fr-FR"/>
        </w:rPr>
      </w:pPr>
      <w:proofErr w:type="gramStart"/>
      <w:r w:rsidRPr="00664D0A">
        <w:rPr>
          <w:rFonts w:eastAsiaTheme="minorBidi"/>
          <w:color w:val="000000"/>
          <w:u w:val="single"/>
          <w:lang w:val="fr-FR"/>
        </w:rPr>
        <w:t>Définition:</w:t>
      </w:r>
      <w:proofErr w:type="gramEnd"/>
      <w:r w:rsidRPr="00664D0A">
        <w:rPr>
          <w:rFonts w:eastAsiaTheme="minorBidi"/>
          <w:color w:val="000000"/>
          <w:lang w:val="fr-FR"/>
        </w:rPr>
        <w:br/>
        <w:t>Les neuropathies diabétiques constituent un groupe d’affections résultant d’une atteinte diffuse du système nerveux périphérique due à l’hyperglycémie chronique et à la microangiopathie et au ancienneté du diabète .</w:t>
      </w:r>
    </w:p>
    <w:p w14:paraId="37FB1920" w14:textId="4E21340F" w:rsidR="00664D0A" w:rsidRPr="00577C0B" w:rsidRDefault="00664D0A" w:rsidP="00577C0B">
      <w:pPr>
        <w:rPr>
          <w:rFonts w:eastAsiaTheme="minorBidi"/>
          <w:color w:val="000000"/>
          <w:lang w:val="fr-FR"/>
        </w:rPr>
      </w:pPr>
      <w:r w:rsidRPr="00664D0A">
        <w:rPr>
          <w:rFonts w:eastAsiaTheme="minorBidi"/>
          <w:color w:val="000000"/>
          <w:lang w:val="fr-FR"/>
        </w:rPr>
        <w:t xml:space="preserve">Le diabète est la principale cause de neuropathie dans le monde. Environ 30 % des patients diabétiques de type 2 en sont atteints au moment du </w:t>
      </w:r>
      <w:r w:rsidR="009D3632" w:rsidRPr="00664D0A">
        <w:rPr>
          <w:rFonts w:eastAsiaTheme="minorBidi"/>
          <w:color w:val="000000"/>
          <w:lang w:val="fr-FR"/>
        </w:rPr>
        <w:t>diagnostic.</w:t>
      </w:r>
      <w:r w:rsidR="009D3632">
        <w:rPr>
          <w:rFonts w:eastAsiaTheme="minorBidi"/>
          <w:color w:val="000000"/>
          <w:lang w:val="fr-FR"/>
        </w:rPr>
        <w:fldChar w:fldCharType="begin"/>
      </w:r>
      <w:r w:rsidR="00116A61">
        <w:rPr>
          <w:rFonts w:eastAsiaTheme="minorBidi"/>
          <w:color w:val="000000"/>
          <w:lang w:val="fr-FR"/>
        </w:rPr>
        <w:instrText xml:space="preserve"> ADDIN ZOTERO_ITEM CSL_CITATION {"citationID":"95mKhqVy","properties":{"unsorted":false,"formattedCitation":"(34)","plainCitation":"(34)","noteIndex":0},"citationItems":[{"id":"6VBx8p83/tnBqo3SE","uris":["http://zotero.org/users/local/xPnoPzR4/items/CAFGSJEB"],"itemData":{"id":297,"type":"webpage","title":"Diabetic Neuropathy: A Position Statement by the American Diabetes Association | Diabetes Care | American Diabetes Association","URL":"https://diabetesjournals.org/care/article/40/1/136/37160/Diabetic-Neuropathy-A-Position-Statement-by-the","accessed":{"date-parts":[["2026",5,13]]}}}],"schema":"https://github.com/citation-style-language/schema/raw/master/csl-citation.json"} </w:instrText>
      </w:r>
      <w:r w:rsidR="009D3632">
        <w:rPr>
          <w:rFonts w:eastAsiaTheme="minorBidi"/>
          <w:color w:val="000000"/>
          <w:lang w:val="fr-FR"/>
        </w:rPr>
        <w:fldChar w:fldCharType="separate"/>
      </w:r>
      <w:r w:rsidR="009D3632" w:rsidRPr="009D3632">
        <w:rPr>
          <w:rFonts w:ascii="Calibri" w:hAnsi="Calibri"/>
          <w:lang w:val="fr-FR"/>
        </w:rPr>
        <w:t>(34)</w:t>
      </w:r>
      <w:r w:rsidR="009D3632">
        <w:rPr>
          <w:rFonts w:eastAsiaTheme="minorBidi"/>
          <w:color w:val="000000"/>
          <w:lang w:val="fr-FR"/>
        </w:rPr>
        <w:fldChar w:fldCharType="end"/>
      </w:r>
    </w:p>
    <w:p w14:paraId="36FFB18C" w14:textId="77777777" w:rsidR="00664D0A" w:rsidRPr="00664D0A" w:rsidRDefault="00664D0A" w:rsidP="00577C0B">
      <w:pPr>
        <w:pStyle w:val="Heading3"/>
        <w:rPr>
          <w:rFonts w:eastAsiaTheme="minorBidi"/>
          <w:sz w:val="28"/>
          <w:szCs w:val="28"/>
          <w:u w:val="single"/>
        </w:rPr>
      </w:pPr>
      <w:r w:rsidRPr="00664D0A">
        <w:rPr>
          <w:sz w:val="28"/>
          <w:szCs w:val="28"/>
          <w:u w:val="single"/>
        </w:rPr>
        <w:t xml:space="preserve">6-2-2/ </w:t>
      </w:r>
      <w:r w:rsidRPr="00664D0A">
        <w:rPr>
          <w:rFonts w:eastAsiaTheme="minorBidi"/>
          <w:sz w:val="28"/>
          <w:szCs w:val="28"/>
          <w:u w:val="single"/>
        </w:rPr>
        <w:t>Macroangiopathies :</w:t>
      </w:r>
    </w:p>
    <w:p w14:paraId="00559653" w14:textId="403F64AD" w:rsidR="00664D0A" w:rsidRPr="001C2505" w:rsidRDefault="00664D0A" w:rsidP="001C2505">
      <w:pPr>
        <w:rPr>
          <w:rFonts w:eastAsiaTheme="minorBidi"/>
          <w:color w:val="000000"/>
          <w:lang w:val="fr-FR"/>
        </w:rPr>
      </w:pPr>
      <w:r w:rsidRPr="00664D0A">
        <w:rPr>
          <w:rFonts w:eastAsiaTheme="minorBidi"/>
          <w:color w:val="000000"/>
          <w:lang w:val="fr-FR"/>
        </w:rPr>
        <w:t xml:space="preserve">  Ces conditions sont dues à la sclérose des vaisseaux (athérosclérose) secondaires à un dépôt à l'intérieur des vaisseaux, appelé plaque d'athérome. Ce dépôt entraîne un rétrécissement des artères, ce qui peut entraîner divers signes cliniques. L'athérosclérose est devenue la principale cause de décès chez les diabétiques, dépassant les comas métaboliques et les complications infectieuses </w:t>
      </w:r>
      <w:r w:rsidR="009D3632">
        <w:rPr>
          <w:rFonts w:eastAsiaTheme="minorBidi"/>
          <w:color w:val="000000"/>
          <w:lang w:val="fr-FR"/>
        </w:rPr>
        <w:fldChar w:fldCharType="begin"/>
      </w:r>
      <w:r w:rsidR="00116A61">
        <w:rPr>
          <w:rFonts w:eastAsiaTheme="minorBidi"/>
          <w:color w:val="000000"/>
          <w:lang w:val="fr-FR"/>
        </w:rPr>
        <w:instrText xml:space="preserve"> ADDIN ZOTERO_ITEM CSL_CITATION {"citationID":"bURlhKnx","properties":{"unsorted":false,"formattedCitation":"(35)","plainCitation":"(35)","noteIndex":0},"citationItems":[{"id":"6VBx8p83/T2iunapO","uris":["http://zotero.org/users/local/xPnoPzR4/items/JDVKEYVE"],"itemData":{"id":299,"type":"article-journal","container-title":"European Heart Journal","DOI":"10.1093/eurheartj/ehad192","ISSN":"1522-9645","issue":"39","journalAbbreviation":"Eur Heart J","language":"eng","page":"4043-4140","PMID":"37622663","source":"PubMed","title":"2023 ESC Guidelines for the management of cardiovascular disease in patients with diabetes","volume":"44","author":[{"family":"Marx","given":"Nikolaus"},{"family":"Federici","given":"Massimo"},{"family":"Schütt","given":"Katharina"},{"family":"Müller-Wieland","given":"Dirk"},{"family":"Ajjan","given":"Ramzi A."},{"family":"Antunes","given":"Manuel J."},{"family":"Christodorescu","given":"Ruxandra M."},{"family":"Crawford","given":"Carolyn"},{"family":"Di Angelantonio","given":"Emanuele"},{"family":"Eliasson","given":"Björn"},{"family":"Espinola-Klein","given":"Christine"},{"family":"Fauchier","given":"Laurent"},{"family":"Halle","given":"Martin"},{"family":"Herrington","given":"William G."},{"family":"Kautzky-Willer","given":"Alexandra"},{"family":"Lambrinou","given":"Ekaterini"},{"family":"Lesiak","given":"Maciej"},{"family":"Lettino","given":"Maddalena"},{"family":"McGuire","given":"Darren K."},{"family":"Mullens","given":"Wilfried"},{"family":"Rocca","given":"Bianca"},{"family":"Sattar","given":"Naveed"},{"literal":"ESC Scientific Document Group"}],"issued":{"date-parts":[["2023",10,14]]}}}],"schema":"https://github.com/citation-style-language/schema/raw/master/csl-citation.json"} </w:instrText>
      </w:r>
      <w:r w:rsidR="009D3632">
        <w:rPr>
          <w:rFonts w:eastAsiaTheme="minorBidi"/>
          <w:color w:val="000000"/>
          <w:lang w:val="fr-FR"/>
        </w:rPr>
        <w:fldChar w:fldCharType="separate"/>
      </w:r>
      <w:r w:rsidR="00D9672E" w:rsidRPr="00D9672E">
        <w:rPr>
          <w:rFonts w:ascii="Calibri" w:hAnsi="Calibri"/>
          <w:lang w:val="fr-FR"/>
        </w:rPr>
        <w:t>(35)</w:t>
      </w:r>
      <w:r w:rsidR="009D3632">
        <w:rPr>
          <w:rFonts w:eastAsiaTheme="minorBidi"/>
          <w:color w:val="000000"/>
          <w:lang w:val="fr-FR"/>
        </w:rPr>
        <w:fldChar w:fldCharType="end"/>
      </w:r>
    </w:p>
    <w:p w14:paraId="08BD4DF2" w14:textId="728734A1" w:rsidR="00664D0A" w:rsidRPr="00577C0B" w:rsidRDefault="00664D0A" w:rsidP="00577C0B">
      <w:pPr>
        <w:pStyle w:val="Heading4"/>
        <w:rPr>
          <w:sz w:val="28"/>
          <w:szCs w:val="28"/>
          <w:lang w:val="fr-FR"/>
        </w:rPr>
      </w:pPr>
      <w:r w:rsidRPr="00664D0A">
        <w:rPr>
          <w:sz w:val="28"/>
          <w:szCs w:val="28"/>
          <w:lang w:val="fr-FR"/>
        </w:rPr>
        <w:t>6-2-2-1/ Artériopathie Oblitérante des Membres Inférieurs (AOMI</w:t>
      </w:r>
      <w:proofErr w:type="gramStart"/>
      <w:r w:rsidRPr="00664D0A">
        <w:rPr>
          <w:sz w:val="28"/>
          <w:szCs w:val="28"/>
          <w:lang w:val="fr-FR"/>
        </w:rPr>
        <w:t>):</w:t>
      </w:r>
      <w:proofErr w:type="gramEnd"/>
    </w:p>
    <w:p w14:paraId="6163EDB1" w14:textId="77777777" w:rsidR="00664D0A" w:rsidRPr="00664D0A" w:rsidRDefault="00664D0A" w:rsidP="00B139C3">
      <w:pPr>
        <w:rPr>
          <w:rFonts w:eastAsiaTheme="minorBidi"/>
          <w:color w:val="000000"/>
          <w:u w:val="single"/>
          <w:lang w:val="fr-FR"/>
        </w:rPr>
      </w:pPr>
      <w:proofErr w:type="gramStart"/>
      <w:r w:rsidRPr="00664D0A">
        <w:rPr>
          <w:rFonts w:eastAsiaTheme="minorBidi"/>
          <w:color w:val="000000"/>
          <w:u w:val="single"/>
          <w:lang w:val="fr-FR"/>
        </w:rPr>
        <w:t>Definition:</w:t>
      </w:r>
      <w:proofErr w:type="gramEnd"/>
    </w:p>
    <w:p w14:paraId="51A282A8" w14:textId="079487EF" w:rsidR="00664D0A" w:rsidRPr="00664D0A" w:rsidRDefault="00664D0A" w:rsidP="00B139C3">
      <w:pPr>
        <w:rPr>
          <w:color w:val="000000"/>
          <w:sz w:val="18"/>
          <w:lang w:val="fr-FR"/>
        </w:rPr>
      </w:pPr>
      <w:r w:rsidRPr="00664D0A">
        <w:rPr>
          <w:color w:val="000000"/>
          <w:lang w:val="fr-FR"/>
        </w:rPr>
        <w:t xml:space="preserve"> L'artériopathie périphérique est une complication fréquente du diabète, d'autant plus fréquente que le diabète est ancien et couplé à d'autres facteurs de risque vasculaire. L'AOMI est souvent indolore en raison de son association dans 70 % des cas à une neuropathie</w:t>
      </w:r>
      <w:r w:rsidRPr="00664D0A">
        <w:rPr>
          <w:color w:val="000000"/>
          <w:sz w:val="18"/>
          <w:lang w:val="fr-FR"/>
        </w:rPr>
        <w:t xml:space="preserve"> .</w:t>
      </w:r>
      <w:r w:rsidR="00D9672E">
        <w:rPr>
          <w:color w:val="000000"/>
          <w:sz w:val="18"/>
          <w:lang w:val="fr-FR"/>
        </w:rPr>
        <w:fldChar w:fldCharType="begin"/>
      </w:r>
      <w:r w:rsidR="00116A61">
        <w:rPr>
          <w:color w:val="000000"/>
          <w:sz w:val="18"/>
          <w:lang w:val="fr-FR"/>
        </w:rPr>
        <w:instrText xml:space="preserve"> ADDIN ZOTERO_ITEM CSL_CITATION {"citationID":"MZv0PbsC","properties":{"unsorted":false,"formattedCitation":"(36)","plainCitation":"(36)","noteIndex":0},"citationItems":[{"id":"6VBx8p83/ZerXGCdR","uris":["http://zotero.org/users/local/xPnoPzR4/items/KP5YQI4L"],"itemData":{"id":302,"type":"webpage","title":"2024 ACC/AHA/AACVPR/APMA/ABC/SCAI/SVM/SVN/SVS/SIR/VESS Guideline for the Management of Lower Extremity Peripheral Artery Disease: A Report of the American College of Cardiology/American Heart Association Joint Committee on Clinical Practice Guidelines | Circulation","URL":"https://www.ahajournals.org/doi/10.1161/CIR.0000000000001251","accessed":{"date-parts":[["2026",5,13]]}}}],"schema":"https://github.com/citation-style-language/schema/raw/master/csl-citation.json"} </w:instrText>
      </w:r>
      <w:r w:rsidR="00D9672E">
        <w:rPr>
          <w:color w:val="000000"/>
          <w:sz w:val="18"/>
          <w:lang w:val="fr-FR"/>
        </w:rPr>
        <w:fldChar w:fldCharType="separate"/>
      </w:r>
      <w:r w:rsidR="00D9672E" w:rsidRPr="00D9672E">
        <w:rPr>
          <w:rFonts w:ascii="Calibri" w:hAnsi="Calibri"/>
          <w:sz w:val="18"/>
          <w:lang w:val="fr-FR"/>
        </w:rPr>
        <w:t>(36)</w:t>
      </w:r>
      <w:r w:rsidR="00D9672E">
        <w:rPr>
          <w:color w:val="000000"/>
          <w:sz w:val="18"/>
          <w:lang w:val="fr-FR"/>
        </w:rPr>
        <w:fldChar w:fldCharType="end"/>
      </w:r>
    </w:p>
    <w:p w14:paraId="627B3B53" w14:textId="6CE6C116" w:rsidR="00664D0A" w:rsidRPr="00664D0A" w:rsidRDefault="00664D0A" w:rsidP="00B139C3">
      <w:pPr>
        <w:rPr>
          <w:rFonts w:eastAsiaTheme="minorBidi"/>
          <w:color w:val="000000"/>
          <w:u w:val="single"/>
          <w:lang w:val="fr-FR"/>
        </w:rPr>
      </w:pPr>
      <w:proofErr w:type="gramStart"/>
      <w:r w:rsidRPr="00664D0A">
        <w:rPr>
          <w:rFonts w:eastAsiaTheme="minorBidi"/>
          <w:color w:val="000000"/>
          <w:u w:val="single"/>
          <w:lang w:val="fr-FR"/>
        </w:rPr>
        <w:t>la</w:t>
      </w:r>
      <w:proofErr w:type="gramEnd"/>
      <w:r w:rsidRPr="00664D0A">
        <w:rPr>
          <w:rFonts w:eastAsiaTheme="minorBidi"/>
          <w:color w:val="000000"/>
          <w:u w:val="single"/>
          <w:lang w:val="fr-FR"/>
        </w:rPr>
        <w:t xml:space="preserve"> classification de Leriche et Fontaine: </w:t>
      </w:r>
    </w:p>
    <w:p w14:paraId="2C9FC641" w14:textId="4DE5A33D" w:rsidR="00664D0A" w:rsidRPr="00664D0A" w:rsidRDefault="00664D0A" w:rsidP="00B139C3">
      <w:pPr>
        <w:rPr>
          <w:rFonts w:eastAsiaTheme="minorBidi"/>
          <w:color w:val="000000"/>
          <w:lang w:val="fr-FR"/>
        </w:rPr>
      </w:pPr>
      <w:r w:rsidRPr="00664D0A">
        <w:rPr>
          <w:rFonts w:eastAsiaTheme="minorBidi"/>
          <w:color w:val="000000"/>
          <w:lang w:val="fr-FR"/>
        </w:rPr>
        <w:t>utilisée pour évaluer la gravité de  (AOMI):</w:t>
      </w:r>
      <w:r w:rsidR="00D9672E" w:rsidRPr="00D9672E">
        <w:rPr>
          <w:rFonts w:eastAsiaTheme="minorBidi"/>
          <w:color w:val="000000"/>
          <w:u w:val="single"/>
          <w:lang w:val="fr-FR"/>
        </w:rPr>
        <w:t xml:space="preserve"> </w:t>
      </w:r>
      <w:r w:rsidR="00D9672E">
        <w:rPr>
          <w:rFonts w:eastAsiaTheme="minorBidi"/>
          <w:color w:val="000000"/>
          <w:u w:val="single"/>
          <w:lang w:val="fr-FR"/>
        </w:rPr>
        <w:fldChar w:fldCharType="begin"/>
      </w:r>
      <w:r w:rsidR="00116A61">
        <w:rPr>
          <w:rFonts w:eastAsiaTheme="minorBidi"/>
          <w:color w:val="000000"/>
          <w:u w:val="single"/>
          <w:lang w:val="fr-FR"/>
        </w:rPr>
        <w:instrText xml:space="preserve"> ADDIN ZOTERO_ITEM CSL_CITATION {"citationID":"iCH8nwlA","properties":{"unsorted":false,"formattedCitation":"(37)","plainCitation":"(37)","noteIndex":0},"citationItems":[{"id":"6VBx8p83/2sMS344U","uris":["http://zotero.org/users/local/xPnoPzR4/items/5QK3S6KG"],"itemData":{"id":303,"type":"article-journal","container-title":"European Heart Journal","DOI":"10.1093/eurheartj/ehae179","ISSN":"0195-668X, 1522-9645","issue":"36","language":"en","license":"https://academic.oup.com/pages/standard-publication-reuse-rights","page":"3538-3700","source":"DOI.org (Crossref)","title":"2024 ESC Guidelines for the management of peripheral arterial and aortic diseases","volume":"45","author":[{"family":"Mazzolai","given":"Lucia"},{"family":"Teixido-Tura","given":"Gisela"},{"family":"Lanzi","given":"Stefano"},{"family":"Boc","given":"Vinko"},{"family":"Bossone","given":"Eduardo"},{"family":"Brodmann","given":"Marianne"},{"family":"Bura-Rivière","given":"Alessandra"},{"family":"De Backer","given":"Julie"},{"family":"Deglise","given":"Sebastien"},{"family":"Della Corte","given":"Alessandro"},{"family":"Heiss","given":"Christian"},{"family":"Kałużna-Oleksy","given":"Marta"},{"family":"Kurpas","given":"Donata"},{"family":"McEniery","given":"Carmel M"},{"family":"Mirault","given":"Tristan"},{"family":"Pasquet","given":"Agnes A"},{"family":"Pitcher","given":"Alex"},{"family":"Schaubroeck","given":"Hannah A I"},{"family":"Schlager","given":"Oliver"},{"family":"Sirnes","given":"Per Anton"},{"family":"Sprynger","given":"Muriel G"},{"family":"Stabile","given":"Eugenio"},{"family":"Steinbach","given":"Françoise"},{"family":"Thielmann","given":"Matthias"},{"family":"Van Kimmenade","given":"Roland R J"},{"family":"Venermo","given":"Maarit"},{"family":"Rodriguez-Palomares","given":"Jose F"},{"literal":"ESC Scientific Document Group"},{"family":"Gimelli","given":"Alessia"},{"family":"Ricco","given":"Jean-Baptiste"},{"family":"Arbelo","given":"Elena"},{"family":"Behrendt","given":"Christian-Alexander"},{"family":"Böhm","given":"Michael"},{"family":"Borger","given":"Michael A"},{"family":"Brida","given":"Margarita"},{"family":"Buccheri","given":"Sergio"},{"family":"Buchanan","given":"Gill Louise"},{"family":"Christersson","given":"Christina"},{"family":"De Borst","given":"Gert J"},{"family":"De Carlo","given":"Marco"},{"family":"Gottardi","given":"Roman"},{"family":"Hanna","given":"Lydia"},{"family":"Hinterbuchner","given":"Lynne"},{"family":"Ibanez","given":"Borja"},{"family":"Ikonomidis","given":"Ignatios"},{"family":"James","given":"Stefan"},{"family":"Kahan","given":"Thomas"},{"family":"Kallenbach","given":"Klaus"},{"family":"Køber","given":"Lars"},{"family":"Koskinas","given":"Konstantinos C"},{"family":"Madaric","given":"Juraj"},{"family":"Maurel","given":"Blandine"},{"family":"McEvoy","given":"John William"},{"family":"Meltzer","given":"Gil"},{"family":"Mihaylova","given":"Borislava"},{"family":"Mindham","given":"Richard"},{"family":"Mozos","given":"Ioana"},{"family":"Nielsen","given":"Jens Cosedis"},{"family":"Prescott","given":"Eva"},{"family":"Rakisheva","given":"Amina"},{"family":"Rantner","given":"Barbara"},{"family":"Rocca","given":"Bianca"},{"family":"Rossello","given":"Xavier"},{"family":"Schmid","given":"Jean Paul"},{"family":"Staub","given":"Daniel"},{"family":"Steiner","given":"Sabine"},{"family":"Sudano","given":"Isabella"},{"family":"Teraa","given":"Martin"},{"family":"Vaartjes","given":"Ilonca"},{"family":"Vidal-Perez","given":"Rafael"},{"family":"Vrints","given":"Christiaan"},{"family":"Zeppenfeld","given":"Katja"},{"family":"Bouzid","given":"Mohammed El Amine"},{"family":"Tsaturyan","given":"Arsen A"},{"family":"Karth","given":"Georg Delle"},{"family":"Samadov","given":"Fuad"},{"family":"Bondue","given":"Antoine"},{"family":"Begić","given":"Alden"},{"family":"Petrov","given":"Ivo"},{"family":"Kirhmajer","given":"Majda Vrkic"},{"family":"Georghiou","given":"Georgios P"},{"family":"Procházka","given":"Pavel"},{"family":"Rasmussen","given":"Torsten B"},{"family":"Sadek","given":"Yasser A"},{"family":"Truusalu","given":"Jaagup"},{"family":"Saari","given":"Petri"},{"family":"Jondeau","given":"Guillaume"},{"family":"Tiefenbacher","given":"Christiane"},{"family":"Stamatelopoulos","given":"Kimon"},{"family":"Kolossváry","given":"Endre"},{"family":"Laxdal","given":"Elín Hanna"},{"family":"Monaghan","given":"Monica"},{"family":"Koslowsky","given":"Jonathan"},{"family":"Indolfi","given":"Ciro"},{"family":"Kospanov","given":"Nursultan"},{"family":"Ibrahimi","given":"Pranvera"},{"family":"Lunegova","given":"Olga"},{"family":"Rudzitis","given":"Ainars"},{"family":"Berūkštis","given":"Andrius"},{"family":"Lottermoser","given":"Katja"},{"family":"Caruana","given":"Maryanne"},{"family":"Zainab","given":"Raissuni"},{"family":"Bosevski","given":"Marijan"},{"family":"Samstad","given":"Stein"},{"family":"Timoteo","given":"Ana Teresa"},{"family":"Chioncel","given":"Ovidiu Dragomir"},{"family":"Pavesi","given":"Pier Camillo"},{"family":"Rasiova","given":"Maria"},{"family":"Jug","given":"Borut"},{"family":"Gomez","given":"Ariana González"},{"family":"James","given":"Stefan"},{"family":"Righini","given":"Marc"},{"family":"Tarmiz","given":"Amine"},{"family":"Tutar","given":"Eralp"},{"family":"Sokolov","given":"Maksym"}],"issued":{"date-parts":[["2024",9,29]]}}}],"schema":"https://github.com/citation-style-language/schema/raw/master/csl-citation.json"} </w:instrText>
      </w:r>
      <w:r w:rsidR="00D9672E">
        <w:rPr>
          <w:rFonts w:eastAsiaTheme="minorBidi"/>
          <w:color w:val="000000"/>
          <w:u w:val="single"/>
          <w:lang w:val="fr-FR"/>
        </w:rPr>
        <w:fldChar w:fldCharType="separate"/>
      </w:r>
      <w:r w:rsidR="00D9672E" w:rsidRPr="00D9672E">
        <w:rPr>
          <w:rFonts w:ascii="Calibri" w:hAnsi="Calibri"/>
          <w:lang w:val="fr-FR"/>
        </w:rPr>
        <w:t>(37)</w:t>
      </w:r>
      <w:r w:rsidR="00D9672E">
        <w:rPr>
          <w:rFonts w:eastAsiaTheme="minorBidi"/>
          <w:color w:val="000000"/>
          <w:u w:val="single"/>
          <w:lang w:val="fr-FR"/>
        </w:rPr>
        <w:fldChar w:fldCharType="end"/>
      </w:r>
    </w:p>
    <w:p w14:paraId="0885830F" w14:textId="77777777" w:rsidR="00664D0A" w:rsidRPr="00664D0A" w:rsidRDefault="00664D0A" w:rsidP="00B139C3">
      <w:pPr>
        <w:rPr>
          <w:rFonts w:eastAsiaTheme="minorBidi"/>
          <w:color w:val="000000"/>
          <w:lang w:val="fr-FR"/>
        </w:rPr>
      </w:pPr>
      <w:r w:rsidRPr="00E71797">
        <w:rPr>
          <w:rFonts w:ascii="Calibri" w:eastAsiaTheme="minorBidi" w:hAnsi="Calibri" w:cs="Calibri"/>
          <w:color w:val="000000"/>
        </w:rPr>
        <w:t></w:t>
      </w:r>
      <w:r w:rsidRPr="00664D0A">
        <w:rPr>
          <w:rFonts w:ascii="Calibri" w:eastAsiaTheme="minorBidi" w:hAnsi="Calibri" w:cs="Calibri"/>
          <w:color w:val="000000"/>
          <w:lang w:val="fr-FR"/>
        </w:rPr>
        <w:t xml:space="preserve"> Stade </w:t>
      </w:r>
      <w:proofErr w:type="gramStart"/>
      <w:r w:rsidRPr="00664D0A">
        <w:rPr>
          <w:rFonts w:ascii="Calibri" w:eastAsiaTheme="minorBidi" w:hAnsi="Calibri" w:cs="Calibri"/>
          <w:color w:val="000000"/>
          <w:lang w:val="fr-FR"/>
        </w:rPr>
        <w:t>I :</w:t>
      </w:r>
      <w:proofErr w:type="gramEnd"/>
      <w:r w:rsidRPr="00664D0A">
        <w:rPr>
          <w:rFonts w:ascii="Calibri" w:eastAsiaTheme="minorBidi" w:hAnsi="Calibri" w:cs="Calibri"/>
          <w:color w:val="000000"/>
          <w:lang w:val="fr-FR"/>
        </w:rPr>
        <w:t xml:space="preserve"> Asymptomatique, avec IP</w:t>
      </w:r>
      <w:r w:rsidRPr="00664D0A">
        <w:rPr>
          <w:rFonts w:eastAsiaTheme="minorBidi"/>
          <w:color w:val="000000"/>
          <w:lang w:val="fr-FR"/>
        </w:rPr>
        <w:t xml:space="preserve">Sc et/ou Echodoppler couleur anormal. </w:t>
      </w:r>
    </w:p>
    <w:p w14:paraId="050188F4" w14:textId="77777777" w:rsidR="00664D0A" w:rsidRPr="00664D0A" w:rsidRDefault="00664D0A" w:rsidP="00B139C3">
      <w:pPr>
        <w:rPr>
          <w:rFonts w:ascii="Calibri" w:eastAsiaTheme="minorBidi" w:hAnsi="Calibri" w:cs="Calibri"/>
          <w:color w:val="000000"/>
          <w:lang w:val="fr-FR"/>
        </w:rPr>
      </w:pPr>
      <w:r w:rsidRPr="00E71797">
        <w:rPr>
          <w:rFonts w:ascii="Calibri" w:eastAsiaTheme="minorBidi" w:hAnsi="Calibri" w:cs="Calibri"/>
          <w:color w:val="000000"/>
        </w:rPr>
        <w:t></w:t>
      </w:r>
      <w:r w:rsidRPr="00664D0A">
        <w:rPr>
          <w:rFonts w:ascii="Calibri" w:eastAsiaTheme="minorBidi" w:hAnsi="Calibri" w:cs="Calibri"/>
          <w:color w:val="000000"/>
          <w:lang w:val="fr-FR"/>
        </w:rPr>
        <w:t xml:space="preserve"> Stade </w:t>
      </w:r>
      <w:proofErr w:type="gramStart"/>
      <w:r w:rsidRPr="00664D0A">
        <w:rPr>
          <w:rFonts w:ascii="Calibri" w:eastAsiaTheme="minorBidi" w:hAnsi="Calibri" w:cs="Calibri"/>
          <w:color w:val="000000"/>
          <w:lang w:val="fr-FR"/>
        </w:rPr>
        <w:t>II :</w:t>
      </w:r>
      <w:proofErr w:type="gramEnd"/>
      <w:r w:rsidRPr="00664D0A">
        <w:rPr>
          <w:rFonts w:ascii="Calibri" w:eastAsiaTheme="minorBidi" w:hAnsi="Calibri" w:cs="Calibri"/>
          <w:color w:val="000000"/>
          <w:lang w:val="fr-FR"/>
        </w:rPr>
        <w:t xml:space="preserve"> Claudication intermittente : douleur, de type crampe ou constriction ou fatigue intense à l’effort musculaire, qui disparaît au repos. </w:t>
      </w:r>
    </w:p>
    <w:p w14:paraId="26EFBC74" w14:textId="77777777" w:rsidR="00664D0A" w:rsidRPr="00664D0A" w:rsidRDefault="00664D0A" w:rsidP="00B139C3">
      <w:pPr>
        <w:rPr>
          <w:rFonts w:eastAsiaTheme="minorBidi"/>
          <w:color w:val="000000"/>
          <w:lang w:val="fr-FR"/>
        </w:rPr>
      </w:pPr>
      <w:r w:rsidRPr="00E71797">
        <w:rPr>
          <w:rFonts w:ascii="Calibri" w:eastAsiaTheme="minorBidi" w:hAnsi="Calibri" w:cs="Calibri"/>
          <w:color w:val="000000"/>
        </w:rPr>
        <w:t></w:t>
      </w:r>
      <w:r w:rsidRPr="00664D0A">
        <w:rPr>
          <w:rFonts w:ascii="Calibri" w:eastAsiaTheme="minorBidi" w:hAnsi="Calibri" w:cs="Calibri"/>
          <w:color w:val="000000"/>
          <w:lang w:val="fr-FR"/>
        </w:rPr>
        <w:t xml:space="preserve"> Stade </w:t>
      </w:r>
      <w:proofErr w:type="gramStart"/>
      <w:r w:rsidRPr="00664D0A">
        <w:rPr>
          <w:rFonts w:ascii="Calibri" w:eastAsiaTheme="minorBidi" w:hAnsi="Calibri" w:cs="Calibri"/>
          <w:color w:val="000000"/>
          <w:lang w:val="fr-FR"/>
        </w:rPr>
        <w:t>III :</w:t>
      </w:r>
      <w:proofErr w:type="gramEnd"/>
      <w:r w:rsidRPr="00664D0A">
        <w:rPr>
          <w:rFonts w:ascii="Calibri" w:eastAsiaTheme="minorBidi" w:hAnsi="Calibri" w:cs="Calibri"/>
          <w:color w:val="000000"/>
          <w:lang w:val="fr-FR"/>
        </w:rPr>
        <w:t xml:space="preserve"> Douleur au repos : à type de brûlure ou de morsure, ag</w:t>
      </w:r>
      <w:r w:rsidRPr="00664D0A">
        <w:rPr>
          <w:rFonts w:eastAsiaTheme="minorBidi"/>
          <w:color w:val="000000"/>
          <w:lang w:val="fr-FR"/>
        </w:rPr>
        <w:t xml:space="preserve">gravée la nuit, localisée à un ou plusieurs orteils ou en chaussette, soulagée en position déclive et au refroidissement. </w:t>
      </w:r>
    </w:p>
    <w:p w14:paraId="426D0298" w14:textId="7294D594" w:rsidR="00664D0A" w:rsidRPr="00577C0B" w:rsidRDefault="00664D0A" w:rsidP="00577C0B">
      <w:pPr>
        <w:rPr>
          <w:rFonts w:eastAsiaTheme="minorBidi"/>
          <w:color w:val="000000"/>
          <w:lang w:val="fr-FR"/>
        </w:rPr>
      </w:pPr>
      <w:r w:rsidRPr="00E71797">
        <w:rPr>
          <w:rFonts w:ascii="Calibri" w:eastAsiaTheme="minorBidi" w:hAnsi="Calibri" w:cs="Calibri"/>
          <w:color w:val="000000"/>
        </w:rPr>
        <w:t></w:t>
      </w:r>
      <w:r w:rsidRPr="00664D0A">
        <w:rPr>
          <w:rFonts w:ascii="Calibri" w:eastAsiaTheme="minorBidi" w:hAnsi="Calibri" w:cs="Calibri"/>
          <w:color w:val="000000"/>
          <w:lang w:val="fr-FR"/>
        </w:rPr>
        <w:t xml:space="preserve"> Stade </w:t>
      </w:r>
      <w:proofErr w:type="gramStart"/>
      <w:r w:rsidRPr="00664D0A">
        <w:rPr>
          <w:rFonts w:ascii="Calibri" w:eastAsiaTheme="minorBidi" w:hAnsi="Calibri" w:cs="Calibri"/>
          <w:color w:val="000000"/>
          <w:lang w:val="fr-FR"/>
        </w:rPr>
        <w:t>IV :</w:t>
      </w:r>
      <w:proofErr w:type="gramEnd"/>
      <w:r w:rsidRPr="00664D0A">
        <w:rPr>
          <w:rFonts w:ascii="Calibri" w:eastAsiaTheme="minorBidi" w:hAnsi="Calibri" w:cs="Calibri"/>
          <w:color w:val="000000"/>
          <w:lang w:val="fr-FR"/>
        </w:rPr>
        <w:t xml:space="preserve"> Lésions trophiques : ulcérations ischémiques et/ou gangrène. Association à la neuropathie et à la susceptibilité aux inf</w:t>
      </w:r>
      <w:r w:rsidRPr="00664D0A">
        <w:rPr>
          <w:rFonts w:eastAsiaTheme="minorBidi"/>
          <w:color w:val="000000"/>
          <w:lang w:val="fr-FR"/>
        </w:rPr>
        <w:t>ections, provoquant des troubles trophiques (dont le MPP) qui, en se surinfectant, peuvent mener à la gangrène et, donc, à l'</w:t>
      </w:r>
      <w:r w:rsidR="00577C0B">
        <w:rPr>
          <w:rFonts w:eastAsiaTheme="minorBidi"/>
          <w:color w:val="000000"/>
          <w:lang w:val="fr-FR"/>
        </w:rPr>
        <w:t>amputation.</w:t>
      </w:r>
    </w:p>
    <w:p w14:paraId="6B095463" w14:textId="77777777" w:rsidR="00664D0A" w:rsidRPr="00664D0A" w:rsidRDefault="00664D0A" w:rsidP="00577C0B">
      <w:pPr>
        <w:pStyle w:val="Heading4"/>
        <w:rPr>
          <w:rFonts w:eastAsiaTheme="minorBidi"/>
          <w:sz w:val="28"/>
          <w:szCs w:val="28"/>
          <w:lang w:val="fr-FR"/>
        </w:rPr>
      </w:pPr>
      <w:r w:rsidRPr="00664D0A">
        <w:rPr>
          <w:sz w:val="28"/>
          <w:szCs w:val="28"/>
          <w:lang w:val="fr-FR"/>
        </w:rPr>
        <w:t>6-2-2-2/</w:t>
      </w:r>
      <w:r w:rsidRPr="00664D0A">
        <w:rPr>
          <w:rFonts w:eastAsiaTheme="minorBidi"/>
          <w:sz w:val="28"/>
          <w:szCs w:val="28"/>
          <w:lang w:val="fr-FR"/>
        </w:rPr>
        <w:t>Ischémie myocardique silencieuse (IMS) :</w:t>
      </w:r>
    </w:p>
    <w:p w14:paraId="5FF74BA1" w14:textId="6EFD9E18" w:rsidR="00664D0A" w:rsidRPr="00664D0A" w:rsidRDefault="00664D0A" w:rsidP="00B139C3">
      <w:pPr>
        <w:rPr>
          <w:rFonts w:eastAsiaTheme="minorBidi"/>
          <w:color w:val="000000"/>
          <w:lang w:val="fr-FR"/>
        </w:rPr>
      </w:pPr>
      <w:r w:rsidRPr="00664D0A">
        <w:rPr>
          <w:rFonts w:eastAsiaTheme="minorBidi"/>
          <w:color w:val="000000"/>
          <w:lang w:val="fr-FR"/>
        </w:rPr>
        <w:t xml:space="preserve">La pathologie coronaire apparaît comme la principale cause de décès du patient diabétique et tend à se présenter sous forme silencieuse, ce qui retarde le diagnostic. Son incidence est supérieure dans le diabète de type 2 et concerne environ 25 % des patients (107-108). Elle </w:t>
      </w:r>
      <w:r w:rsidRPr="00664D0A">
        <w:rPr>
          <w:rFonts w:eastAsiaTheme="minorBidi"/>
          <w:color w:val="000000"/>
          <w:lang w:val="fr-FR"/>
        </w:rPr>
        <w:lastRenderedPageBreak/>
        <w:t xml:space="preserve">serait liée à une dysfonction endothéliale, à une augmentation des bêta-endorphines (diminuant la symptomatologie angineuse) et à une dysfonction du système nerveux autonome. </w:t>
      </w:r>
      <w:r w:rsidR="00D9672E">
        <w:rPr>
          <w:rFonts w:eastAsiaTheme="minorBidi"/>
          <w:color w:val="000000"/>
          <w:lang w:val="fr-FR"/>
        </w:rPr>
        <w:fldChar w:fldCharType="begin"/>
      </w:r>
      <w:r w:rsidR="00116A61">
        <w:rPr>
          <w:rFonts w:eastAsiaTheme="minorBidi"/>
          <w:color w:val="000000"/>
          <w:lang w:val="fr-FR"/>
        </w:rPr>
        <w:instrText xml:space="preserve"> ADDIN ZOTERO_ITEM CSL_CITATION {"citationID":"cTYVUavL","properties":{"unsorted":false,"formattedCitation":"(35)","plainCitation":"(35)","noteIndex":0},"citationItems":[{"id":"6VBx8p83/T2iunapO","uris":["http://zotero.org/users/local/xPnoPzR4/items/JDVKEYVE"],"itemData":{"id":299,"type":"article-journal","container-title":"European Heart Journal","DOI":"10.1093/eurheartj/ehad192","ISSN":"1522-9645","issue":"39","journalAbbreviation":"Eur Heart J","language":"eng","page":"4043-4140","PMID":"37622663","source":"PubMed","title":"2023 ESC Guidelines for the management of cardiovascular disease in patients with diabetes","volume":"44","author":[{"family":"Marx","given":"Nikolaus"},{"family":"Federici","given":"Massimo"},{"family":"Schütt","given":"Katharina"},{"family":"Müller-Wieland","given":"Dirk"},{"family":"Ajjan","given":"Ramzi A."},{"family":"Antunes","given":"Manuel J."},{"family":"Christodorescu","given":"Ruxandra M."},{"family":"Crawford","given":"Carolyn"},{"family":"Di Angelantonio","given":"Emanuele"},{"family":"Eliasson","given":"Björn"},{"family":"Espinola-Klein","given":"Christine"},{"family":"Fauchier","given":"Laurent"},{"family":"Halle","given":"Martin"},{"family":"Herrington","given":"William G."},{"family":"Kautzky-Willer","given":"Alexandra"},{"family":"Lambrinou","given":"Ekaterini"},{"family":"Lesiak","given":"Maciej"},{"family":"Lettino","given":"Maddalena"},{"family":"McGuire","given":"Darren K."},{"family":"Mullens","given":"Wilfried"},{"family":"Rocca","given":"Bianca"},{"family":"Sattar","given":"Naveed"},{"literal":"ESC Scientific Document Group"}],"issued":{"date-parts":[["2023",10,14]]}}}],"schema":"https://github.com/citation-style-language/schema/raw/master/csl-citation.json"} </w:instrText>
      </w:r>
      <w:r w:rsidR="00D9672E">
        <w:rPr>
          <w:rFonts w:eastAsiaTheme="minorBidi"/>
          <w:color w:val="000000"/>
          <w:lang w:val="fr-FR"/>
        </w:rPr>
        <w:fldChar w:fldCharType="separate"/>
      </w:r>
      <w:r w:rsidR="00D9672E" w:rsidRPr="003771A7">
        <w:rPr>
          <w:rFonts w:ascii="Calibri" w:hAnsi="Calibri"/>
          <w:lang w:val="fr-FR"/>
        </w:rPr>
        <w:t>(35)</w:t>
      </w:r>
      <w:r w:rsidR="00D9672E">
        <w:rPr>
          <w:rFonts w:eastAsiaTheme="minorBidi"/>
          <w:color w:val="000000"/>
          <w:lang w:val="fr-FR"/>
        </w:rPr>
        <w:fldChar w:fldCharType="end"/>
      </w:r>
    </w:p>
    <w:p w14:paraId="5857B8B7" w14:textId="6D136392" w:rsidR="00664D0A" w:rsidRPr="00577C0B" w:rsidRDefault="00664D0A" w:rsidP="00577C0B">
      <w:pPr>
        <w:rPr>
          <w:rFonts w:eastAsiaTheme="minorBidi"/>
          <w:color w:val="000000"/>
          <w:lang w:val="fr-FR"/>
        </w:rPr>
      </w:pPr>
      <w:r w:rsidRPr="00664D0A">
        <w:rPr>
          <w:rFonts w:eastAsiaTheme="minorBidi"/>
          <w:color w:val="000000"/>
          <w:u w:val="single"/>
          <w:lang w:val="fr-FR"/>
        </w:rPr>
        <w:t xml:space="preserve">Facteurs de risque </w:t>
      </w:r>
      <w:r w:rsidRPr="00664D0A">
        <w:rPr>
          <w:rFonts w:eastAsiaTheme="minorBidi"/>
          <w:color w:val="000000"/>
          <w:lang w:val="fr-FR"/>
        </w:rPr>
        <w:t>:</w:t>
      </w:r>
      <w:r w:rsidRPr="00664D0A">
        <w:rPr>
          <w:rFonts w:eastAsiaTheme="minorBidi"/>
          <w:color w:val="000000"/>
          <w:lang w:val="fr-FR"/>
        </w:rPr>
        <w:br/>
        <w:t>Diabète, hypertension artérielle, dyslipidémie, tabagisme, antécédents familiaux de m</w:t>
      </w:r>
      <w:r w:rsidR="00577C0B">
        <w:rPr>
          <w:rFonts w:eastAsiaTheme="minorBidi"/>
          <w:color w:val="000000"/>
          <w:lang w:val="fr-FR"/>
        </w:rPr>
        <w:t>aladie coronarienne. (ESC 2022)</w:t>
      </w:r>
    </w:p>
    <w:p w14:paraId="385638FF" w14:textId="77777777" w:rsidR="00664D0A" w:rsidRPr="00664D0A" w:rsidRDefault="00664D0A" w:rsidP="00577C0B">
      <w:pPr>
        <w:pStyle w:val="Heading4"/>
        <w:rPr>
          <w:rFonts w:eastAsiaTheme="minorBidi"/>
          <w:sz w:val="28"/>
          <w:szCs w:val="28"/>
          <w:lang w:val="fr-FR"/>
        </w:rPr>
      </w:pPr>
      <w:r w:rsidRPr="00664D0A">
        <w:rPr>
          <w:sz w:val="28"/>
          <w:szCs w:val="28"/>
          <w:lang w:val="fr-FR"/>
        </w:rPr>
        <w:t>6-2-2-3/</w:t>
      </w:r>
      <w:r w:rsidRPr="00664D0A">
        <w:rPr>
          <w:rFonts w:eastAsiaTheme="minorBidi"/>
          <w:sz w:val="28"/>
          <w:szCs w:val="28"/>
          <w:lang w:val="fr-FR"/>
        </w:rPr>
        <w:t>Accidents vasculaires cérébraux (AVC</w:t>
      </w:r>
      <w:proofErr w:type="gramStart"/>
      <w:r w:rsidRPr="00664D0A">
        <w:rPr>
          <w:rFonts w:eastAsiaTheme="minorBidi"/>
          <w:sz w:val="28"/>
          <w:szCs w:val="28"/>
          <w:lang w:val="fr-FR"/>
        </w:rPr>
        <w:t>):</w:t>
      </w:r>
      <w:proofErr w:type="gramEnd"/>
    </w:p>
    <w:p w14:paraId="38EE2655" w14:textId="5EADD8C7" w:rsidR="00664D0A" w:rsidRPr="00577C0B" w:rsidRDefault="00664D0A" w:rsidP="00577C0B">
      <w:pPr>
        <w:rPr>
          <w:rFonts w:eastAsiaTheme="minorBidi"/>
          <w:color w:val="000000"/>
          <w:lang w:val="fr-FR"/>
        </w:rPr>
      </w:pPr>
      <w:proofErr w:type="gramStart"/>
      <w:r w:rsidRPr="00664D0A">
        <w:rPr>
          <w:rFonts w:eastAsiaTheme="minorBidi"/>
          <w:color w:val="000000"/>
          <w:u w:val="single"/>
          <w:lang w:val="fr-FR"/>
        </w:rPr>
        <w:t>Définition:</w:t>
      </w:r>
      <w:proofErr w:type="gramEnd"/>
      <w:r w:rsidRPr="00664D0A">
        <w:rPr>
          <w:rFonts w:eastAsiaTheme="minorBidi"/>
          <w:color w:val="000000"/>
          <w:u w:val="single"/>
          <w:lang w:val="fr-FR"/>
        </w:rPr>
        <w:br/>
      </w:r>
      <w:r w:rsidRPr="00664D0A">
        <w:rPr>
          <w:rFonts w:eastAsiaTheme="minorBidi"/>
          <w:color w:val="000000"/>
          <w:lang w:val="fr-FR"/>
        </w:rPr>
        <w:t>Un accident vasculaire cérébral est une interruption aiguë de la perfusion cérébrale par occlusion ou rupture d’un vaisseau cérébral, avec prédominance de la forme ischémique chez les diabétiques. (AHA/ASA 2023)</w:t>
      </w:r>
      <w:r w:rsidR="003771A7">
        <w:rPr>
          <w:rFonts w:eastAsiaTheme="minorBidi"/>
          <w:color w:val="000000"/>
          <w:lang w:val="fr-FR"/>
        </w:rPr>
        <w:fldChar w:fldCharType="begin"/>
      </w:r>
      <w:r w:rsidR="00116A61">
        <w:rPr>
          <w:rFonts w:eastAsiaTheme="minorBidi"/>
          <w:color w:val="000000"/>
          <w:lang w:val="fr-FR"/>
        </w:rPr>
        <w:instrText xml:space="preserve"> ADDIN ZOTERO_ITEM CSL_CITATION {"citationID":"zn63iSeg","properties":{"unsorted":false,"formattedCitation":"(38)","plainCitation":"(38)","noteIndex":0},"citationItems":[{"id":"6VBx8p83/dChnjZdg","uris":["http://zotero.org/users/local/xPnoPzR4/items/H2QT4BVE"],"itemData":{"id":309,"type":"webpage","title":"2021 Guideline for the Prevention of Stroke in Patients With Stroke and Transient Ischemic Attack: A Guideline From the American Heart Association/American Stroke Association | Stroke","URL":"https://www.ahajournals.org/doi/10.1161/STR.0000000000000375","accessed":{"date-parts":[["2026",5,13]]}}}],"schema":"https://github.com/citation-style-language/schema/raw/master/csl-citation.json"} </w:instrText>
      </w:r>
      <w:r w:rsidR="003771A7">
        <w:rPr>
          <w:rFonts w:eastAsiaTheme="minorBidi"/>
          <w:color w:val="000000"/>
          <w:lang w:val="fr-FR"/>
        </w:rPr>
        <w:fldChar w:fldCharType="separate"/>
      </w:r>
      <w:r w:rsidR="003771A7" w:rsidRPr="003771A7">
        <w:rPr>
          <w:rFonts w:ascii="Calibri" w:hAnsi="Calibri"/>
          <w:lang w:val="fr-FR"/>
        </w:rPr>
        <w:t>(38)</w:t>
      </w:r>
      <w:r w:rsidR="003771A7">
        <w:rPr>
          <w:rFonts w:eastAsiaTheme="minorBidi"/>
          <w:color w:val="000000"/>
          <w:lang w:val="fr-FR"/>
        </w:rPr>
        <w:fldChar w:fldCharType="end"/>
      </w:r>
    </w:p>
    <w:p w14:paraId="1FC18D02" w14:textId="48A093B3" w:rsidR="00664D0A" w:rsidRPr="003771A7" w:rsidRDefault="00664D0A" w:rsidP="00577C0B">
      <w:pPr>
        <w:pStyle w:val="Heading4"/>
        <w:rPr>
          <w:rFonts w:eastAsiaTheme="minorBidi"/>
          <w:sz w:val="28"/>
          <w:szCs w:val="28"/>
          <w:lang w:val="fr-FR"/>
        </w:rPr>
      </w:pPr>
      <w:r w:rsidRPr="00664D0A">
        <w:rPr>
          <w:sz w:val="28"/>
          <w:szCs w:val="28"/>
          <w:lang w:val="fr-FR"/>
        </w:rPr>
        <w:t xml:space="preserve">6-2-2-4/ </w:t>
      </w:r>
      <w:r w:rsidR="003771A7">
        <w:rPr>
          <w:rFonts w:eastAsiaTheme="minorBidi"/>
          <w:sz w:val="28"/>
          <w:szCs w:val="28"/>
          <w:lang w:val="fr-FR"/>
        </w:rPr>
        <w:t>Hypertension artérielle (HTA</w:t>
      </w:r>
      <w:proofErr w:type="gramStart"/>
      <w:r w:rsidR="003771A7">
        <w:rPr>
          <w:rFonts w:eastAsiaTheme="minorBidi"/>
          <w:sz w:val="28"/>
          <w:szCs w:val="28"/>
          <w:lang w:val="fr-FR"/>
        </w:rPr>
        <w:t>):</w:t>
      </w:r>
      <w:proofErr w:type="gramEnd"/>
    </w:p>
    <w:p w14:paraId="5F4B499C" w14:textId="77777777" w:rsidR="00664D0A" w:rsidRPr="00664D0A" w:rsidRDefault="00664D0A" w:rsidP="00B139C3">
      <w:pPr>
        <w:rPr>
          <w:rFonts w:eastAsiaTheme="minorBidi"/>
          <w:color w:val="000000"/>
          <w:lang w:val="fr-FR"/>
        </w:rPr>
      </w:pPr>
      <w:r w:rsidRPr="00664D0A">
        <w:rPr>
          <w:rFonts w:eastAsiaTheme="minorBidi"/>
          <w:color w:val="000000"/>
          <w:u w:val="single"/>
          <w:lang w:val="fr-FR"/>
        </w:rPr>
        <w:t>Définition</w:t>
      </w:r>
      <w:r w:rsidRPr="00664D0A">
        <w:rPr>
          <w:rFonts w:eastAsiaTheme="minorBidi"/>
          <w:color w:val="000000"/>
          <w:lang w:val="fr-FR"/>
        </w:rPr>
        <w:t xml:space="preserve"> :</w:t>
      </w:r>
    </w:p>
    <w:p w14:paraId="6653D53D" w14:textId="6F59D49E" w:rsidR="00664D0A" w:rsidRPr="00664D0A" w:rsidRDefault="00664D0A" w:rsidP="00B139C3">
      <w:pPr>
        <w:rPr>
          <w:rFonts w:eastAsiaTheme="minorBidi"/>
          <w:color w:val="000000"/>
          <w:lang w:val="fr-FR"/>
        </w:rPr>
      </w:pPr>
      <w:r w:rsidRPr="00664D0A">
        <w:rPr>
          <w:rFonts w:eastAsiaTheme="minorBidi"/>
          <w:color w:val="000000"/>
          <w:lang w:val="fr-FR"/>
        </w:rPr>
        <w:t xml:space="preserve"> La pathogénie de l’hypertension chez les diabétiques est complexe et fait intervenir plusieurs facteurs biologiques et environnementaux, ainsi qu’une prédisposition génétique. Par conséquent, l’hypertension du diabétique présente un plus grand danger de problèmes et de complications. La mortalité, notamment cardiovasculaire, des patients DT2 et hypertendus est multipliée par sept par rapport aux patients non diabétiques.</w:t>
      </w:r>
    </w:p>
    <w:p w14:paraId="392870C2" w14:textId="77777777" w:rsidR="00664D0A" w:rsidRPr="00664D0A" w:rsidRDefault="00664D0A" w:rsidP="00B139C3">
      <w:pPr>
        <w:rPr>
          <w:rFonts w:eastAsiaTheme="minorBidi"/>
          <w:color w:val="000000"/>
          <w:u w:val="single"/>
          <w:lang w:val="fr-FR"/>
        </w:rPr>
      </w:pPr>
      <w:r w:rsidRPr="00664D0A">
        <w:rPr>
          <w:rFonts w:eastAsiaTheme="minorBidi"/>
          <w:color w:val="000000"/>
          <w:u w:val="single"/>
          <w:lang w:val="fr-FR"/>
        </w:rPr>
        <w:t xml:space="preserve"> Diagnostic de l’HTA :</w:t>
      </w:r>
    </w:p>
    <w:p w14:paraId="58D556A8" w14:textId="4B06EB36" w:rsidR="00664D0A" w:rsidRPr="00577C0B" w:rsidRDefault="00664D0A" w:rsidP="00577C0B">
      <w:pPr>
        <w:rPr>
          <w:rFonts w:eastAsiaTheme="minorBidi"/>
          <w:color w:val="000000"/>
          <w:lang w:val="fr-FR"/>
        </w:rPr>
      </w:pPr>
      <w:proofErr w:type="gramStart"/>
      <w:r w:rsidRPr="00664D0A">
        <w:rPr>
          <w:rFonts w:eastAsiaTheme="minorBidi"/>
          <w:color w:val="000000"/>
          <w:lang w:val="fr-FR"/>
        </w:rPr>
        <w:t>repose</w:t>
      </w:r>
      <w:proofErr w:type="gramEnd"/>
      <w:r w:rsidRPr="00664D0A">
        <w:rPr>
          <w:rFonts w:eastAsiaTheme="minorBidi"/>
          <w:color w:val="000000"/>
          <w:lang w:val="fr-FR"/>
        </w:rPr>
        <w:t xml:space="preserve"> sur la mesure précise de la pression artérielle à plusieurs reprises à l’aide d’appareils à brassard électroniques (oscillométriques) de préférence à l’auscultation. </w:t>
      </w:r>
      <w:r w:rsidR="003771A7">
        <w:rPr>
          <w:rFonts w:eastAsiaTheme="minorBidi"/>
          <w:color w:val="000000"/>
          <w:lang w:val="fr-FR"/>
        </w:rPr>
        <w:fldChar w:fldCharType="begin"/>
      </w:r>
      <w:r w:rsidR="00116A61">
        <w:rPr>
          <w:rFonts w:eastAsiaTheme="minorBidi"/>
          <w:color w:val="000000"/>
          <w:lang w:val="fr-FR"/>
        </w:rPr>
        <w:instrText xml:space="preserve"> ADDIN ZOTERO_ITEM CSL_CITATION {"citationID":"J3Ci3nTI","properties":{"unsorted":false,"formattedCitation":"(35)","plainCitation":"(35)","noteIndex":0},"citationItems":[{"id":"6VBx8p83/T2iunapO","uris":["http://zotero.org/users/local/xPnoPzR4/items/JDVKEYVE"],"itemData":{"id":299,"type":"article-journal","container-title":"European Heart Journal","DOI":"10.1093/eurheartj/ehad192","ISSN":"1522-9645","issue":"39","journalAbbreviation":"Eur Heart J","language":"eng","page":"4043-4140","PMID":"37622663","source":"PubMed","title":"2023 ESC Guidelines for the management of cardiovascular disease in patients with diabetes","volume":"44","author":[{"family":"Marx","given":"Nikolaus"},{"family":"Federici","given":"Massimo"},{"family":"Schütt","given":"Katharina"},{"family":"Müller-Wieland","given":"Dirk"},{"family":"Ajjan","given":"Ramzi A."},{"family":"Antunes","given":"Manuel J."},{"family":"Christodorescu","given":"Ruxandra M."},{"family":"Crawford","given":"Carolyn"},{"family":"Di Angelantonio","given":"Emanuele"},{"family":"Eliasson","given":"Björn"},{"family":"Espinola-Klein","given":"Christine"},{"family":"Fauchier","given":"Laurent"},{"family":"Halle","given":"Martin"},{"family":"Herrington","given":"William G."},{"family":"Kautzky-Willer","given":"Alexandra"},{"family":"Lambrinou","given":"Ekaterini"},{"family":"Lesiak","given":"Maciej"},{"family":"Lettino","given":"Maddalena"},{"family":"McGuire","given":"Darren K."},{"family":"Mullens","given":"Wilfried"},{"family":"Rocca","given":"Bianca"},{"family":"Sattar","given":"Naveed"},{"literal":"ESC Scientific Document Group"}],"issued":{"date-parts":[["2023",10,14]]}}}],"schema":"https://github.com/citation-style-language/schema/raw/master/csl-citation.json"} </w:instrText>
      </w:r>
      <w:r w:rsidR="003771A7">
        <w:rPr>
          <w:rFonts w:eastAsiaTheme="minorBidi"/>
          <w:color w:val="000000"/>
          <w:lang w:val="fr-FR"/>
        </w:rPr>
        <w:fldChar w:fldCharType="separate"/>
      </w:r>
      <w:r w:rsidR="003771A7" w:rsidRPr="005C4773">
        <w:rPr>
          <w:rFonts w:ascii="Calibri" w:hAnsi="Calibri"/>
          <w:lang w:val="fr-FR"/>
        </w:rPr>
        <w:t>(35)</w:t>
      </w:r>
      <w:r w:rsidR="003771A7">
        <w:rPr>
          <w:rFonts w:eastAsiaTheme="minorBidi"/>
          <w:color w:val="000000"/>
          <w:lang w:val="fr-FR"/>
        </w:rPr>
        <w:fldChar w:fldCharType="end"/>
      </w:r>
    </w:p>
    <w:p w14:paraId="0B6A403A" w14:textId="77777777" w:rsidR="00664D0A" w:rsidRPr="00664D0A" w:rsidRDefault="00664D0A" w:rsidP="00577C0B">
      <w:pPr>
        <w:pStyle w:val="Heading3"/>
        <w:rPr>
          <w:rFonts w:eastAsiaTheme="minorBidi"/>
          <w:sz w:val="28"/>
          <w:szCs w:val="28"/>
          <w:u w:val="single"/>
        </w:rPr>
      </w:pPr>
      <w:r w:rsidRPr="00664D0A">
        <w:rPr>
          <w:sz w:val="28"/>
          <w:szCs w:val="28"/>
          <w:u w:val="single"/>
        </w:rPr>
        <w:t xml:space="preserve">6-2-3/ </w:t>
      </w:r>
      <w:r w:rsidRPr="00664D0A">
        <w:rPr>
          <w:rFonts w:eastAsiaTheme="minorBidi"/>
          <w:sz w:val="28"/>
          <w:szCs w:val="28"/>
          <w:u w:val="single"/>
        </w:rPr>
        <w:t xml:space="preserve">Pied </w:t>
      </w:r>
      <w:proofErr w:type="gramStart"/>
      <w:r w:rsidRPr="00664D0A">
        <w:rPr>
          <w:rFonts w:eastAsiaTheme="minorBidi"/>
          <w:sz w:val="28"/>
          <w:szCs w:val="28"/>
          <w:u w:val="single"/>
        </w:rPr>
        <w:t>diabétique:</w:t>
      </w:r>
      <w:proofErr w:type="gramEnd"/>
    </w:p>
    <w:p w14:paraId="062EB8B5" w14:textId="77777777" w:rsidR="00664D0A" w:rsidRPr="00664D0A" w:rsidRDefault="00664D0A" w:rsidP="00B139C3">
      <w:pPr>
        <w:rPr>
          <w:rFonts w:eastAsiaTheme="minorBidi"/>
          <w:color w:val="000000"/>
          <w:lang w:val="fr-FR"/>
        </w:rPr>
      </w:pPr>
      <w:r w:rsidRPr="00664D0A">
        <w:rPr>
          <w:rFonts w:eastAsiaTheme="minorBidi"/>
          <w:color w:val="000000"/>
          <w:u w:val="single"/>
          <w:lang w:val="fr-FR"/>
        </w:rPr>
        <w:t>Définition</w:t>
      </w:r>
      <w:r w:rsidRPr="00664D0A">
        <w:rPr>
          <w:rFonts w:eastAsiaTheme="minorBidi"/>
          <w:color w:val="000000"/>
          <w:lang w:val="fr-FR"/>
        </w:rPr>
        <w:t xml:space="preserve"> :</w:t>
      </w:r>
    </w:p>
    <w:p w14:paraId="00605F63" w14:textId="513158BB" w:rsidR="00664D0A" w:rsidRPr="00664D0A" w:rsidRDefault="00664D0A" w:rsidP="00B139C3">
      <w:pPr>
        <w:rPr>
          <w:rFonts w:eastAsiaTheme="minorBidi"/>
          <w:color w:val="000000"/>
          <w:lang w:val="fr-FR"/>
        </w:rPr>
      </w:pPr>
      <w:r w:rsidRPr="00664D0A">
        <w:rPr>
          <w:rFonts w:eastAsiaTheme="minorBidi"/>
          <w:color w:val="000000"/>
          <w:lang w:val="fr-FR"/>
        </w:rPr>
        <w:t>Le pied diabétique constitue un problème majeur de santé publique, étant une complication fréquente, coûteuse et grave du diabète, avec un taux élevé d'amputation du membre inférieur et des conséquences souvent dramatiques sur les plans socio-économique et psychologique. Une approche globale et multidisciplinaire des troub</w:t>
      </w:r>
      <w:r w:rsidR="003771A7">
        <w:rPr>
          <w:rFonts w:eastAsiaTheme="minorBidi"/>
          <w:color w:val="000000"/>
          <w:lang w:val="fr-FR"/>
        </w:rPr>
        <w:t xml:space="preserve">les trophiques est nécessaire. </w:t>
      </w:r>
    </w:p>
    <w:p w14:paraId="5F1F4741" w14:textId="56785D59" w:rsidR="00664D0A" w:rsidRPr="00577C0B" w:rsidRDefault="00664D0A" w:rsidP="00577C0B">
      <w:pPr>
        <w:rPr>
          <w:rFonts w:eastAsiaTheme="minorBidi"/>
          <w:color w:val="000000"/>
          <w:lang w:val="fr-FR"/>
        </w:rPr>
      </w:pPr>
      <w:r w:rsidRPr="00664D0A">
        <w:rPr>
          <w:rFonts w:eastAsiaTheme="minorBidi"/>
          <w:color w:val="000000"/>
          <w:u w:val="single"/>
          <w:lang w:val="fr-FR"/>
        </w:rPr>
        <w:t xml:space="preserve">Facteurs de </w:t>
      </w:r>
      <w:proofErr w:type="gramStart"/>
      <w:r w:rsidRPr="00664D0A">
        <w:rPr>
          <w:rFonts w:eastAsiaTheme="minorBidi"/>
          <w:color w:val="000000"/>
          <w:u w:val="single"/>
          <w:lang w:val="fr-FR"/>
        </w:rPr>
        <w:t>risque:</w:t>
      </w:r>
      <w:proofErr w:type="gramEnd"/>
      <w:r w:rsidRPr="00664D0A">
        <w:rPr>
          <w:rFonts w:eastAsiaTheme="minorBidi"/>
          <w:color w:val="000000"/>
          <w:lang w:val="fr-FR"/>
        </w:rPr>
        <w:br/>
        <w:t xml:space="preserve">Neuropathie périphérique, artériopathie des membres inférieurs, hyperglycémie, tabagisme, déformations plantaires. </w:t>
      </w:r>
      <w:r w:rsidR="003771A7">
        <w:rPr>
          <w:rFonts w:eastAsiaTheme="minorBidi"/>
          <w:color w:val="000000"/>
          <w:lang w:val="fr-FR"/>
        </w:rPr>
        <w:fldChar w:fldCharType="begin"/>
      </w:r>
      <w:r w:rsidR="00116A61">
        <w:rPr>
          <w:rFonts w:eastAsiaTheme="minorBidi"/>
          <w:color w:val="000000"/>
          <w:lang w:val="fr-FR"/>
        </w:rPr>
        <w:instrText xml:space="preserve"> ADDIN ZOTERO_ITEM CSL_CITATION {"citationID":"8pEKVpAj","properties":{"unsorted":false,"formattedCitation":"(39)","plainCitation":"(39)","noteIndex":0},"citationItems":[{"id":"6VBx8p83/xK20XPjJ","uris":["http://zotero.org/users/local/xPnoPzR4/items/H7MKARP4"],"itemData":{"id":313,"type":"article-journal","container-title":"The New England Journal of Medicine","DOI":"10.1056/NEJMicm1612018","ISSN":"1533-4406","issue":"24","journalAbbreviation":"N Engl J Med","language":"eng","page":"2376","PMID":"28614685","source":"PubMed","title":"Strongyloides stercoralis Hyperinfection","volume":"376","author":[{"family":"McDonald","given":"Heidi H."},{"family":"Moore","given":"Milton"}],"issued":{"date-parts":[["2017",6,15]]}}}],"schema":"https://github.com/citation-style-language/schema/raw/master/csl-citation.json"} </w:instrText>
      </w:r>
      <w:r w:rsidR="003771A7">
        <w:rPr>
          <w:rFonts w:eastAsiaTheme="minorBidi"/>
          <w:color w:val="000000"/>
          <w:lang w:val="fr-FR"/>
        </w:rPr>
        <w:fldChar w:fldCharType="separate"/>
      </w:r>
      <w:r w:rsidR="003771A7" w:rsidRPr="005C4773">
        <w:rPr>
          <w:rFonts w:ascii="Calibri" w:hAnsi="Calibri"/>
          <w:lang w:val="fr-FR"/>
        </w:rPr>
        <w:t>(39)</w:t>
      </w:r>
      <w:r w:rsidR="003771A7">
        <w:rPr>
          <w:rFonts w:eastAsiaTheme="minorBidi"/>
          <w:color w:val="000000"/>
          <w:lang w:val="fr-FR"/>
        </w:rPr>
        <w:fldChar w:fldCharType="end"/>
      </w:r>
    </w:p>
    <w:p w14:paraId="4DFD76D3" w14:textId="77777777" w:rsidR="00664D0A" w:rsidRPr="00664D0A" w:rsidRDefault="00664D0A" w:rsidP="00577C0B">
      <w:pPr>
        <w:pStyle w:val="Heading1"/>
      </w:pPr>
      <w:bookmarkStart w:id="40" w:name="_Toc229618782"/>
      <w:r w:rsidRPr="00664D0A">
        <w:rPr>
          <w:szCs w:val="32"/>
          <w:u w:val="single"/>
        </w:rPr>
        <w:t>7/Le traitement :</w:t>
      </w:r>
      <w:bookmarkEnd w:id="40"/>
    </w:p>
    <w:p w14:paraId="0FC44EA1" w14:textId="764C409C" w:rsidR="00664D0A" w:rsidRPr="00664D0A" w:rsidRDefault="00664D0A" w:rsidP="00577C0B">
      <w:pPr>
        <w:pStyle w:val="Heading2"/>
      </w:pPr>
      <w:bookmarkStart w:id="41" w:name="_Toc229618783"/>
      <w:r w:rsidRPr="00664D0A">
        <w:t>7-1/</w:t>
      </w:r>
      <w:r w:rsidR="008758B6">
        <w:t>Le Traitement non-médicamenteux</w:t>
      </w:r>
      <w:r w:rsidRPr="00664D0A">
        <w:t xml:space="preserve"> (les règles hygiéno-diététiques</w:t>
      </w:r>
      <w:proofErr w:type="gramStart"/>
      <w:r w:rsidRPr="00664D0A">
        <w:t>):</w:t>
      </w:r>
      <w:bookmarkEnd w:id="41"/>
      <w:proofErr w:type="gramEnd"/>
      <w:r w:rsidRPr="00664D0A">
        <w:t xml:space="preserve"> </w:t>
      </w:r>
    </w:p>
    <w:p w14:paraId="79091F05" w14:textId="77777777" w:rsidR="00664D0A" w:rsidRPr="00664D0A" w:rsidRDefault="00664D0A" w:rsidP="00577C0B">
      <w:pPr>
        <w:pStyle w:val="Heading3"/>
      </w:pPr>
      <w:r w:rsidRPr="00664D0A">
        <w:t>7-1-1/Le régime alimentaire :</w:t>
      </w:r>
    </w:p>
    <w:p w14:paraId="6DF80D48" w14:textId="77777777" w:rsidR="00664D0A" w:rsidRPr="00664D0A" w:rsidRDefault="00664D0A" w:rsidP="00B139C3">
      <w:pPr>
        <w:rPr>
          <w:lang w:val="fr-FR"/>
        </w:rPr>
      </w:pPr>
      <w:r w:rsidRPr="00664D0A">
        <w:rPr>
          <w:lang w:val="fr-FR"/>
        </w:rPr>
        <w:t xml:space="preserve">La prise en charge nutritionnelle du patient diabétique de type 2 constitue une étape essentielle de son traitement et s’inscrit de plus dans une prise en charge globale du risque </w:t>
      </w:r>
      <w:r w:rsidRPr="00664D0A">
        <w:rPr>
          <w:lang w:val="fr-FR"/>
        </w:rPr>
        <w:lastRenderedPageBreak/>
        <w:t>vasculaire. Une réduction de l’apport calorique, avec une perte de 5 à 10 % du poids de départ, constitue un objectif raisonnable chez les sujets avec excès pondéral qui représentent plus de 80 % des patients.</w:t>
      </w:r>
    </w:p>
    <w:p w14:paraId="602276C5" w14:textId="77777777" w:rsidR="00664D0A" w:rsidRPr="00664D0A" w:rsidRDefault="00664D0A" w:rsidP="00B139C3">
      <w:pPr>
        <w:rPr>
          <w:lang w:val="fr-FR"/>
        </w:rPr>
      </w:pPr>
      <w:r w:rsidRPr="00664D0A">
        <w:rPr>
          <w:lang w:val="fr-FR"/>
        </w:rPr>
        <w:t xml:space="preserve">Les glucides et les acides gras monoinsaturés doivent constituer 60 à 70 % de l’apport calorique journalier. Une prescription diététique personnalisée établira la proportion glucides/lipides monoinsaturés pour permettre de tenir compte des goûts et des habitudes du patient. </w:t>
      </w:r>
    </w:p>
    <w:p w14:paraId="253347E6" w14:textId="0A93F1EF" w:rsidR="00664D0A" w:rsidRPr="00E71797" w:rsidRDefault="00664D0A" w:rsidP="00B139C3">
      <w:pPr>
        <w:rPr>
          <w:rtl/>
          <w:lang w:bidi="ar-DZ"/>
        </w:rPr>
      </w:pPr>
      <w:r w:rsidRPr="00664D0A">
        <w:rPr>
          <w:lang w:val="fr-FR"/>
        </w:rPr>
        <w:t>L’utilisation de glucides à index glycémique bas doit être favorisée. Les lipides saturés ne devraient pas excéder 10 % de l’apport énergétique total, voire même 7 % chez les patients avec un niveau de LDL cholestérol ≥ 100 mg/dl</w:t>
      </w:r>
      <w:r w:rsidRPr="00E71797">
        <w:fldChar w:fldCharType="begin"/>
      </w:r>
      <w:r w:rsidR="00116A61">
        <w:rPr>
          <w:lang w:val="fr-FR"/>
        </w:rPr>
        <w:instrText xml:space="preserve"> ADDIN ZOTERO_ITEM CSL_CITATION {"citationID":"e8lwvvUI","properties":{"formattedCitation":"(40)","plainCitation":"(40)","noteIndex":0},"citationItems":[{"id":"6VBx8p83/4eP5IS2L","uris":["http://zotero.org/users/local/QE2koe11/items/7S73V2TS"],"itemData":{"id":105,"type":"article-journal","abstract":"Metformin, a biguanide drug, is the most commonly used first-line medication for type 2 diabetes mellites due to its outstanding glucose-lowering ability. After oral administration of 1 g, metformin peaked plasma concentration of approximately 20-30 μM in 3 h, and then it mainly accumulated in the gastrointestinal tract, liver and kidney. Substantial studies have indicated that metformin exerts its beneficial or deleterious effect by multiple mechanisms, apart from AMPK-dependent mechanism, also including several AMPK-independent mechanisms, such as restoring of redox balance, affecting mitochondrial function, modulating gut microbiome and regulating several other signals, such as FBP1, PP2A, FGF21, SIRT1 and mTOR. On the basis of these multiple mechanisms, researchers tried to repurpose this old drug and further explored the possible indications and adverse effects of metformin. Through investigating with clinical studies, researchers concluded that in addition to decreasing cardiovascular events and anti-obesity, metformin is also beneficial for neurodegenerative disease, polycystic ovary syndrome, aging, cancer and COVID-19, however, it also induces some adverse effects, such as gastrointestinal complaints, lactic acidosis, vitamin B12 deficiency, neurodegenerative disease and offspring impairment. Of note, the dose of metformin used in most studies is much higher than its clinically relevant dose, which may cast doubt on the actual effects of metformin on these disease in the clinic. This review summarizes these research developments on the mechanism of action and clinical evidence of metformin and discusses its therapeutic potential and clinical safety.","container-title":"Molecular Biomedicine","DOI":"10.1186/s43556-022-00108-w","ISSN":"2662-8651","issue":"1","journalAbbreviation":"Mol Biomed","language":"eng","page":"41","PMID":"36484892","PMCID":"PMC9733765","source":"PubMed","title":"Metformin in therapeutic applications in human diseases: its mechanism of action and clinical study","title-short":"Metformin in therapeutic applications in human diseases","volume":"3","author":[{"family":"Du","given":"Yang"},{"family":"Zhu","given":"Ya-Juan"},{"family":"Zhou","given":"Yi-Xin"},{"family":"Ding","given":"Jing"},{"family":"Liu","given":"Ji-Yan"}],"issued":{"date-parts":[["2022",12,9]]}}}],"schema":"https://github.com/citation-style-language/schema/raw/master/csl-citation.json"} </w:instrText>
      </w:r>
      <w:r w:rsidRPr="00E71797">
        <w:fldChar w:fldCharType="separate"/>
      </w:r>
      <w:r w:rsidR="003771A7" w:rsidRPr="003771A7">
        <w:rPr>
          <w:rFonts w:ascii="Calibri" w:hAnsi="Calibri"/>
          <w:lang w:val="fr-FR"/>
        </w:rPr>
        <w:t>(40)</w:t>
      </w:r>
      <w:r w:rsidRPr="00E71797">
        <w:fldChar w:fldCharType="end"/>
      </w:r>
    </w:p>
    <w:p w14:paraId="3406AA7A" w14:textId="2C90872E" w:rsidR="00577C0B" w:rsidRDefault="00577C0B" w:rsidP="00577C0B">
      <w:pPr>
        <w:pStyle w:val="Caption"/>
        <w:keepNext/>
      </w:pPr>
      <w:bookmarkStart w:id="42" w:name="_Toc229617364"/>
      <w:r>
        <w:t xml:space="preserve">Tableau </w:t>
      </w:r>
      <w:r>
        <w:fldChar w:fldCharType="begin"/>
      </w:r>
      <w:r>
        <w:instrText xml:space="preserve"> SEQ Tableau \* ARABIC </w:instrText>
      </w:r>
      <w:r>
        <w:fldChar w:fldCharType="separate"/>
      </w:r>
      <w:r w:rsidR="00983108">
        <w:rPr>
          <w:noProof/>
        </w:rPr>
        <w:t>3</w:t>
      </w:r>
      <w:r>
        <w:fldChar w:fldCharType="end"/>
      </w:r>
      <w:r>
        <w:t xml:space="preserve"> </w:t>
      </w:r>
      <w:r w:rsidRPr="00972CEA">
        <w:t>Fréquence estimée du diabète de type 2 chez les apparentés de sujets diabétiques de type 2. (Source : CEEDMM, 2021.)</w:t>
      </w:r>
      <w:bookmarkEnd w:id="42"/>
    </w:p>
    <w:tbl>
      <w:tblPr>
        <w:tblStyle w:val="PlainTable51"/>
        <w:tblW w:w="0" w:type="auto"/>
        <w:tblLook w:val="04A0" w:firstRow="1" w:lastRow="0" w:firstColumn="1" w:lastColumn="0" w:noHBand="0" w:noVBand="1"/>
      </w:tblPr>
      <w:tblGrid>
        <w:gridCol w:w="2763"/>
        <w:gridCol w:w="1863"/>
      </w:tblGrid>
      <w:tr w:rsidR="00664D0A" w:rsidRPr="00E71797" w14:paraId="5DD41043" w14:textId="77777777" w:rsidTr="00784D2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67F743A" w14:textId="77777777" w:rsidR="00664D0A" w:rsidRPr="00E71797" w:rsidRDefault="00664D0A" w:rsidP="00B139C3">
            <w:pPr>
              <w:rPr>
                <w:rFonts w:eastAsia="Times New Roman"/>
                <w:lang w:eastAsia="fr-FR"/>
              </w:rPr>
            </w:pPr>
            <w:r w:rsidRPr="00E71797">
              <w:rPr>
                <w:rFonts w:eastAsia="Times New Roman"/>
                <w:lang w:eastAsia="fr-FR"/>
              </w:rPr>
              <w:t>Nutriments</w:t>
            </w:r>
          </w:p>
        </w:tc>
        <w:tc>
          <w:tcPr>
            <w:tcW w:w="0" w:type="auto"/>
            <w:hideMark/>
          </w:tcPr>
          <w:p w14:paraId="629A8B04" w14:textId="77777777" w:rsidR="00664D0A" w:rsidRPr="00E71797" w:rsidRDefault="00664D0A" w:rsidP="00B139C3">
            <w:pPr>
              <w:cnfStyle w:val="100000000000" w:firstRow="1"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Pourcentage (%)</w:t>
            </w:r>
          </w:p>
        </w:tc>
      </w:tr>
      <w:tr w:rsidR="00664D0A" w:rsidRPr="00E71797" w14:paraId="1FA9E02D" w14:textId="77777777" w:rsidTr="0078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80C530" w14:textId="77777777" w:rsidR="00664D0A" w:rsidRPr="00E71797" w:rsidRDefault="00664D0A" w:rsidP="00B139C3">
            <w:pPr>
              <w:rPr>
                <w:rFonts w:eastAsia="Times New Roman"/>
                <w:lang w:eastAsia="fr-FR"/>
              </w:rPr>
            </w:pPr>
            <w:r w:rsidRPr="00E71797">
              <w:rPr>
                <w:rFonts w:eastAsia="Times New Roman"/>
                <w:lang w:eastAsia="fr-FR"/>
              </w:rPr>
              <w:t>Glucides (IG bas)</w:t>
            </w:r>
          </w:p>
        </w:tc>
        <w:tc>
          <w:tcPr>
            <w:tcW w:w="0" w:type="auto"/>
            <w:hideMark/>
          </w:tcPr>
          <w:p w14:paraId="06199D08"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45–50 %</w:t>
            </w:r>
          </w:p>
        </w:tc>
      </w:tr>
      <w:tr w:rsidR="00664D0A" w:rsidRPr="00E71797" w14:paraId="7FC5DF59" w14:textId="77777777" w:rsidTr="00784D29">
        <w:tc>
          <w:tcPr>
            <w:cnfStyle w:val="001000000000" w:firstRow="0" w:lastRow="0" w:firstColumn="1" w:lastColumn="0" w:oddVBand="0" w:evenVBand="0" w:oddHBand="0" w:evenHBand="0" w:firstRowFirstColumn="0" w:firstRowLastColumn="0" w:lastRowFirstColumn="0" w:lastRowLastColumn="0"/>
            <w:tcW w:w="0" w:type="auto"/>
            <w:hideMark/>
          </w:tcPr>
          <w:p w14:paraId="5309CE87" w14:textId="77777777" w:rsidR="00664D0A" w:rsidRPr="00E71797" w:rsidRDefault="00664D0A" w:rsidP="00B139C3">
            <w:pPr>
              <w:rPr>
                <w:rFonts w:eastAsia="Times New Roman"/>
                <w:lang w:eastAsia="fr-FR"/>
              </w:rPr>
            </w:pPr>
            <w:r w:rsidRPr="00E71797">
              <w:rPr>
                <w:rFonts w:eastAsia="Times New Roman"/>
                <w:lang w:eastAsia="fr-FR"/>
              </w:rPr>
              <w:t>Lipides (surtout insaturés)</w:t>
            </w:r>
          </w:p>
        </w:tc>
        <w:tc>
          <w:tcPr>
            <w:tcW w:w="0" w:type="auto"/>
            <w:hideMark/>
          </w:tcPr>
          <w:p w14:paraId="3A44E304" w14:textId="77777777" w:rsidR="00664D0A" w:rsidRPr="00E71797"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30–35 %</w:t>
            </w:r>
          </w:p>
        </w:tc>
      </w:tr>
      <w:tr w:rsidR="00664D0A" w:rsidRPr="00E71797" w14:paraId="3260A976" w14:textId="77777777" w:rsidTr="0078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1663CC" w14:textId="77777777" w:rsidR="00664D0A" w:rsidRPr="00E71797" w:rsidRDefault="00664D0A" w:rsidP="00B139C3">
            <w:pPr>
              <w:rPr>
                <w:rFonts w:eastAsia="Times New Roman"/>
                <w:lang w:eastAsia="fr-FR"/>
              </w:rPr>
            </w:pPr>
            <w:r w:rsidRPr="00E71797">
              <w:rPr>
                <w:rFonts w:eastAsia="Times New Roman"/>
                <w:lang w:eastAsia="fr-FR"/>
              </w:rPr>
              <w:t>Protéines</w:t>
            </w:r>
          </w:p>
        </w:tc>
        <w:tc>
          <w:tcPr>
            <w:tcW w:w="0" w:type="auto"/>
            <w:hideMark/>
          </w:tcPr>
          <w:p w14:paraId="26FF7CBA"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15–20 %</w:t>
            </w:r>
          </w:p>
        </w:tc>
      </w:tr>
      <w:tr w:rsidR="00664D0A" w:rsidRPr="00E71797" w14:paraId="3FA54305" w14:textId="77777777" w:rsidTr="00784D29">
        <w:tc>
          <w:tcPr>
            <w:cnfStyle w:val="001000000000" w:firstRow="0" w:lastRow="0" w:firstColumn="1" w:lastColumn="0" w:oddVBand="0" w:evenVBand="0" w:oddHBand="0" w:evenHBand="0" w:firstRowFirstColumn="0" w:firstRowLastColumn="0" w:lastRowFirstColumn="0" w:lastRowLastColumn="0"/>
            <w:tcW w:w="0" w:type="auto"/>
            <w:hideMark/>
          </w:tcPr>
          <w:p w14:paraId="4151EF0E" w14:textId="77777777" w:rsidR="00664D0A" w:rsidRPr="00E71797" w:rsidRDefault="00664D0A" w:rsidP="00B139C3">
            <w:pPr>
              <w:rPr>
                <w:rFonts w:eastAsia="Times New Roman"/>
                <w:lang w:eastAsia="fr-FR"/>
              </w:rPr>
            </w:pPr>
            <w:r w:rsidRPr="00E71797">
              <w:rPr>
                <w:rFonts w:eastAsia="Times New Roman"/>
                <w:lang w:eastAsia="fr-FR"/>
              </w:rPr>
              <w:t>Total</w:t>
            </w:r>
          </w:p>
        </w:tc>
        <w:tc>
          <w:tcPr>
            <w:tcW w:w="0" w:type="auto"/>
            <w:hideMark/>
          </w:tcPr>
          <w:p w14:paraId="7F4CC818" w14:textId="77777777" w:rsidR="00664D0A" w:rsidRPr="00E71797"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100 %</w:t>
            </w:r>
          </w:p>
        </w:tc>
      </w:tr>
    </w:tbl>
    <w:p w14:paraId="4208EBDC" w14:textId="056802FF" w:rsidR="00664D0A" w:rsidRPr="00E71797" w:rsidRDefault="00664D0A" w:rsidP="00577C0B">
      <w:pPr>
        <w:rPr>
          <w:rtl/>
        </w:rPr>
      </w:pPr>
    </w:p>
    <w:p w14:paraId="27EBF0A0" w14:textId="2F293C82" w:rsidR="00577C0B" w:rsidRDefault="00577C0B" w:rsidP="00577C0B">
      <w:pPr>
        <w:pStyle w:val="Caption"/>
        <w:keepNext/>
      </w:pPr>
      <w:bookmarkStart w:id="43" w:name="_Toc229617365"/>
      <w:r>
        <w:t xml:space="preserve">Tableau </w:t>
      </w:r>
      <w:r>
        <w:fldChar w:fldCharType="begin"/>
      </w:r>
      <w:r>
        <w:instrText xml:space="preserve"> SEQ Tableau \* ARABIC </w:instrText>
      </w:r>
      <w:r>
        <w:fldChar w:fldCharType="separate"/>
      </w:r>
      <w:r w:rsidR="00983108">
        <w:rPr>
          <w:noProof/>
        </w:rPr>
        <w:t>4</w:t>
      </w:r>
      <w:r>
        <w:fldChar w:fldCharType="end"/>
      </w:r>
      <w:r>
        <w:t xml:space="preserve"> </w:t>
      </w:r>
      <w:r w:rsidRPr="004710F9">
        <w:t>qualité des apports lipidiques</w:t>
      </w:r>
      <w:bookmarkEnd w:id="43"/>
    </w:p>
    <w:tbl>
      <w:tblPr>
        <w:tblStyle w:val="PlainTable51"/>
        <w:tblW w:w="0" w:type="auto"/>
        <w:tblLook w:val="04A0" w:firstRow="1" w:lastRow="0" w:firstColumn="1" w:lastColumn="0" w:noHBand="0" w:noVBand="1"/>
      </w:tblPr>
      <w:tblGrid>
        <w:gridCol w:w="2283"/>
        <w:gridCol w:w="1863"/>
      </w:tblGrid>
      <w:tr w:rsidR="00664D0A" w:rsidRPr="00E71797" w14:paraId="03C121FC" w14:textId="77777777" w:rsidTr="00784D2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B4D36FA" w14:textId="77777777" w:rsidR="00664D0A" w:rsidRPr="00E71797" w:rsidRDefault="00664D0A" w:rsidP="00B139C3">
            <w:pPr>
              <w:rPr>
                <w:rFonts w:eastAsia="Times New Roman"/>
                <w:lang w:eastAsia="fr-FR"/>
              </w:rPr>
            </w:pPr>
            <w:r w:rsidRPr="00E71797">
              <w:rPr>
                <w:rFonts w:eastAsia="Times New Roman"/>
                <w:lang w:eastAsia="fr-FR"/>
              </w:rPr>
              <w:t>Type de lipides</w:t>
            </w:r>
          </w:p>
        </w:tc>
        <w:tc>
          <w:tcPr>
            <w:tcW w:w="0" w:type="auto"/>
            <w:hideMark/>
          </w:tcPr>
          <w:p w14:paraId="0C430FC8" w14:textId="77777777" w:rsidR="00664D0A" w:rsidRPr="00E71797" w:rsidRDefault="00664D0A" w:rsidP="00B139C3">
            <w:pPr>
              <w:cnfStyle w:val="100000000000" w:firstRow="1"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Pourcentage (%)</w:t>
            </w:r>
          </w:p>
        </w:tc>
      </w:tr>
      <w:tr w:rsidR="00664D0A" w:rsidRPr="00E71797" w14:paraId="079F4EF9" w14:textId="77777777" w:rsidTr="0078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41681C" w14:textId="77777777" w:rsidR="00664D0A" w:rsidRPr="00E71797" w:rsidRDefault="00664D0A" w:rsidP="00B139C3">
            <w:pPr>
              <w:rPr>
                <w:rFonts w:eastAsia="Times New Roman"/>
                <w:lang w:eastAsia="fr-FR"/>
              </w:rPr>
            </w:pPr>
            <w:r w:rsidRPr="00E71797">
              <w:rPr>
                <w:rFonts w:eastAsia="Times New Roman"/>
                <w:lang w:eastAsia="fr-FR"/>
              </w:rPr>
              <w:t>Acides gras insaturés</w:t>
            </w:r>
          </w:p>
        </w:tc>
        <w:tc>
          <w:tcPr>
            <w:tcW w:w="0" w:type="auto"/>
            <w:hideMark/>
          </w:tcPr>
          <w:p w14:paraId="1F43D06B"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70 %</w:t>
            </w:r>
          </w:p>
        </w:tc>
      </w:tr>
      <w:tr w:rsidR="00664D0A" w:rsidRPr="00E71797" w14:paraId="7CB9386F" w14:textId="77777777" w:rsidTr="00784D29">
        <w:tc>
          <w:tcPr>
            <w:cnfStyle w:val="001000000000" w:firstRow="0" w:lastRow="0" w:firstColumn="1" w:lastColumn="0" w:oddVBand="0" w:evenVBand="0" w:oddHBand="0" w:evenHBand="0" w:firstRowFirstColumn="0" w:firstRowLastColumn="0" w:lastRowFirstColumn="0" w:lastRowLastColumn="0"/>
            <w:tcW w:w="0" w:type="auto"/>
            <w:hideMark/>
          </w:tcPr>
          <w:p w14:paraId="05A55F7B" w14:textId="77777777" w:rsidR="00664D0A" w:rsidRPr="00E71797" w:rsidRDefault="00664D0A" w:rsidP="00B139C3">
            <w:pPr>
              <w:rPr>
                <w:rFonts w:eastAsia="Times New Roman"/>
                <w:lang w:eastAsia="fr-FR"/>
              </w:rPr>
            </w:pPr>
            <w:r w:rsidRPr="00E71797">
              <w:rPr>
                <w:rFonts w:eastAsia="Times New Roman"/>
                <w:lang w:eastAsia="fr-FR"/>
              </w:rPr>
              <w:t>Acides gras saturés</w:t>
            </w:r>
          </w:p>
        </w:tc>
        <w:tc>
          <w:tcPr>
            <w:tcW w:w="0" w:type="auto"/>
            <w:hideMark/>
          </w:tcPr>
          <w:p w14:paraId="344CADED" w14:textId="77777777" w:rsidR="00664D0A" w:rsidRPr="00E71797"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 10 %</w:t>
            </w:r>
          </w:p>
        </w:tc>
      </w:tr>
      <w:tr w:rsidR="00664D0A" w:rsidRPr="00E71797" w14:paraId="4282D216" w14:textId="77777777" w:rsidTr="0078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B6E445" w14:textId="77777777" w:rsidR="00664D0A" w:rsidRPr="00E71797" w:rsidRDefault="00664D0A" w:rsidP="00B139C3">
            <w:pPr>
              <w:rPr>
                <w:rFonts w:eastAsia="Times New Roman"/>
                <w:lang w:eastAsia="fr-FR"/>
              </w:rPr>
            </w:pPr>
            <w:r w:rsidRPr="00E71797">
              <w:rPr>
                <w:rFonts w:eastAsia="Times New Roman"/>
                <w:lang w:eastAsia="fr-FR"/>
              </w:rPr>
              <w:t>Acides gras trans</w:t>
            </w:r>
          </w:p>
        </w:tc>
        <w:tc>
          <w:tcPr>
            <w:tcW w:w="0" w:type="auto"/>
            <w:hideMark/>
          </w:tcPr>
          <w:p w14:paraId="4B602546"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w:t>
            </w:r>
            <w:r w:rsidRPr="00E71797">
              <w:rPr>
                <w:rFonts w:eastAsia="Times New Roman"/>
                <w:rtl/>
                <w:lang w:eastAsia="fr-FR"/>
              </w:rPr>
              <w:t>1</w:t>
            </w:r>
            <w:r w:rsidRPr="00E71797">
              <w:rPr>
                <w:rFonts w:eastAsia="Times New Roman"/>
                <w:lang w:eastAsia="fr-FR"/>
              </w:rPr>
              <w:t>%</w:t>
            </w:r>
          </w:p>
        </w:tc>
      </w:tr>
      <w:tr w:rsidR="00664D0A" w:rsidRPr="00E71797" w14:paraId="4C1D1783" w14:textId="77777777" w:rsidTr="00784D29">
        <w:tc>
          <w:tcPr>
            <w:cnfStyle w:val="001000000000" w:firstRow="0" w:lastRow="0" w:firstColumn="1" w:lastColumn="0" w:oddVBand="0" w:evenVBand="0" w:oddHBand="0" w:evenHBand="0" w:firstRowFirstColumn="0" w:firstRowLastColumn="0" w:lastRowFirstColumn="0" w:lastRowLastColumn="0"/>
            <w:tcW w:w="0" w:type="auto"/>
            <w:hideMark/>
          </w:tcPr>
          <w:p w14:paraId="2FC25FCC" w14:textId="77777777" w:rsidR="00664D0A" w:rsidRPr="00E71797" w:rsidRDefault="00664D0A" w:rsidP="00B139C3">
            <w:pPr>
              <w:rPr>
                <w:rFonts w:eastAsia="Times New Roman"/>
                <w:lang w:eastAsia="fr-FR"/>
              </w:rPr>
            </w:pPr>
            <w:r w:rsidRPr="00E71797">
              <w:rPr>
                <w:rFonts w:eastAsia="Times New Roman"/>
                <w:lang w:eastAsia="fr-FR"/>
              </w:rPr>
              <w:t>Autres</w:t>
            </w:r>
          </w:p>
        </w:tc>
        <w:tc>
          <w:tcPr>
            <w:tcW w:w="0" w:type="auto"/>
            <w:hideMark/>
          </w:tcPr>
          <w:p w14:paraId="4EE1EBBA" w14:textId="77777777" w:rsidR="00664D0A" w:rsidRPr="00E71797"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~19 %</w:t>
            </w:r>
          </w:p>
        </w:tc>
      </w:tr>
      <w:tr w:rsidR="00664D0A" w:rsidRPr="00E71797" w14:paraId="70C7FB37" w14:textId="77777777" w:rsidTr="0078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1BC75F" w14:textId="77777777" w:rsidR="00664D0A" w:rsidRPr="00E71797" w:rsidRDefault="00664D0A" w:rsidP="00B139C3">
            <w:pPr>
              <w:rPr>
                <w:rFonts w:eastAsia="Times New Roman"/>
                <w:lang w:eastAsia="fr-FR"/>
              </w:rPr>
            </w:pPr>
            <w:r w:rsidRPr="00E71797">
              <w:rPr>
                <w:rFonts w:eastAsia="Times New Roman"/>
                <w:lang w:eastAsia="fr-FR"/>
              </w:rPr>
              <w:t>Total</w:t>
            </w:r>
          </w:p>
        </w:tc>
        <w:tc>
          <w:tcPr>
            <w:tcW w:w="0" w:type="auto"/>
            <w:hideMark/>
          </w:tcPr>
          <w:p w14:paraId="2BBC45A1"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100 %</w:t>
            </w:r>
          </w:p>
        </w:tc>
      </w:tr>
    </w:tbl>
    <w:p w14:paraId="42FD62FE" w14:textId="40A35D63" w:rsidR="00664D0A" w:rsidRPr="00E71797" w:rsidRDefault="00664D0A" w:rsidP="00577C0B"/>
    <w:p w14:paraId="0D492602" w14:textId="627A17DC" w:rsidR="00577C0B" w:rsidRDefault="00577C0B" w:rsidP="00577C0B">
      <w:pPr>
        <w:pStyle w:val="Caption"/>
        <w:keepNext/>
      </w:pPr>
      <w:bookmarkStart w:id="44" w:name="_Toc229617366"/>
      <w:r>
        <w:t xml:space="preserve">Tableau </w:t>
      </w:r>
      <w:r>
        <w:fldChar w:fldCharType="begin"/>
      </w:r>
      <w:r>
        <w:instrText xml:space="preserve"> SEQ Tableau \* ARABIC </w:instrText>
      </w:r>
      <w:r>
        <w:fldChar w:fldCharType="separate"/>
      </w:r>
      <w:r w:rsidR="00983108">
        <w:rPr>
          <w:noProof/>
        </w:rPr>
        <w:t>5</w:t>
      </w:r>
      <w:r>
        <w:fldChar w:fldCharType="end"/>
      </w:r>
      <w:r>
        <w:t xml:space="preserve"> </w:t>
      </w:r>
      <w:r w:rsidRPr="00414BEA">
        <w:t>répartition des glucides</w:t>
      </w:r>
      <w:bookmarkEnd w:id="44"/>
    </w:p>
    <w:tbl>
      <w:tblPr>
        <w:tblStyle w:val="PlainTable51"/>
        <w:tblW w:w="0" w:type="auto"/>
        <w:tblLook w:val="04A0" w:firstRow="1" w:lastRow="0" w:firstColumn="1" w:lastColumn="0" w:noHBand="0" w:noVBand="1"/>
      </w:tblPr>
      <w:tblGrid>
        <w:gridCol w:w="2129"/>
        <w:gridCol w:w="1863"/>
      </w:tblGrid>
      <w:tr w:rsidR="00664D0A" w:rsidRPr="00E71797" w14:paraId="01E5E3D6" w14:textId="77777777" w:rsidTr="00784D2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DCB876A" w14:textId="77777777" w:rsidR="00664D0A" w:rsidRPr="00E71797" w:rsidRDefault="00664D0A" w:rsidP="00B139C3">
            <w:pPr>
              <w:rPr>
                <w:rFonts w:eastAsia="Times New Roman"/>
                <w:lang w:eastAsia="fr-FR"/>
              </w:rPr>
            </w:pPr>
            <w:r w:rsidRPr="00E71797">
              <w:rPr>
                <w:rFonts w:eastAsia="Times New Roman"/>
                <w:lang w:eastAsia="fr-FR"/>
              </w:rPr>
              <w:t>Type de glucides</w:t>
            </w:r>
          </w:p>
        </w:tc>
        <w:tc>
          <w:tcPr>
            <w:tcW w:w="0" w:type="auto"/>
            <w:hideMark/>
          </w:tcPr>
          <w:p w14:paraId="54169884" w14:textId="77777777" w:rsidR="00664D0A" w:rsidRPr="00E71797" w:rsidRDefault="00664D0A" w:rsidP="00B139C3">
            <w:pPr>
              <w:cnfStyle w:val="100000000000" w:firstRow="1"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Pourcentage (%)</w:t>
            </w:r>
          </w:p>
        </w:tc>
      </w:tr>
      <w:tr w:rsidR="00664D0A" w:rsidRPr="00E71797" w14:paraId="321426BD" w14:textId="77777777" w:rsidTr="0078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624116" w14:textId="77777777" w:rsidR="00664D0A" w:rsidRPr="00E71797" w:rsidRDefault="00664D0A" w:rsidP="00B139C3">
            <w:pPr>
              <w:rPr>
                <w:rFonts w:eastAsia="Times New Roman"/>
                <w:lang w:eastAsia="fr-FR"/>
              </w:rPr>
            </w:pPr>
            <w:r w:rsidRPr="00E71797">
              <w:rPr>
                <w:rFonts w:eastAsia="Times New Roman"/>
                <w:lang w:eastAsia="fr-FR"/>
              </w:rPr>
              <w:t>Glucides complexes</w:t>
            </w:r>
          </w:p>
        </w:tc>
        <w:tc>
          <w:tcPr>
            <w:tcW w:w="0" w:type="auto"/>
            <w:hideMark/>
          </w:tcPr>
          <w:p w14:paraId="3367D99D"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80 %</w:t>
            </w:r>
          </w:p>
        </w:tc>
      </w:tr>
      <w:tr w:rsidR="00664D0A" w:rsidRPr="00E71797" w14:paraId="68120004" w14:textId="77777777" w:rsidTr="00784D29">
        <w:tc>
          <w:tcPr>
            <w:cnfStyle w:val="001000000000" w:firstRow="0" w:lastRow="0" w:firstColumn="1" w:lastColumn="0" w:oddVBand="0" w:evenVBand="0" w:oddHBand="0" w:evenHBand="0" w:firstRowFirstColumn="0" w:firstRowLastColumn="0" w:lastRowFirstColumn="0" w:lastRowLastColumn="0"/>
            <w:tcW w:w="0" w:type="auto"/>
            <w:hideMark/>
          </w:tcPr>
          <w:p w14:paraId="4A1EFE2C" w14:textId="77777777" w:rsidR="00664D0A" w:rsidRPr="00E71797" w:rsidRDefault="00664D0A" w:rsidP="00B139C3">
            <w:pPr>
              <w:rPr>
                <w:rFonts w:eastAsia="Times New Roman"/>
                <w:lang w:eastAsia="fr-FR"/>
              </w:rPr>
            </w:pPr>
            <w:r w:rsidRPr="00E71797">
              <w:rPr>
                <w:rFonts w:eastAsia="Times New Roman"/>
                <w:lang w:eastAsia="fr-FR"/>
              </w:rPr>
              <w:t>Fibres alimentaires</w:t>
            </w:r>
          </w:p>
        </w:tc>
        <w:tc>
          <w:tcPr>
            <w:tcW w:w="0" w:type="auto"/>
            <w:hideMark/>
          </w:tcPr>
          <w:p w14:paraId="2209ABD6" w14:textId="77777777" w:rsidR="00664D0A" w:rsidRPr="00E71797"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10–15 %</w:t>
            </w:r>
          </w:p>
        </w:tc>
      </w:tr>
      <w:tr w:rsidR="00664D0A" w:rsidRPr="00E71797" w14:paraId="5A92ABEB" w14:textId="77777777" w:rsidTr="0078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977A0A" w14:textId="77777777" w:rsidR="00664D0A" w:rsidRPr="00E71797" w:rsidRDefault="00664D0A" w:rsidP="00B139C3">
            <w:pPr>
              <w:rPr>
                <w:rFonts w:eastAsia="Times New Roman"/>
                <w:lang w:eastAsia="fr-FR"/>
              </w:rPr>
            </w:pPr>
            <w:r w:rsidRPr="00E71797">
              <w:rPr>
                <w:rFonts w:eastAsia="Times New Roman"/>
                <w:lang w:eastAsia="fr-FR"/>
              </w:rPr>
              <w:t>Sucres simples</w:t>
            </w:r>
          </w:p>
        </w:tc>
        <w:tc>
          <w:tcPr>
            <w:tcW w:w="0" w:type="auto"/>
            <w:hideMark/>
          </w:tcPr>
          <w:p w14:paraId="6F318A47"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 10 %</w:t>
            </w:r>
          </w:p>
        </w:tc>
      </w:tr>
      <w:tr w:rsidR="00664D0A" w:rsidRPr="00E71797" w14:paraId="5D70B4E8" w14:textId="77777777" w:rsidTr="00784D29">
        <w:tc>
          <w:tcPr>
            <w:cnfStyle w:val="001000000000" w:firstRow="0" w:lastRow="0" w:firstColumn="1" w:lastColumn="0" w:oddVBand="0" w:evenVBand="0" w:oddHBand="0" w:evenHBand="0" w:firstRowFirstColumn="0" w:firstRowLastColumn="0" w:lastRowFirstColumn="0" w:lastRowLastColumn="0"/>
            <w:tcW w:w="0" w:type="auto"/>
            <w:hideMark/>
          </w:tcPr>
          <w:p w14:paraId="47DA4664" w14:textId="77777777" w:rsidR="00664D0A" w:rsidRPr="00E71797" w:rsidRDefault="00664D0A" w:rsidP="00B139C3">
            <w:pPr>
              <w:rPr>
                <w:rFonts w:eastAsia="Times New Roman"/>
                <w:lang w:eastAsia="fr-FR"/>
              </w:rPr>
            </w:pPr>
            <w:r w:rsidRPr="00E71797">
              <w:rPr>
                <w:rFonts w:eastAsia="Times New Roman"/>
                <w:lang w:eastAsia="fr-FR"/>
              </w:rPr>
              <w:t>Total</w:t>
            </w:r>
          </w:p>
        </w:tc>
        <w:tc>
          <w:tcPr>
            <w:tcW w:w="0" w:type="auto"/>
            <w:hideMark/>
          </w:tcPr>
          <w:p w14:paraId="1BCB3303" w14:textId="77777777" w:rsidR="00664D0A" w:rsidRPr="00E71797"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100 %</w:t>
            </w:r>
          </w:p>
        </w:tc>
      </w:tr>
    </w:tbl>
    <w:p w14:paraId="47D918AC" w14:textId="045DFBDF" w:rsidR="00664D0A" w:rsidRPr="00664D0A" w:rsidRDefault="00664D0A" w:rsidP="00B139C3">
      <w:pPr>
        <w:rPr>
          <w:lang w:val="fr-FR"/>
        </w:rPr>
      </w:pPr>
    </w:p>
    <w:p w14:paraId="22A6B2AA" w14:textId="2DFD3A38" w:rsidR="00577C0B" w:rsidRDefault="00577C0B" w:rsidP="00577C0B">
      <w:pPr>
        <w:pStyle w:val="Caption"/>
        <w:keepNext/>
      </w:pPr>
      <w:bookmarkStart w:id="45" w:name="_Toc229617367"/>
      <w:r>
        <w:t xml:space="preserve">Tableau </w:t>
      </w:r>
      <w:r>
        <w:fldChar w:fldCharType="begin"/>
      </w:r>
      <w:r>
        <w:instrText xml:space="preserve"> SEQ Tableau \* ARABIC </w:instrText>
      </w:r>
      <w:r>
        <w:fldChar w:fldCharType="separate"/>
      </w:r>
      <w:r w:rsidR="00983108">
        <w:rPr>
          <w:noProof/>
        </w:rPr>
        <w:t>6</w:t>
      </w:r>
      <w:r>
        <w:fldChar w:fldCharType="end"/>
      </w:r>
      <w:r>
        <w:t xml:space="preserve"> </w:t>
      </w:r>
      <w:r w:rsidRPr="00936744">
        <w:t>Tableau des aliments selon l’IG (faible/moyen / élevé)</w:t>
      </w:r>
      <w:bookmarkEnd w:id="45"/>
    </w:p>
    <w:tbl>
      <w:tblPr>
        <w:tblStyle w:val="PlainTable51"/>
        <w:tblW w:w="0" w:type="auto"/>
        <w:tblLook w:val="04A0" w:firstRow="1" w:lastRow="0" w:firstColumn="1" w:lastColumn="0" w:noHBand="0" w:noVBand="1"/>
      </w:tblPr>
      <w:tblGrid>
        <w:gridCol w:w="3856"/>
        <w:gridCol w:w="1976"/>
        <w:gridCol w:w="2703"/>
      </w:tblGrid>
      <w:tr w:rsidR="00664D0A" w:rsidRPr="00E71797" w14:paraId="1EDC7CD1" w14:textId="77777777" w:rsidTr="00784D2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E946A01" w14:textId="77777777" w:rsidR="00664D0A" w:rsidRPr="00E71797" w:rsidRDefault="00664D0A" w:rsidP="00B139C3">
            <w:pPr>
              <w:rPr>
                <w:rFonts w:eastAsia="Times New Roman"/>
                <w:lang w:eastAsia="fr-FR"/>
              </w:rPr>
            </w:pPr>
            <w:r w:rsidRPr="00E71797">
              <w:rPr>
                <w:rFonts w:eastAsia="Times New Roman"/>
                <w:lang w:eastAsia="fr-FR"/>
              </w:rPr>
              <w:t>IG faible (≤ 55)</w:t>
            </w:r>
          </w:p>
        </w:tc>
        <w:tc>
          <w:tcPr>
            <w:tcW w:w="0" w:type="auto"/>
            <w:hideMark/>
          </w:tcPr>
          <w:p w14:paraId="4EB39B4D" w14:textId="77777777" w:rsidR="00664D0A" w:rsidRPr="00E71797" w:rsidRDefault="00664D0A" w:rsidP="00B139C3">
            <w:pPr>
              <w:cnfStyle w:val="100000000000" w:firstRow="1"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IG moyen (56–69)</w:t>
            </w:r>
          </w:p>
        </w:tc>
        <w:tc>
          <w:tcPr>
            <w:tcW w:w="0" w:type="auto"/>
            <w:hideMark/>
          </w:tcPr>
          <w:p w14:paraId="5B59CB63" w14:textId="77777777" w:rsidR="00664D0A" w:rsidRPr="00E71797" w:rsidRDefault="00664D0A" w:rsidP="00B139C3">
            <w:pPr>
              <w:cnfStyle w:val="100000000000" w:firstRow="1"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IG élevé (≥ 70)</w:t>
            </w:r>
          </w:p>
        </w:tc>
      </w:tr>
      <w:tr w:rsidR="00664D0A" w:rsidRPr="00E71797" w14:paraId="6B1CF8E1" w14:textId="77777777" w:rsidTr="0078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AD2E54" w14:textId="77777777" w:rsidR="00664D0A" w:rsidRPr="00E71797" w:rsidRDefault="00664D0A" w:rsidP="00B139C3">
            <w:pPr>
              <w:rPr>
                <w:rFonts w:eastAsia="Times New Roman"/>
                <w:lang w:eastAsia="fr-FR"/>
              </w:rPr>
            </w:pPr>
            <w:r w:rsidRPr="00E71797">
              <w:rPr>
                <w:rFonts w:eastAsia="Times New Roman"/>
                <w:lang w:eastAsia="fr-FR"/>
              </w:rPr>
              <w:t>Légumineuses (lentilles, pois chiches)</w:t>
            </w:r>
          </w:p>
        </w:tc>
        <w:tc>
          <w:tcPr>
            <w:tcW w:w="0" w:type="auto"/>
            <w:hideMark/>
          </w:tcPr>
          <w:p w14:paraId="0DD6FC2C"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Riz basmati cuit</w:t>
            </w:r>
          </w:p>
        </w:tc>
        <w:tc>
          <w:tcPr>
            <w:tcW w:w="0" w:type="auto"/>
            <w:hideMark/>
          </w:tcPr>
          <w:p w14:paraId="0B94EB8B"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Pain blanc</w:t>
            </w:r>
          </w:p>
        </w:tc>
      </w:tr>
      <w:tr w:rsidR="00664D0A" w:rsidRPr="00E71797" w14:paraId="05EA8A11" w14:textId="77777777" w:rsidTr="00784D29">
        <w:tc>
          <w:tcPr>
            <w:cnfStyle w:val="001000000000" w:firstRow="0" w:lastRow="0" w:firstColumn="1" w:lastColumn="0" w:oddVBand="0" w:evenVBand="0" w:oddHBand="0" w:evenHBand="0" w:firstRowFirstColumn="0" w:firstRowLastColumn="0" w:lastRowFirstColumn="0" w:lastRowLastColumn="0"/>
            <w:tcW w:w="0" w:type="auto"/>
            <w:hideMark/>
          </w:tcPr>
          <w:p w14:paraId="5184B138" w14:textId="77777777" w:rsidR="00664D0A" w:rsidRPr="00E71797" w:rsidRDefault="00664D0A" w:rsidP="00B139C3">
            <w:pPr>
              <w:rPr>
                <w:rFonts w:eastAsia="Times New Roman"/>
                <w:lang w:eastAsia="fr-FR"/>
              </w:rPr>
            </w:pPr>
            <w:r w:rsidRPr="00E71797">
              <w:rPr>
                <w:rFonts w:eastAsia="Times New Roman"/>
                <w:lang w:eastAsia="fr-FR"/>
              </w:rPr>
              <w:t>Pâtes complètes</w:t>
            </w:r>
          </w:p>
        </w:tc>
        <w:tc>
          <w:tcPr>
            <w:tcW w:w="0" w:type="auto"/>
            <w:hideMark/>
          </w:tcPr>
          <w:p w14:paraId="6A8F9752" w14:textId="77777777" w:rsidR="00664D0A" w:rsidRPr="00E71797"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Flocons d’avoine</w:t>
            </w:r>
          </w:p>
        </w:tc>
        <w:tc>
          <w:tcPr>
            <w:tcW w:w="0" w:type="auto"/>
            <w:hideMark/>
          </w:tcPr>
          <w:p w14:paraId="21AD06CC" w14:textId="77777777" w:rsidR="00664D0A" w:rsidRPr="00E71797"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Riz blanc</w:t>
            </w:r>
          </w:p>
        </w:tc>
      </w:tr>
      <w:tr w:rsidR="00664D0A" w:rsidRPr="00E71797" w14:paraId="5B7A68DB" w14:textId="77777777" w:rsidTr="0078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BF6C5F" w14:textId="77777777" w:rsidR="00664D0A" w:rsidRPr="00E71797" w:rsidRDefault="00664D0A" w:rsidP="00B139C3">
            <w:pPr>
              <w:rPr>
                <w:rFonts w:eastAsia="Times New Roman"/>
                <w:lang w:eastAsia="fr-FR"/>
              </w:rPr>
            </w:pPr>
            <w:r w:rsidRPr="00E71797">
              <w:rPr>
                <w:rFonts w:eastAsia="Times New Roman"/>
                <w:lang w:eastAsia="fr-FR"/>
              </w:rPr>
              <w:t>Pommes, poires, cerises</w:t>
            </w:r>
          </w:p>
        </w:tc>
        <w:tc>
          <w:tcPr>
            <w:tcW w:w="0" w:type="auto"/>
            <w:hideMark/>
          </w:tcPr>
          <w:p w14:paraId="77AD22D8"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Bananes mûres</w:t>
            </w:r>
          </w:p>
        </w:tc>
        <w:tc>
          <w:tcPr>
            <w:tcW w:w="0" w:type="auto"/>
            <w:hideMark/>
          </w:tcPr>
          <w:p w14:paraId="481EAA5C"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Pommes de terre frites</w:t>
            </w:r>
          </w:p>
        </w:tc>
      </w:tr>
      <w:tr w:rsidR="00664D0A" w:rsidRPr="00116A61" w14:paraId="5E07681C" w14:textId="77777777" w:rsidTr="00784D29">
        <w:tc>
          <w:tcPr>
            <w:cnfStyle w:val="001000000000" w:firstRow="0" w:lastRow="0" w:firstColumn="1" w:lastColumn="0" w:oddVBand="0" w:evenVBand="0" w:oddHBand="0" w:evenHBand="0" w:firstRowFirstColumn="0" w:firstRowLastColumn="0" w:lastRowFirstColumn="0" w:lastRowLastColumn="0"/>
            <w:tcW w:w="0" w:type="auto"/>
            <w:hideMark/>
          </w:tcPr>
          <w:p w14:paraId="021586CF" w14:textId="77777777" w:rsidR="00664D0A" w:rsidRPr="00E71797" w:rsidRDefault="00664D0A" w:rsidP="00B139C3">
            <w:pPr>
              <w:rPr>
                <w:rFonts w:eastAsia="Times New Roman"/>
                <w:lang w:eastAsia="fr-FR"/>
              </w:rPr>
            </w:pPr>
            <w:r w:rsidRPr="00E71797">
              <w:rPr>
                <w:rFonts w:eastAsia="Times New Roman"/>
                <w:lang w:eastAsia="fr-FR"/>
              </w:rPr>
              <w:t>Lait, yaourt nature</w:t>
            </w:r>
          </w:p>
        </w:tc>
        <w:tc>
          <w:tcPr>
            <w:tcW w:w="0" w:type="auto"/>
            <w:hideMark/>
          </w:tcPr>
          <w:p w14:paraId="0EE1603C" w14:textId="77777777" w:rsidR="00664D0A" w:rsidRPr="00E71797"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lang w:eastAsia="fr-FR"/>
              </w:rPr>
            </w:pPr>
            <w:r w:rsidRPr="00E71797">
              <w:rPr>
                <w:rFonts w:eastAsia="Times New Roman"/>
                <w:lang w:eastAsia="fr-FR"/>
              </w:rPr>
              <w:t>Raisins</w:t>
            </w:r>
          </w:p>
        </w:tc>
        <w:tc>
          <w:tcPr>
            <w:tcW w:w="0" w:type="auto"/>
            <w:hideMark/>
          </w:tcPr>
          <w:p w14:paraId="773597A4" w14:textId="77777777" w:rsidR="00664D0A" w:rsidRPr="00E2496A"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lang w:val="fr-FR" w:eastAsia="fr-FR"/>
              </w:rPr>
            </w:pPr>
            <w:r w:rsidRPr="00E2496A">
              <w:rPr>
                <w:rFonts w:eastAsia="Times New Roman"/>
                <w:lang w:val="fr-FR" w:eastAsia="fr-FR"/>
              </w:rPr>
              <w:t>Sodas, jus de fruits sucrés</w:t>
            </w:r>
          </w:p>
        </w:tc>
      </w:tr>
      <w:tr w:rsidR="00664D0A" w:rsidRPr="00E71797" w14:paraId="17A5F88C" w14:textId="77777777" w:rsidTr="0078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31EBFD" w14:textId="77777777" w:rsidR="00664D0A" w:rsidRPr="00E71797" w:rsidRDefault="00664D0A" w:rsidP="00B139C3">
            <w:pPr>
              <w:rPr>
                <w:rFonts w:eastAsia="Times New Roman"/>
                <w:lang w:eastAsia="fr-FR"/>
              </w:rPr>
            </w:pPr>
            <w:r w:rsidRPr="00E71797">
              <w:rPr>
                <w:rFonts w:eastAsia="Times New Roman"/>
                <w:lang w:eastAsia="fr-FR"/>
              </w:rPr>
              <w:t>Carottes, tomates</w:t>
            </w:r>
          </w:p>
        </w:tc>
        <w:tc>
          <w:tcPr>
            <w:tcW w:w="0" w:type="auto"/>
            <w:hideMark/>
          </w:tcPr>
          <w:p w14:paraId="5F371F60"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Mangues</w:t>
            </w:r>
          </w:p>
        </w:tc>
        <w:tc>
          <w:tcPr>
            <w:tcW w:w="0" w:type="auto"/>
            <w:hideMark/>
          </w:tcPr>
          <w:p w14:paraId="60BB973D" w14:textId="77777777" w:rsidR="00664D0A" w:rsidRPr="00E71797"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lang w:eastAsia="fr-FR"/>
              </w:rPr>
            </w:pPr>
            <w:r w:rsidRPr="00E71797">
              <w:rPr>
                <w:rFonts w:eastAsia="Times New Roman"/>
                <w:lang w:eastAsia="fr-FR"/>
              </w:rPr>
              <w:t>Viennoiseries, pâtisseries</w:t>
            </w:r>
          </w:p>
        </w:tc>
      </w:tr>
    </w:tbl>
    <w:p w14:paraId="190D11D9" w14:textId="1B1C05CA" w:rsidR="00664D0A" w:rsidRPr="00E71797" w:rsidRDefault="00664D0A" w:rsidP="00577C0B">
      <w:pPr>
        <w:pStyle w:val="Heading3"/>
        <w:rPr>
          <w:rFonts w:eastAsiaTheme="minorBidi"/>
        </w:rPr>
      </w:pPr>
      <w:r w:rsidRPr="00E71797">
        <w:rPr>
          <w:rFonts w:eastAsiaTheme="minorBidi"/>
        </w:rPr>
        <w:t>7-1-2/L'activité physique :</w:t>
      </w:r>
    </w:p>
    <w:p w14:paraId="25725DF7" w14:textId="77777777" w:rsidR="00664D0A" w:rsidRPr="00664D0A" w:rsidRDefault="00664D0A" w:rsidP="00B139C3">
      <w:pPr>
        <w:rPr>
          <w:rFonts w:eastAsiaTheme="minorBidi"/>
          <w:color w:val="000000"/>
          <w:lang w:val="fr-FR"/>
        </w:rPr>
      </w:pPr>
      <w:r w:rsidRPr="00664D0A">
        <w:rPr>
          <w:rFonts w:eastAsiaTheme="minorBidi"/>
          <w:color w:val="000000"/>
          <w:lang w:val="fr-FR"/>
        </w:rPr>
        <w:lastRenderedPageBreak/>
        <w:t xml:space="preserve">L'activité physique est un pilier fondamental du traitement du diabète de type 2. Elle agit non seulement sur l'équilibre glycémique, mais réduit également la mortalité globale et les risques cardiovasculaires en améliorant les composantes du syndrome métabolique (baisse de la tension, réduction de l'obésité viscérale et amélioration du bilan lipidique) </w:t>
      </w:r>
    </w:p>
    <w:p w14:paraId="2F8BA60C" w14:textId="2AACD67C" w:rsidR="00664D0A" w:rsidRPr="00664D0A" w:rsidRDefault="00664D0A" w:rsidP="00B139C3">
      <w:pPr>
        <w:rPr>
          <w:rFonts w:eastAsiaTheme="minorBidi"/>
          <w:color w:val="000000"/>
          <w:lang w:val="fr-FR"/>
        </w:rPr>
      </w:pPr>
      <w:r w:rsidRPr="00664D0A">
        <w:rPr>
          <w:rFonts w:eastAsiaTheme="minorBidi"/>
          <w:color w:val="000000"/>
          <w:lang w:val="fr-FR"/>
        </w:rPr>
        <w:t xml:space="preserve">L'exercice physique améliore le contrôle du sucre </w:t>
      </w:r>
      <w:r w:rsidR="005C4773">
        <w:rPr>
          <w:rFonts w:eastAsiaTheme="minorBidi"/>
          <w:color w:val="000000"/>
          <w:lang w:val="fr-FR"/>
        </w:rPr>
        <w:fldChar w:fldCharType="begin"/>
      </w:r>
      <w:r w:rsidR="00116A61">
        <w:rPr>
          <w:rFonts w:eastAsiaTheme="minorBidi"/>
          <w:color w:val="000000"/>
          <w:lang w:val="fr-FR"/>
        </w:rPr>
        <w:instrText xml:space="preserve"> ADDIN ZOTERO_ITEM CSL_CITATION {"citationID":"YnxyKlT5","properties":{"unsorted":false,"formattedCitation":"(41)","plainCitation":"(41)","noteIndex":0},"citationItems":[{"id":"6VBx8p83/udZarSnX","uris":["http://zotero.org/users/local/xPnoPzR4/items/BXTG2DXU"],"itemData":{"id":318,"type":"book","abstract":"The WHO Guidelines on physical activity and sedentary behaviour provide evidence-based public health recommendations for children, adolescents, adults and older adults on the amount of physical activity (frequency, intensity and duration) required to offer significant health benefits and mitigate health risks. For the first time, recommendations are provided on the associations between sedentary behaviour and health outcomes, as well as for subpopulations, such as pregnant and postpartum women, and people living with chronic conditions or disability.","call-number":"NBK566045","collection-title":"WHO Guidelines Approved by the Guidelines Review Committee","ISBN":"978-92-4-001512-8","language":"eng","license":"© World Health Organization 2020.","note":"PMID: 33369898","publisher":"World Health Organization","publisher-place":"Geneva","source":"PubMed","title":"WHO Guidelines on Physical Activity and Sedentary Behaviour","URL":"http://www.ncbi.nlm.nih.gov/books/NBK566045/","accessed":{"date-parts":[["2026",5,13]]},"issued":{"date-parts":[["2020"]]}}}],"schema":"https://github.com/citation-style-language/schema/raw/master/csl-citation.json"} </w:instrText>
      </w:r>
      <w:r w:rsidR="005C4773">
        <w:rPr>
          <w:rFonts w:eastAsiaTheme="minorBidi"/>
          <w:color w:val="000000"/>
          <w:lang w:val="fr-FR"/>
        </w:rPr>
        <w:fldChar w:fldCharType="separate"/>
      </w:r>
      <w:r w:rsidR="005C4773" w:rsidRPr="005C4773">
        <w:rPr>
          <w:rFonts w:ascii="Calibri" w:hAnsi="Calibri"/>
          <w:lang w:val="fr-FR"/>
        </w:rPr>
        <w:t>(41)</w:t>
      </w:r>
      <w:r w:rsidR="005C4773">
        <w:rPr>
          <w:rFonts w:eastAsiaTheme="minorBidi"/>
          <w:color w:val="000000"/>
          <w:lang w:val="fr-FR"/>
        </w:rPr>
        <w:fldChar w:fldCharType="end"/>
      </w:r>
      <w:r w:rsidR="005C4773">
        <w:rPr>
          <w:rFonts w:eastAsiaTheme="minorBidi"/>
          <w:color w:val="000000"/>
          <w:lang w:val="fr-FR"/>
        </w:rPr>
        <w:t xml:space="preserve"> </w:t>
      </w:r>
      <w:r w:rsidRPr="00664D0A">
        <w:rPr>
          <w:rFonts w:eastAsiaTheme="minorBidi"/>
          <w:color w:val="000000"/>
          <w:lang w:val="fr-FR"/>
        </w:rPr>
        <w:t>par deux mécanismes clés :</w:t>
      </w:r>
    </w:p>
    <w:p w14:paraId="1B6DE19E" w14:textId="77777777" w:rsidR="00664D0A" w:rsidRPr="00664D0A" w:rsidRDefault="00664D0A" w:rsidP="00B139C3">
      <w:pPr>
        <w:rPr>
          <w:rFonts w:eastAsiaTheme="minorBidi"/>
          <w:color w:val="000000"/>
          <w:lang w:val="fr-FR"/>
        </w:rPr>
      </w:pPr>
      <w:r w:rsidRPr="00664D0A">
        <w:rPr>
          <w:rFonts w:eastAsiaTheme="minorBidi"/>
          <w:color w:val="000000"/>
          <w:lang w:val="fr-FR"/>
        </w:rPr>
        <w:t xml:space="preserve">Effet immédiat : Durant l'effort, les muscles consomment directement le glucose présent dans le sang pour produire de l'énergie </w:t>
      </w:r>
    </w:p>
    <w:p w14:paraId="69495B08" w14:textId="71BE36B3" w:rsidR="00664D0A" w:rsidRPr="00664D0A" w:rsidRDefault="00664D0A" w:rsidP="00577C0B">
      <w:pPr>
        <w:rPr>
          <w:rFonts w:eastAsiaTheme="minorBidi"/>
          <w:color w:val="000000"/>
          <w:lang w:val="fr-FR"/>
        </w:rPr>
      </w:pPr>
      <w:r w:rsidRPr="00664D0A">
        <w:rPr>
          <w:rFonts w:eastAsiaTheme="minorBidi"/>
          <w:color w:val="000000"/>
          <w:lang w:val="fr-FR"/>
        </w:rPr>
        <w:t>Effet prolongé : Après l'exercice, la sensibilité des cellules à l'insuline reste augmentée jusqu'à 10 heures, facilitant ainsi une régulation naturelle de la g</w:t>
      </w:r>
      <w:r w:rsidR="00577C0B">
        <w:rPr>
          <w:rFonts w:eastAsiaTheme="minorBidi"/>
          <w:color w:val="000000"/>
          <w:lang w:val="fr-FR"/>
        </w:rPr>
        <w:t xml:space="preserve">lycémie à distance de l'effort </w:t>
      </w:r>
    </w:p>
    <w:p w14:paraId="3E362650" w14:textId="79194B0E" w:rsidR="00664D0A" w:rsidRPr="00664D0A" w:rsidRDefault="00664D0A" w:rsidP="00B139C3">
      <w:pPr>
        <w:rPr>
          <w:rFonts w:eastAsiaTheme="minorBidi"/>
          <w:color w:val="000000"/>
          <w:lang w:val="fr-FR"/>
        </w:rPr>
      </w:pPr>
      <w:r w:rsidRPr="00664D0A">
        <w:rPr>
          <w:rFonts w:eastAsiaTheme="minorBidi"/>
          <w:color w:val="000000"/>
          <w:lang w:val="fr-FR"/>
        </w:rPr>
        <w:t>Pour être efficace, l'activité physique doit être régulière et adaptée à l'état de santé du patient</w:t>
      </w:r>
      <w:r w:rsidR="005C4773">
        <w:rPr>
          <w:rFonts w:eastAsiaTheme="minorBidi"/>
          <w:color w:val="000000"/>
          <w:lang w:val="fr-FR"/>
        </w:rPr>
        <w:t xml:space="preserve"> </w:t>
      </w:r>
      <w:r w:rsidR="005C4773">
        <w:rPr>
          <w:rFonts w:eastAsiaTheme="minorBidi"/>
          <w:color w:val="000000"/>
          <w:lang w:val="fr-FR"/>
        </w:rPr>
        <w:fldChar w:fldCharType="begin"/>
      </w:r>
      <w:r w:rsidR="00116A61">
        <w:rPr>
          <w:rFonts w:eastAsiaTheme="minorBidi"/>
          <w:color w:val="000000"/>
          <w:lang w:val="fr-FR"/>
        </w:rPr>
        <w:instrText xml:space="preserve"> ADDIN ZOTERO_ITEM CSL_CITATION {"citationID":"x0pxNS9n","properties":{"unsorted":false,"formattedCitation":"(42)","plainCitation":"(42)","noteIndex":0},"citationItems":[{"id":"6VBx8p83/KfuUu2uP","uris":["http://zotero.org/users/local/xPnoPzR4/items/Y36D4KMX"],"itemData":{"id":315,"type":"article-journal","abstract":"The American Diabetes Association (ADA) “Standards of Care in Diabetes” includes the ADA’s current clinical practice recommendations and is intended to provide the components of diabetes care, general treatment goals and guidelines, and tools to evaluate quality of care. Members of the ADA Professional Practice Committee, an interprofessional expert committee, are responsible for updating the Standards of Care annually, or more frequently as warranted. For a detailed description of ADA standards, statements, and reports, as well as the evidence-grading system for ADA’s clinical practice recommendations and a full list of Professional Practice Committee members, please refer to Introduction and Methodology. Readers who wish to comment on the Standards of Care are invited to do so at professional.diabetes.org/SOC.","container-title":"Diabetes Care","DOI":"10.2337/dc24-S005","ISSN":"0149-5992","issue":"Supplement_1","journalAbbreviation":"Diabetes Care","page":"S77-S110","source":"Silverchair","title":"5. Facilitating Positive Health Behaviors and Well-being to Improve Health Outcomes: Standards of Care in Diabetes—2024","title-short":"5. Facilitating Positive Health Behaviors and Well-being to Improve Health Outcomes","volume":"47","author":[{"literal":"American Diabetes Association Professional Practice Committee"}],"issued":{"date-parts":[["2023",12,11]]}}}],"schema":"https://github.com/citation-style-language/schema/raw/master/csl-citation.json"} </w:instrText>
      </w:r>
      <w:r w:rsidR="005C4773">
        <w:rPr>
          <w:rFonts w:eastAsiaTheme="minorBidi"/>
          <w:color w:val="000000"/>
          <w:lang w:val="fr-FR"/>
        </w:rPr>
        <w:fldChar w:fldCharType="separate"/>
      </w:r>
      <w:r w:rsidR="005C4773" w:rsidRPr="005C4773">
        <w:rPr>
          <w:rFonts w:ascii="Calibri" w:hAnsi="Calibri"/>
          <w:lang w:val="fr-FR"/>
        </w:rPr>
        <w:t>(42)</w:t>
      </w:r>
      <w:r w:rsidR="005C4773">
        <w:rPr>
          <w:rFonts w:eastAsiaTheme="minorBidi"/>
          <w:color w:val="000000"/>
          <w:lang w:val="fr-FR"/>
        </w:rPr>
        <w:fldChar w:fldCharType="end"/>
      </w:r>
      <w:r w:rsidRPr="00664D0A">
        <w:rPr>
          <w:rFonts w:eastAsiaTheme="minorBidi"/>
          <w:color w:val="000000"/>
          <w:lang w:val="fr-FR"/>
        </w:rPr>
        <w:t>. Les recommandations actuelles préconisent :</w:t>
      </w:r>
    </w:p>
    <w:p w14:paraId="3E688DD3" w14:textId="77777777" w:rsidR="00664D0A" w:rsidRPr="00664D0A" w:rsidRDefault="00664D0A" w:rsidP="00B139C3">
      <w:pPr>
        <w:rPr>
          <w:rFonts w:eastAsiaTheme="minorBidi"/>
          <w:color w:val="000000"/>
          <w:lang w:val="fr-FR"/>
        </w:rPr>
      </w:pPr>
      <w:r w:rsidRPr="00664D0A">
        <w:rPr>
          <w:rFonts w:eastAsiaTheme="minorBidi"/>
          <w:color w:val="000000"/>
          <w:lang w:val="fr-FR"/>
        </w:rPr>
        <w:t>Un rythme de trois séances de 45 minutes par semaine.</w:t>
      </w:r>
    </w:p>
    <w:p w14:paraId="4C15AB6C" w14:textId="77777777" w:rsidR="00664D0A" w:rsidRPr="00664D0A" w:rsidRDefault="00664D0A" w:rsidP="00B139C3">
      <w:pPr>
        <w:rPr>
          <w:rFonts w:eastAsiaTheme="minorBidi"/>
          <w:color w:val="000000"/>
          <w:lang w:val="fr-FR"/>
        </w:rPr>
      </w:pPr>
      <w:r w:rsidRPr="00664D0A">
        <w:rPr>
          <w:rFonts w:eastAsiaTheme="minorBidi"/>
          <w:color w:val="000000"/>
          <w:lang w:val="fr-FR"/>
        </w:rPr>
        <w:t>Une pratique adaptée après une évaluation cardiovasculaire préalable par un médecin.</w:t>
      </w:r>
    </w:p>
    <w:p w14:paraId="15A16DAA" w14:textId="58C3395D" w:rsidR="00664D0A" w:rsidRPr="00664D0A" w:rsidRDefault="00664D0A" w:rsidP="00577C0B">
      <w:pPr>
        <w:rPr>
          <w:rFonts w:eastAsiaTheme="minorBidi"/>
          <w:color w:val="000000"/>
          <w:lang w:val="fr-FR"/>
        </w:rPr>
      </w:pPr>
      <w:r w:rsidRPr="00664D0A">
        <w:rPr>
          <w:rFonts w:eastAsiaTheme="minorBidi"/>
          <w:color w:val="000000"/>
          <w:lang w:val="fr-FR"/>
        </w:rPr>
        <w:t xml:space="preserve">Une intégration durable dans le mode de vie, en complément des modifications alimentaires, même si un traitement médicamenteux est déjà instauré </w:t>
      </w:r>
      <w:r w:rsidR="005C4773">
        <w:rPr>
          <w:rFonts w:eastAsiaTheme="minorBidi"/>
          <w:color w:val="000000"/>
          <w:lang w:val="fr-FR"/>
        </w:rPr>
        <w:t>.</w:t>
      </w:r>
      <w:r w:rsidR="005C4773">
        <w:rPr>
          <w:rFonts w:eastAsiaTheme="minorBidi"/>
          <w:color w:val="000000"/>
          <w:lang w:val="fr-FR"/>
        </w:rPr>
        <w:fldChar w:fldCharType="begin"/>
      </w:r>
      <w:r w:rsidR="00116A61">
        <w:rPr>
          <w:rFonts w:eastAsiaTheme="minorBidi"/>
          <w:color w:val="000000"/>
          <w:lang w:val="fr-FR"/>
        </w:rPr>
        <w:instrText xml:space="preserve"> ADDIN ZOTERO_ITEM CSL_CITATION {"citationID":"uo6tFmMv","properties":{"unsorted":false,"formattedCitation":"(41)","plainCitation":"(41)","noteIndex":0},"citationItems":[{"id":"6VBx8p83/udZarSnX","uris":["http://zotero.org/users/local/xPnoPzR4/items/BXTG2DXU"],"itemData":{"id":318,"type":"book","abstract":"The WHO Guidelines on physical activity and sedentary behaviour provide evidence-based public health recommendations for children, adolescents, adults and older adults on the amount of physical activity (frequency, intensity and duration) required to offer significant health benefits and mitigate health risks. For the first time, recommendations are provided on the associations between sedentary behaviour and health outcomes, as well as for subpopulations, such as pregnant and postpartum women, and people living with chronic conditions or disability.","call-number":"NBK566045","collection-title":"WHO Guidelines Approved by the Guidelines Review Committee","ISBN":"978-92-4-001512-8","language":"eng","license":"© World Health Organization 2020.","note":"PMID: 33369898","publisher":"World Health Organization","publisher-place":"Geneva","source":"PubMed","title":"WHO Guidelines on Physical Activity and Sedentary Behaviour","URL":"http://www.ncbi.nlm.nih.gov/books/NBK566045/","accessed":{"date-parts":[["2026",5,13]]},"issued":{"date-parts":[["2020"]]}}}],"schema":"https://github.com/citation-style-language/schema/raw/master/csl-citation.json"} </w:instrText>
      </w:r>
      <w:r w:rsidR="005C4773">
        <w:rPr>
          <w:rFonts w:eastAsiaTheme="minorBidi"/>
          <w:color w:val="000000"/>
          <w:lang w:val="fr-FR"/>
        </w:rPr>
        <w:fldChar w:fldCharType="separate"/>
      </w:r>
      <w:r w:rsidR="005C4773" w:rsidRPr="005C4773">
        <w:rPr>
          <w:rFonts w:ascii="Calibri" w:hAnsi="Calibri"/>
          <w:lang w:val="fr-FR"/>
        </w:rPr>
        <w:t>(41)</w:t>
      </w:r>
      <w:r w:rsidR="005C4773">
        <w:rPr>
          <w:rFonts w:eastAsiaTheme="minorBidi"/>
          <w:color w:val="000000"/>
          <w:lang w:val="fr-FR"/>
        </w:rPr>
        <w:fldChar w:fldCharType="end"/>
      </w:r>
    </w:p>
    <w:p w14:paraId="6CF8C2A2" w14:textId="77777777" w:rsidR="00664D0A" w:rsidRPr="00664D0A" w:rsidRDefault="00664D0A" w:rsidP="00577C0B">
      <w:pPr>
        <w:pStyle w:val="Heading2"/>
        <w:rPr>
          <w:rFonts w:eastAsiaTheme="minorBidi"/>
          <w:color w:val="000000"/>
        </w:rPr>
      </w:pPr>
      <w:bookmarkStart w:id="46" w:name="_Toc229618784"/>
      <w:r w:rsidRPr="00664D0A">
        <w:t>7-2/Le traitement médicamenteux :</w:t>
      </w:r>
      <w:bookmarkEnd w:id="46"/>
    </w:p>
    <w:p w14:paraId="3337B09F" w14:textId="77777777" w:rsidR="001C2505" w:rsidRDefault="00664D0A" w:rsidP="001C2505">
      <w:pPr>
        <w:pStyle w:val="Heading3"/>
      </w:pPr>
      <w:r w:rsidRPr="00664D0A">
        <w:t>7-2-1/ Les ADO :</w:t>
      </w:r>
    </w:p>
    <w:p w14:paraId="7512A361" w14:textId="46C29E17" w:rsidR="00664D0A" w:rsidRPr="00664D0A" w:rsidRDefault="00664D0A" w:rsidP="001C2505">
      <w:pPr>
        <w:pStyle w:val="Heading3"/>
      </w:pPr>
      <w:r w:rsidRPr="001C2505">
        <w:rPr>
          <w:rStyle w:val="Heading4Char"/>
        </w:rPr>
        <w:t>7-2-1-1/ Les ADO insulino-</w:t>
      </w:r>
      <w:proofErr w:type="gramStart"/>
      <w:r w:rsidRPr="001C2505">
        <w:rPr>
          <w:rStyle w:val="Heading4Char"/>
        </w:rPr>
        <w:t>sensibilisateurs</w:t>
      </w:r>
      <w:r w:rsidRPr="00664D0A">
        <w:t>:</w:t>
      </w:r>
      <w:proofErr w:type="gramEnd"/>
      <w:r w:rsidRPr="00664D0A">
        <w:t xml:space="preserve"> </w:t>
      </w:r>
    </w:p>
    <w:p w14:paraId="6712B0C7" w14:textId="77777777" w:rsidR="00664D0A" w:rsidRPr="00664D0A" w:rsidRDefault="00664D0A" w:rsidP="00577C0B">
      <w:pPr>
        <w:pStyle w:val="Heading5"/>
        <w:rPr>
          <w:lang w:val="fr-FR"/>
        </w:rPr>
      </w:pPr>
      <w:r w:rsidRPr="00664D0A">
        <w:rPr>
          <w:lang w:val="fr-FR"/>
        </w:rPr>
        <w:t>A/ Les biguanides : (Metformine) :</w:t>
      </w:r>
    </w:p>
    <w:p w14:paraId="5314BBE7" w14:textId="0A5ECB81" w:rsidR="00664D0A" w:rsidRPr="00664D0A" w:rsidRDefault="00664D0A" w:rsidP="00B139C3">
      <w:pPr>
        <w:rPr>
          <w:lang w:val="fr-FR"/>
        </w:rPr>
      </w:pPr>
      <w:r w:rsidRPr="00664D0A">
        <w:rPr>
          <w:lang w:val="fr-FR"/>
        </w:rPr>
        <w:t>La metformine est souvent utilisée pour traiter le diabète de type 2. Elle est généralement considérée commetraitement de première intention. C'est parce que la metformine a un bon profil de sécurité et qu'elle peut faire baisser la glycémie sans provoquer d'hypoglycémie grave. Les adultes en surpoids ou obèses peuvent prendre la metformine. On la prescrit souvent seule au début, mais on peut l'associer à d'autres médicaments contre le diabète si nécessaire.</w:t>
      </w:r>
      <w:r w:rsidRPr="00E71797">
        <w:fldChar w:fldCharType="begin"/>
      </w:r>
      <w:r w:rsidR="00116A61">
        <w:rPr>
          <w:lang w:val="fr-FR"/>
        </w:rPr>
        <w:instrText xml:space="preserve"> ADDIN ZOTERO_ITEM CSL_CITATION {"citationID":"s6v1O03i","properties":{"formattedCitation":"(40)","plainCitation":"(40)","noteIndex":0},"citationItems":[{"id":"6VBx8p83/4eP5IS2L","uris":["http://zotero.org/users/local/QE2koe11/items/7S73V2TS"],"itemData":{"id":105,"type":"article-journal","abstract":"Metformin, a biguanide drug, is the most commonly used first-line medication for type 2 diabetes mellites due to its outstanding glucose-lowering ability. After oral administration of 1 g, metformin peaked plasma concentration of approximately 20-30 μM in 3 h, and then it mainly accumulated in the gastrointestinal tract, liver and kidney. Substantial studies have indicated that metformin exerts its beneficial or deleterious effect by multiple mechanisms, apart from AMPK-dependent mechanism, also including several AMPK-independent mechanisms, such as restoring of redox balance, affecting mitochondrial function, modulating gut microbiome and regulating several other signals, such as FBP1, PP2A, FGF21, SIRT1 and mTOR. On the basis of these multiple mechanisms, researchers tried to repurpose this old drug and further explored the possible indications and adverse effects of metformin. Through investigating with clinical studies, researchers concluded that in addition to decreasing cardiovascular events and anti-obesity, metformin is also beneficial for neurodegenerative disease, polycystic ovary syndrome, aging, cancer and COVID-19, however, it also induces some adverse effects, such as gastrointestinal complaints, lactic acidosis, vitamin B12 deficiency, neurodegenerative disease and offspring impairment. Of note, the dose of metformin used in most studies is much higher than its clinically relevant dose, which may cast doubt on the actual effects of metformin on these disease in the clinic. This review summarizes these research developments on the mechanism of action and clinical evidence of metformin and discusses its therapeutic potential and clinical safety.","container-title":"Molecular Biomedicine","DOI":"10.1186/s43556-022-00108-w","ISSN":"2662-8651","issue":"1","journalAbbreviation":"Mol Biomed","language":"eng","page":"41","PMID":"36484892","PMCID":"PMC9733765","source":"PubMed","title":"Metformin in therapeutic applications in human diseases: its mechanism of action and clinical study","title-short":"Metformin in therapeutic applications in human diseases","volume":"3","author":[{"family":"Du","given":"Yang"},{"family":"Zhu","given":"Ya-Juan"},{"family":"Zhou","given":"Yi-Xin"},{"family":"Ding","given":"Jing"},{"family":"Liu","given":"Ji-Yan"}],"issued":{"date-parts":[["2022",12,9]]}}}],"schema":"https://github.com/citation-style-language/schema/raw/master/csl-citation.json"} </w:instrText>
      </w:r>
      <w:r w:rsidRPr="00E71797">
        <w:fldChar w:fldCharType="separate"/>
      </w:r>
      <w:r w:rsidR="003771A7" w:rsidRPr="003771A7">
        <w:rPr>
          <w:rFonts w:ascii="Calibri" w:hAnsi="Calibri"/>
          <w:lang w:val="fr-FR"/>
        </w:rPr>
        <w:t>(40)</w:t>
      </w:r>
      <w:r w:rsidRPr="00E71797">
        <w:fldChar w:fldCharType="end"/>
      </w:r>
    </w:p>
    <w:p w14:paraId="5D795F30" w14:textId="77777777" w:rsidR="00664D0A" w:rsidRPr="00664D0A" w:rsidRDefault="00664D0A" w:rsidP="00B139C3">
      <w:pPr>
        <w:rPr>
          <w:lang w:val="fr-FR"/>
        </w:rPr>
      </w:pPr>
      <w:r w:rsidRPr="00664D0A">
        <w:rPr>
          <w:lang w:val="fr-FR"/>
        </w:rPr>
        <w:t>Chez les personnes atteintes de diabète de type 2, la metformine a des effets bénéfiques importants. Elle fait baisser la glycémie à jeun, réduit le taux d'HbA1c, améliore certains paramètres lipidiques, comme le cholestérol LDL, et peut même aider à perdre du poids. Tout cela contribue à réduire le risque d'événements cliniques liés au diabète, comparativement à un régime alimentaire seul ou à certains autres traitements.</w:t>
      </w:r>
    </w:p>
    <w:p w14:paraId="14459F37" w14:textId="159C8AF8" w:rsidR="00664D0A" w:rsidRPr="00664D0A" w:rsidRDefault="00664D0A" w:rsidP="00B139C3">
      <w:pPr>
        <w:rPr>
          <w:lang w:val="fr-FR"/>
        </w:rPr>
      </w:pPr>
      <w:r w:rsidRPr="00664D0A">
        <w:rPr>
          <w:lang w:val="fr-FR"/>
        </w:rPr>
        <w:t>Elle a démontré des bénéfices cliniques significatifs chez les patients atteints de diabète de type 2, notamment des réductions de la glycémie à jeun, une diminution de l’HbA1c, des effets favorables sur le profil lipidique (comme la réduction du cholestérol LDL) et une perte de poids. Cette combinaison d’effets entraîne une diminution du risque d’événements cliniques associés au diabète, au régime seul ou à d’autres traitements hypoglycémiants.</w:t>
      </w:r>
      <w:r w:rsidRPr="00E71797">
        <w:fldChar w:fldCharType="begin"/>
      </w:r>
      <w:r w:rsidR="00116A61">
        <w:rPr>
          <w:lang w:val="fr-FR"/>
        </w:rPr>
        <w:instrText xml:space="preserve"> ADDIN ZOTERO_ITEM CSL_CITATION {"citationID":"0rJWFxHF","properties":{"formattedCitation":"(43)","plainCitation":"(43)","noteIndex":0},"citationItems":[{"id":"6VBx8p83/Cmn5gXkq","uris":["http://zotero.org/users/local/QE2koe11/items/WKY6ENHE"],"itemData":{"id":124,"type":"article-journal","abstract":"Objective . To evaluate the efficacy of metformin against placebo, diet, oral","container-title":"Atención Primaria","DOI":"10.1157/13078602","ISSN":"0212-6567","issue":"4","journalAbbreviation":"Aten Primaria","language":"es","page":"183-191","publisher":"Elsevier","source":"www.elsevier.es","title":"Metformin for Type 2 Diabetes Mellitus. Systematic Review and Meta-Analysis","volume":"36","author":[{"family":"Sáenz Calvo","given":"A."},{"family":"Fernández Esteban","given":"I."},{"family":"Mataix Sanjuán","given":"A."},{"family":"Ausejo Segura","given":"M."},{"family":"Roqué","given":"M."},{"family":"Moher","given":"D."}],"issued":{"date-parts":[["2005",9,15]]}}}],"schema":"https://github.com/citation-style-language/schema/raw/master/csl-citation.json"} </w:instrText>
      </w:r>
      <w:r w:rsidRPr="00E71797">
        <w:fldChar w:fldCharType="separate"/>
      </w:r>
      <w:r w:rsidR="005C4773" w:rsidRPr="005C4773">
        <w:rPr>
          <w:rFonts w:ascii="Calibri" w:hAnsi="Calibri"/>
          <w:lang w:val="fr-FR"/>
        </w:rPr>
        <w:t>(43)</w:t>
      </w:r>
      <w:r w:rsidRPr="00E71797">
        <w:fldChar w:fldCharType="end"/>
      </w:r>
    </w:p>
    <w:p w14:paraId="4DF9AE3D" w14:textId="77777777" w:rsidR="00664D0A" w:rsidRPr="00664D0A" w:rsidRDefault="00664D0A" w:rsidP="00B139C3">
      <w:pPr>
        <w:rPr>
          <w:lang w:val="fr-FR"/>
        </w:rPr>
      </w:pPr>
      <w:r w:rsidRPr="00664D0A">
        <w:rPr>
          <w:lang w:val="fr-FR"/>
        </w:rPr>
        <w:t>A-1/Mécanisme d’action :</w:t>
      </w:r>
    </w:p>
    <w:p w14:paraId="7E9E28E8" w14:textId="77777777" w:rsidR="00664D0A" w:rsidRPr="00664D0A" w:rsidRDefault="00664D0A" w:rsidP="00B139C3">
      <w:pPr>
        <w:rPr>
          <w:lang w:val="fr-FR"/>
        </w:rPr>
      </w:pPr>
      <w:r w:rsidRPr="00664D0A">
        <w:rPr>
          <w:lang w:val="fr-FR"/>
        </w:rPr>
        <w:lastRenderedPageBreak/>
        <w:t xml:space="preserve">La metformine agit en réduisant la production de glucose par le foie et en facilitant l'utilisation du glucose par les tissus périphériques par l'active dune protéine appelée AMPK, et aussi d'autres voies. En pratique, cela signifie que la glyconéogénèse est réduite, que le transport du glucose vers les cellules musculaires est amélioré et que la sensibilité à l'insuline est aussi </w:t>
      </w:r>
      <w:proofErr w:type="gramStart"/>
      <w:r w:rsidRPr="00664D0A">
        <w:rPr>
          <w:lang w:val="fr-FR"/>
        </w:rPr>
        <w:t>amélioré</w:t>
      </w:r>
      <w:proofErr w:type="gramEnd"/>
      <w:r w:rsidRPr="00664D0A">
        <w:rPr>
          <w:lang w:val="fr-FR"/>
        </w:rPr>
        <w:t>. D'autres effets de la metformine sont également étudiés, comme son influence sur le microbiote intestinal et sur différentes voies métaboliques.</w:t>
      </w:r>
    </w:p>
    <w:p w14:paraId="149448D1" w14:textId="1EF14A5A" w:rsidR="00664D0A" w:rsidRPr="00E71797" w:rsidRDefault="00664D0A" w:rsidP="00B139C3">
      <w:pPr>
        <w:rPr>
          <w:noProof/>
          <w:lang w:eastAsia="fr-FR"/>
        </w:rPr>
      </w:pPr>
      <w:r w:rsidRPr="00664D0A">
        <w:rPr>
          <w:lang w:val="fr-FR"/>
        </w:rPr>
        <w:t>La metformine réduit la production hépatique de glucose et améliore la captation périphérique du glucose grâce à l’activation de la protéine-kinase activée par l’AMP (AMPK) et à d’autres mécanismes. Ces actions entraînent une diminution de la glyconéogénèse, une augmentation du transport du glucose vers les cellules musculaires et une amélioration de la sensibilité à l’insuline ; des effets supplémentaires peuvent inclure la modulation du microbiote intestinal et d’autres voies métaboliques.</w:t>
      </w:r>
      <w:r w:rsidRPr="00E71797">
        <w:fldChar w:fldCharType="begin"/>
      </w:r>
      <w:r w:rsidR="00116A61">
        <w:rPr>
          <w:lang w:val="fr-FR"/>
        </w:rPr>
        <w:instrText xml:space="preserve"> ADDIN ZOTERO_ITEM CSL_CITATION {"citationID":"VaAIugze","properties":{"formattedCitation":"(44)","plainCitation":"(44)","noteIndex":0},"citationItems":[{"id":"6VBx8p83/0WG9xes0","uris":["http://zotero.org/users/local/QE2koe11/items/LZVL5Y2Y"],"itemData":{"id":103,"type":"article-journal","abstract":"Metformin is a widely-used drug that results in clear benefits in relation to glucose metabolism and diabetes-related complications. The mechanisms underlying these benefits are complex and still not fully understood. Physiologically, metformin has been shown to reduce hepatic glucose production, yet not all of its effects can be explained by this mechanism and there is increasing evidence of a key role for the gut. At the molecular level the findings vary depending on the doses of metformin used and duration of treatment, with clear differences between acute and chronic administration. Metformin has been shown to act via both AMP-activated protein kinase (AMPK)-dependent and AMPK-independent mechanisms; by inhibition of mitochondrial respiration but also perhaps by inhibition of mitochondrial glycerophosphate dehydrogenase, and a mechanism involving the lysosome. In the last 10 years, we have moved from a simple picture, that metformin improves glycaemia by acting on the liver via AMPK activation, to a much more complex picture reflecting its multiple modes of action. More work is required to truly understand how this drug works in its target population: individuals with type 2 diabetes.","container-title":"Diabetologia","DOI":"10.1007/s00125-017-4342-z","ISSN":"1432-0428","issue":"9","journalAbbreviation":"Diabetologia","language":"en","page":"1577-1585","source":"Springer Link","title":"The mechanisms of action of metformin","volume":"60","author":[{"family":"Rena","given":"Graham"},{"family":"Hardie","given":"D. Grahame"},{"family":"Pearson","given":"Ewan R."}],"issued":{"date-parts":[["2017",9,1]]}}}],"schema":"https://github.com/citation-style-language/schema/raw/master/csl-citation.json"} </w:instrText>
      </w:r>
      <w:r w:rsidRPr="00E71797">
        <w:fldChar w:fldCharType="separate"/>
      </w:r>
      <w:r w:rsidR="005C4773" w:rsidRPr="005C4773">
        <w:rPr>
          <w:rFonts w:ascii="Calibri" w:hAnsi="Calibri"/>
        </w:rPr>
        <w:t>(44)</w:t>
      </w:r>
      <w:r w:rsidRPr="00E71797">
        <w:fldChar w:fldCharType="end"/>
      </w:r>
      <w:r w:rsidRPr="00E71797">
        <w:t> </w:t>
      </w:r>
    </w:p>
    <w:p w14:paraId="17BA2935" w14:textId="77777777" w:rsidR="00664D0A" w:rsidRPr="00E71797" w:rsidRDefault="00664D0A" w:rsidP="00B139C3">
      <w:r w:rsidRPr="00E71797">
        <w:rPr>
          <w:noProof/>
          <w:lang w:val="fr-FR" w:eastAsia="fr-FR"/>
        </w:rPr>
        <w:drawing>
          <wp:inline distT="0" distB="0" distL="0" distR="0" wp14:anchorId="37B126F6" wp14:editId="223078B2">
            <wp:extent cx="3221543" cy="3069144"/>
            <wp:effectExtent l="19050" t="0" r="0" b="0"/>
            <wp:docPr id="30" name="Image 29" descr="Mechanism-of-action-of-metform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chanism-of-action-of-metformin.png"/>
                    <pic:cNvPicPr/>
                  </pic:nvPicPr>
                  <pic:blipFill>
                    <a:blip r:embed="rId20"/>
                    <a:stretch>
                      <a:fillRect/>
                    </a:stretch>
                  </pic:blipFill>
                  <pic:spPr>
                    <a:xfrm>
                      <a:off x="0" y="0"/>
                      <a:ext cx="3221543" cy="3069144"/>
                    </a:xfrm>
                    <a:prstGeom prst="rect">
                      <a:avLst/>
                    </a:prstGeom>
                  </pic:spPr>
                </pic:pic>
              </a:graphicData>
            </a:graphic>
          </wp:inline>
        </w:drawing>
      </w:r>
    </w:p>
    <w:p w14:paraId="5BCBA155" w14:textId="0B08F6AC" w:rsidR="00664D0A" w:rsidRPr="00664D0A" w:rsidRDefault="00664D0A" w:rsidP="00B139C3">
      <w:pPr>
        <w:rPr>
          <w:lang w:val="fr-FR"/>
        </w:rPr>
      </w:pPr>
      <w:bookmarkStart w:id="47" w:name="_Toc229617293"/>
      <w:r w:rsidRPr="00664D0A">
        <w:rPr>
          <w:lang w:val="fr-FR"/>
        </w:rPr>
        <w:t xml:space="preserve">Figure </w:t>
      </w:r>
      <w:r>
        <w:fldChar w:fldCharType="begin"/>
      </w:r>
      <w:r w:rsidRPr="00664D0A">
        <w:rPr>
          <w:lang w:val="fr-FR"/>
        </w:rPr>
        <w:instrText xml:space="preserve"> SEQ Figure \* ARABIC </w:instrText>
      </w:r>
      <w:r>
        <w:fldChar w:fldCharType="separate"/>
      </w:r>
      <w:r w:rsidR="00983108">
        <w:rPr>
          <w:noProof/>
          <w:lang w:val="fr-FR"/>
        </w:rPr>
        <w:t>3</w:t>
      </w:r>
      <w:r>
        <w:rPr>
          <w:noProof/>
        </w:rPr>
        <w:fldChar w:fldCharType="end"/>
      </w:r>
      <w:r w:rsidRPr="00664D0A">
        <w:rPr>
          <w:lang w:val="fr-FR"/>
        </w:rPr>
        <w:t xml:space="preserve"> :  Mécanisme d’action de la Methformine</w:t>
      </w:r>
      <w:bookmarkEnd w:id="47"/>
    </w:p>
    <w:p w14:paraId="2DF913DF" w14:textId="77777777" w:rsidR="00664D0A" w:rsidRPr="00664D0A" w:rsidRDefault="00664D0A" w:rsidP="00B139C3">
      <w:pPr>
        <w:rPr>
          <w:lang w:val="fr-FR"/>
        </w:rPr>
      </w:pPr>
      <w:r w:rsidRPr="00664D0A">
        <w:rPr>
          <w:lang w:val="fr-FR"/>
        </w:rPr>
        <w:t>A-2/Pharmacocinétique et limites</w:t>
      </w:r>
    </w:p>
    <w:p w14:paraId="477C0B42" w14:textId="77777777" w:rsidR="00664D0A" w:rsidRPr="00664D0A" w:rsidRDefault="00664D0A" w:rsidP="00B139C3">
      <w:pPr>
        <w:rPr>
          <w:lang w:val="fr-FR"/>
        </w:rPr>
      </w:pPr>
      <w:r w:rsidRPr="00664D0A">
        <w:rPr>
          <w:lang w:val="fr-FR"/>
        </w:rPr>
        <w:t>La metformine est absorbée à environ 50 à 60 % lorsqu'elle est prise par voie orale. Elle n'est pas transformée par le foie et est éliminée telle quelle par les reins. Elle ne se lie pas beaucoup aux protéines dans le sang et s'accumule principalement dans le foie, les reins et l'appareil digestif. Chez les personnes ayant des problèmes rénaux, la metformine peut s'accumuler, ce qui nécessite une adaptation de la dose pour éviter les effets secondaires.</w:t>
      </w:r>
    </w:p>
    <w:p w14:paraId="7CC8B41F" w14:textId="1C89697A" w:rsidR="00664D0A" w:rsidRPr="00664D0A" w:rsidRDefault="00664D0A" w:rsidP="00B139C3">
      <w:pPr>
        <w:rPr>
          <w:lang w:val="fr-FR"/>
        </w:rPr>
      </w:pPr>
      <w:r w:rsidRPr="00664D0A">
        <w:rPr>
          <w:lang w:val="fr-FR"/>
        </w:rPr>
        <w:t>La metformine présente une biodisponibilité orale d’environ 50 à 60 %, n’est pas métabolisée par le foie et est éliminée inchangée par voie rénale. Sa liaison aux protéines plasmatiques est négligeable, et elle s’accumule principalement dans le foie, les reins et le tractus gastro-intestinal. Chez les patients présentant une insuffisance rénale, la metformine peut s’accumuler, nécessitant un ajustement posologique afin d’éviter des effets indésirables.</w:t>
      </w:r>
      <w:r w:rsidRPr="00E71797">
        <w:fldChar w:fldCharType="begin"/>
      </w:r>
      <w:r w:rsidR="00116A61">
        <w:rPr>
          <w:lang w:val="fr-FR"/>
        </w:rPr>
        <w:instrText xml:space="preserve"> ADDIN ZOTERO_ITEM CSL_CITATION {"citationID":"6SZHirJE","properties":{"formattedCitation":"(14)","plainCitation":"(14)","noteIndex":0},"citationItems":[{"id":"6VBx8p83/lhlbezHD","uris":["http://zotero.org/users/local/QE2koe11/items/AC9RHBP9"],"itemData":{"id":19,"type":"document","title":"45-2014"}}],"schema":"https://github.com/citation-style-language/schema/raw/master/csl-citation.json"} </w:instrText>
      </w:r>
      <w:r w:rsidRPr="00E71797">
        <w:fldChar w:fldCharType="separate"/>
      </w:r>
      <w:r w:rsidR="006529E5" w:rsidRPr="006529E5">
        <w:rPr>
          <w:rFonts w:ascii="Calibri" w:hAnsi="Calibri"/>
          <w:lang w:val="fr-FR"/>
        </w:rPr>
        <w:t>(14)</w:t>
      </w:r>
      <w:r w:rsidRPr="00E71797">
        <w:fldChar w:fldCharType="end"/>
      </w:r>
      <w:r w:rsidRPr="00664D0A">
        <w:rPr>
          <w:lang w:val="fr-FR"/>
        </w:rPr>
        <w:t> </w:t>
      </w:r>
    </w:p>
    <w:p w14:paraId="3AB2FE9A" w14:textId="77777777" w:rsidR="00664D0A" w:rsidRPr="00664D0A" w:rsidRDefault="00664D0A" w:rsidP="00B139C3">
      <w:pPr>
        <w:rPr>
          <w:lang w:val="fr-FR"/>
        </w:rPr>
      </w:pPr>
      <w:r w:rsidRPr="00664D0A">
        <w:rPr>
          <w:lang w:val="fr-FR"/>
        </w:rPr>
        <w:t>A-3/Les contres indications :</w:t>
      </w:r>
    </w:p>
    <w:p w14:paraId="7FDE1ECD" w14:textId="77777777" w:rsidR="00664D0A" w:rsidRPr="00664D0A" w:rsidRDefault="00664D0A" w:rsidP="00B139C3">
      <w:pPr>
        <w:rPr>
          <w:lang w:val="fr-FR"/>
        </w:rPr>
      </w:pPr>
      <w:r w:rsidRPr="00664D0A">
        <w:rPr>
          <w:lang w:val="fr-FR"/>
        </w:rPr>
        <w:lastRenderedPageBreak/>
        <w:t>Il est généralement conseillé d'éviter la metformine chez les patients présentant une insuffisance rénale importante (débit de filtration glomérulaire estimé à moins de 30 mL/min/1,73 m²), car une mauvaise élimination augmente le risque d'acidose lactique. La metformine est également contre-indiquée chez les patients présentant une acidose métabolique aiguë ou chronique, y compris l'acidocétose diabétique. Il est déconseillé d'utiliser la metformine dans les situations associées à une à l’hypoxie (maladies cardiovasculaires ou respiratoires graves), à une consommation excessive d'alcool ou à une insuffisance hépatique.</w:t>
      </w:r>
    </w:p>
    <w:p w14:paraId="07509BE8" w14:textId="6A78C8AE" w:rsidR="00664D0A" w:rsidRPr="00664D0A" w:rsidRDefault="00664D0A" w:rsidP="00B139C3">
      <w:pPr>
        <w:rPr>
          <w:lang w:val="fr-FR"/>
        </w:rPr>
      </w:pPr>
      <w:r w:rsidRPr="00664D0A">
        <w:rPr>
          <w:lang w:val="fr-FR"/>
        </w:rPr>
        <w:t>La metformine doit généralement être évitée chez les patients présentant une insuffisance rénale significative (débit de filtration glomérulaire estimée &lt; 30 mL/min/1,73 m²), car une excrétion altérée augmente le risque d’acidose lactique. Elle est également contre-indiquée chez les patients présentant une acidose métabolique aiguë ou chronique, y compris l’acidocétose diabétique. La metformine ne doit pas être utilisée dans des situations associées à l’hypoxie (maladies cardiovasculaires ou respiratoires sévères), à une consommation excessive d’alcool ou à une insuffisance hépatique.</w:t>
      </w:r>
      <w:r w:rsidRPr="00E71797">
        <w:fldChar w:fldCharType="begin"/>
      </w:r>
      <w:r w:rsidR="00116A61">
        <w:rPr>
          <w:lang w:val="fr-FR"/>
        </w:rPr>
        <w:instrText xml:space="preserve"> ADDIN ZOTERO_ITEM CSL_CITATION {"citationID":"iphhK97W","properties":{"formattedCitation":"(45)","plainCitation":"(45)","noteIndex":0},"citationItems":[{"id":"6VBx8p83/79LwOxrW","uris":["http://zotero.org/users/local/QE2koe11/items/KS24Z6MP"],"itemData":{"id":127,"type":"webpage","abstract":"Discuss potential for unintended pregnancy with premenopausal women as therapy with metformin/pioglitazone, may result in ovulation in some anovulatory women","language":"en-US","note":"section: Drugs Generic","title":"Metformin/Pioglitazone Uses/Indications Dosage Side effects- DrugsAce","URL":"https://drugsace.com/metformin-pioglitazone/","accessed":{"date-parts":[["2026",2,7]]},"issued":{"date-parts":[["2022",12,19]]}}}],"schema":"https://github.com/citation-style-language/schema/raw/master/csl-citation.json"} </w:instrText>
      </w:r>
      <w:r w:rsidRPr="00E71797">
        <w:fldChar w:fldCharType="separate"/>
      </w:r>
      <w:r w:rsidR="005C4773" w:rsidRPr="005C4773">
        <w:rPr>
          <w:rFonts w:ascii="Calibri" w:hAnsi="Calibri"/>
          <w:lang w:val="fr-FR"/>
        </w:rPr>
        <w:t>(45)</w:t>
      </w:r>
      <w:r w:rsidRPr="00E71797">
        <w:fldChar w:fldCharType="end"/>
      </w:r>
    </w:p>
    <w:p w14:paraId="3A79C974" w14:textId="77777777" w:rsidR="00664D0A" w:rsidRPr="00664D0A" w:rsidRDefault="00664D0A" w:rsidP="00B139C3">
      <w:pPr>
        <w:rPr>
          <w:lang w:val="fr-FR"/>
        </w:rPr>
      </w:pPr>
      <w:r w:rsidRPr="00664D0A">
        <w:rPr>
          <w:lang w:val="fr-FR"/>
        </w:rPr>
        <w:t>A-3/Les effets indésirables :</w:t>
      </w:r>
    </w:p>
    <w:p w14:paraId="6D324D7E" w14:textId="77777777" w:rsidR="00664D0A" w:rsidRPr="00664D0A" w:rsidRDefault="00664D0A" w:rsidP="00B139C3">
      <w:pPr>
        <w:rPr>
          <w:lang w:val="fr-FR"/>
        </w:rPr>
      </w:pPr>
      <w:r w:rsidRPr="00664D0A">
        <w:rPr>
          <w:lang w:val="fr-FR"/>
        </w:rPr>
        <w:t>Les problèmes gastro-intestinaux sont les effets secondaires les plus courants de la metformine, tels que les nausées, les vomissements, la diarrhée et les douleurs abdominales. Un traitement à long terme peut également entraîner une diminution de l'absorption de la vitamine B12. Bien que rare, l'acidose lactique est une complication grave, surtout chez les patients présentant une insuffisance rénale ou d'autres facteurs de risque.</w:t>
      </w:r>
    </w:p>
    <w:p w14:paraId="3DD3B942" w14:textId="7CE9398B" w:rsidR="00664D0A" w:rsidRPr="00664D0A" w:rsidRDefault="00664D0A" w:rsidP="00B139C3">
      <w:pPr>
        <w:rPr>
          <w:lang w:val="fr-FR"/>
        </w:rPr>
      </w:pPr>
      <w:r w:rsidRPr="00664D0A">
        <w:rPr>
          <w:lang w:val="fr-FR"/>
        </w:rPr>
        <w:t>Les effets indésirables gastro-intestinaux sont les réactions les plus fréquemment rapportées avec la metformine, incluant nausées, vomissements, diarrhée et inconfort abdominal. Un traitement à long terme peut également entraîner une diminution de l’absorption de la vitamine B12, et bien que rare, l’acidose lactique reste la complication potentiellement la plus grave, en particulier chez les patients présentant une insuffisance rénale ou d’autres facteurs de risque. </w:t>
      </w:r>
      <w:r w:rsidRPr="00E71797">
        <w:fldChar w:fldCharType="begin"/>
      </w:r>
      <w:r w:rsidR="00116A61">
        <w:rPr>
          <w:lang w:val="fr-FR"/>
        </w:rPr>
        <w:instrText xml:space="preserve"> ADDIN ZOTERO_ITEM CSL_CITATION {"citationID":"2VYAQZYv","properties":{"formattedCitation":"(46)","plainCitation":"(46)","noteIndex":0},"citationItems":[{"id":"6VBx8p83/MaaDnGOS","uris":["http://zotero.org/users/local/QE2koe11/items/7XSUIAB2"],"itemData":{"id":108,"type":"article-journal","abstract":"The management of T2DM requires aggressive treatment to achieve glycemic and cardiovascular risk factor goals. In this setting, metformin, an old and widely accepted first line agent, stands out not only for its antihyperglycemic properties but also for its effects beyond glycemic control such as improvements in endothelial dysfunction, hemostasis and oxidative stress, insulin resistance, lipid profiles, and fat redistribution. These properties may have contributed to the decrease of adverse cardiovascular outcomes otherwise not attributable to metformin’s mere antihyperglycemic effects. Several other classes of oral antidiabetic agents have been recently launched, introducing the need to evaluate the role of metformin as initial therapy and in combination with these newer drugs. There is increasing evidence from in vivo and in vitro studies supporting its anti-proliferative role in cancer and possibly a neuroprotective effect. Metformin’s negligible risk of hypoglycemia in monotherapy and few drug interactions of clinical relevance give this drug a high safety profile. The tolerability of metformin may be improved by using an appropiate dose titration, starting with low doses, so that side-effects can be minimized or by switching to an extended release form. We reviewed the role of metformin in the treatment of patients with type 2 diabetes and describe the additional benefits beyond its glycemic effect. We also discuss its potential role for a variety of insulin resistant and pre-diabetic states, obesity, metabolic abnormalities associated with HIV disease, gestational diabetes, cancer, and neuroprotection.","container-title":"Diabetology &amp; Metabolic Syndrome","DOI":"10.1186/1758-5996-5-6","ISSN":"1758-5996","issue":"1","journalAbbreviation":"Diabetol Metab Syndr","language":"en","page":"6","source":"Springer Link","title":"Metformin: an old but still the best treatment for type 2 diabetes","title-short":"Metformin","volume":"5","author":[{"family":"Rojas","given":"Lilian Beatriz Aguayo"},{"family":"Gomes","given":"Marilia Brito"}],"issued":{"date-parts":[["2013",2,15]]}}}],"schema":"https://github.com/citation-style-language/schema/raw/master/csl-citation.json"} </w:instrText>
      </w:r>
      <w:r w:rsidRPr="00E71797">
        <w:fldChar w:fldCharType="separate"/>
      </w:r>
      <w:r w:rsidR="005C4773" w:rsidRPr="005C4773">
        <w:rPr>
          <w:rFonts w:ascii="Calibri" w:hAnsi="Calibri"/>
          <w:lang w:val="fr-FR"/>
        </w:rPr>
        <w:t>(46)</w:t>
      </w:r>
      <w:r w:rsidRPr="00E71797">
        <w:fldChar w:fldCharType="end"/>
      </w:r>
    </w:p>
    <w:p w14:paraId="7E76F4C3" w14:textId="77777777" w:rsidR="00664D0A" w:rsidRPr="00664D0A" w:rsidRDefault="00664D0A" w:rsidP="00577C0B">
      <w:pPr>
        <w:pStyle w:val="Heading5"/>
        <w:rPr>
          <w:lang w:val="fr-FR"/>
        </w:rPr>
      </w:pPr>
      <w:r w:rsidRPr="00664D0A">
        <w:rPr>
          <w:lang w:val="fr-FR"/>
        </w:rPr>
        <w:t>B/ Les thiazolidinediones : (la rosiglitazone et la pioglitazone) :</w:t>
      </w:r>
    </w:p>
    <w:p w14:paraId="3498CA3C" w14:textId="5CD26E7A" w:rsidR="00664D0A" w:rsidRPr="00664D0A" w:rsidRDefault="00664D0A" w:rsidP="00B139C3">
      <w:pPr>
        <w:rPr>
          <w:lang w:val="fr-FR"/>
        </w:rPr>
      </w:pPr>
      <w:r w:rsidRPr="00664D0A">
        <w:rPr>
          <w:lang w:val="fr-FR"/>
        </w:rPr>
        <w:t>Les thiazolidinediones, représentées par la rosiglitazone et la pioglitazone, sont utilisées chez les patients diabétiques de type 2, seules en monothérapie ou en association avec d'autres médicaments, pour améliorer le contrôle du taux de glycémie dans le sang. Elles sont particulièrement utiles lorsque la résistance à l'insuline est importante et que les autres traitements n'ont pas atteint les objectifs.</w:t>
      </w:r>
      <w:r w:rsidRPr="00E71797">
        <w:fldChar w:fldCharType="begin"/>
      </w:r>
      <w:r w:rsidR="00116A61">
        <w:rPr>
          <w:lang w:val="fr-FR"/>
        </w:rPr>
        <w:instrText xml:space="preserve"> ADDIN ZOTERO_ITEM CSL_CITATION {"citationID":"xSLy66ms","properties":{"formattedCitation":"(47)","plainCitation":"(47)","noteIndex":0},"citationItems":[{"id":"6VBx8p83/iWhtpwtM","uris":["http://zotero.org/users/local/QE2koe11/items/ADQ67VV5"],"itemData":{"id":110,"type":"article-journal","abstract":"Thiazolidinediones are a powerful and clinically important new class of oral antidiabetic agents that act by improving insulin sensitivity. Troglitazone is the prototype drug in this class but was withdrawn from the market in March 2000 due to its association with idiosyncratic hepatotoxicity. Currently two thiazolidinediones, rosiglitazone and pioglitazone, are U.S. Food and Drug Administration (FDA) approved for treatment of type 2 diabetes. These agents bind to and activate peroxisome proliferator-activator receptor gamma (PPAR-gamma) and work by altering the expression of genes involved in glucose uptake, glucose disposal, and lipid metabolism. The drugs differ in receptor binding and potency due to differences in their side chain moieties. These agents are rapidly absorbed from the gastrointestinal tract and are metabolized mainly in the liver. Rosiglitazone is FDA approved for monotherapy and for use in combination therapy with metformin or sulfonylureas. Pioglitazone is FDA approved for monotherapy as well as for use in combination therapy with metformin, insulin, or sulfonylureas. These drugs may also cause significant changes in plasma lipid concentrations, and improved insulin sensitivity may improve ovulatory function and fertility in women with polycystic ovary syndrome. The most serious side effect of the thiazolidinediones is hepatotoxicity. Although rosiglitazone and pioglitazone were not associated with hepatotoxicity in premarketing clinical trials, there were two recent case reports of idiosyncratic hepatotoxicity in patients treated with rosiglitazone. In addition, these agents may be associated with edema and some hematological changes. The purpose of this review is to provide an overview of the two currently approved thiazolidinediones and to suggest an approach for their safe and rational use.","container-title":"Diabetes Technology &amp; Therapeutics","DOI":"10.1089/15209150050194297","ISSN":"1520-9156","issue":"3","journalAbbreviation":"Diabetes Technol Ther","language":"eng","page":"429-440","PMID":"11467345","source":"PubMed","title":"Thiazolidinediones: a comparative review of approved uses","title-short":"Thiazolidinediones","volume":"2","author":[{"family":"Sood","given":"V."},{"family":"Colleran","given":"K."},{"family":"Burge","given":"M. R."}],"issued":{"date-parts":[["2000"]]}}}],"schema":"https://github.com/citation-style-language/schema/raw/master/csl-citation.json"} </w:instrText>
      </w:r>
      <w:r w:rsidRPr="00E71797">
        <w:fldChar w:fldCharType="separate"/>
      </w:r>
      <w:r w:rsidR="005C4773" w:rsidRPr="005C4773">
        <w:rPr>
          <w:rFonts w:ascii="Calibri" w:hAnsi="Calibri"/>
          <w:lang w:val="fr-FR"/>
        </w:rPr>
        <w:t>(47)</w:t>
      </w:r>
      <w:r w:rsidRPr="00E71797">
        <w:fldChar w:fldCharType="end"/>
      </w:r>
    </w:p>
    <w:p w14:paraId="64934120" w14:textId="0F803055" w:rsidR="00664D0A" w:rsidRPr="00664D0A" w:rsidRDefault="00664D0A" w:rsidP="00B139C3">
      <w:pPr>
        <w:rPr>
          <w:lang w:val="fr-FR"/>
        </w:rPr>
      </w:pPr>
      <w:r w:rsidRPr="00664D0A">
        <w:rPr>
          <w:lang w:val="fr-FR"/>
        </w:rPr>
        <w:t>Les thiazolidinediones, actuellement représentées par la rosiglitazone et la pioglitazone, sont utilisées chez les patients atteints de diabète de type 2 soit en monothérapie, soit en association avec des sulfamides hypoglycémiants, la metformine ou l’insuline, afin d’améliorer le contrôle glycémique. En particulier, elles sont utiles dans les cas où la résistance à l’insuline constitue une caractéristique prédominante et lorsque les autres traitements antidiabétiques n’ont pas permis d’atteindre les objectifs glycémiques.</w:t>
      </w:r>
      <w:r w:rsidRPr="00E71797">
        <w:fldChar w:fldCharType="begin"/>
      </w:r>
      <w:r w:rsidR="00116A61">
        <w:rPr>
          <w:lang w:val="fr-FR"/>
        </w:rPr>
        <w:instrText xml:space="preserve"> ADDIN ZOTERO_ITEM CSL_CITATION {"citationID":"WXPuhX0t","properties":{"formattedCitation":"(48)","plainCitation":"(48)","noteIndex":0},"citationItems":[{"id":"6VBx8p83/g1b2YtNN","uris":["http://zotero.org/users/local/QE2koe11/items/365TF6FY"],"itemData":{"id":122,"type":"article-journal","abstract":"OBJECTIVE: To review evidence supporting use of thiazolidinediones (TZDs) in management of type 2 diabetes mellitus (DM2).\nQUALITY OF EVIDENCE: A MEDLINE search found several randomized controlled trials (level I evidence). No systematic reviews of these trials were found in the Cochrane Library.\nMAIN MESSAGE: Thiazolidinediones lower hemoglobin AIc levels by as much as 1.0% to 1.5%. Effects can be seen in as little as 4 weeks, but full lowering takes 6 to 12 weeks. When used in combination with other diabetic agents, such as sulfonylureas and biguanides, TZDs' hypoglycemic effects appear to be complementary. Thiazolidinediones directly improve insulin sensitivity and recovery of pancreatic beta cell function. Nevertheless, there is no evidence indicating that TZDs are superior to other antidiabetic agents currently available or that TZDs reduce the long-term complications of DM2.\nCONCLUSION: Ongoing trials will further define the role of TZDs in management of diabetic patients. In current practice, cost is often a factor in the decision to prescribe TZDs.","container-title":"Canadian Family Physician Medecin De Famille Canadien","ISSN":"0008-350X","issue":"5","journalAbbreviation":"Can Fam Physician","language":"eng","page":"683-687","PMID":"15934272","PMCID":"PMC1472920","source":"PubMed","title":"Management of type 2 diabetes mellitus. Role of thiazolidinediones","volume":"51","author":[{"family":"Noble","given":"Jason"},{"family":"Baerlocher","given":"Mark O."},{"family":"Silverberg","given":"Jay"}],"issued":{"date-parts":[["2005",5]]}}}],"schema":"https://github.com/citation-style-language/schema/raw/master/csl-citation.json"} </w:instrText>
      </w:r>
      <w:r w:rsidRPr="00E71797">
        <w:fldChar w:fldCharType="separate"/>
      </w:r>
      <w:r w:rsidR="005C4773" w:rsidRPr="005C4773">
        <w:rPr>
          <w:rFonts w:ascii="Calibri" w:hAnsi="Calibri"/>
          <w:lang w:val="fr-FR"/>
        </w:rPr>
        <w:t>(48)</w:t>
      </w:r>
      <w:r w:rsidRPr="00E71797">
        <w:fldChar w:fldCharType="end"/>
      </w:r>
    </w:p>
    <w:p w14:paraId="003666F5" w14:textId="77777777" w:rsidR="00664D0A" w:rsidRPr="00664D0A" w:rsidRDefault="00664D0A" w:rsidP="00B139C3">
      <w:pPr>
        <w:rPr>
          <w:lang w:val="fr-FR"/>
        </w:rPr>
      </w:pPr>
      <w:r w:rsidRPr="00664D0A">
        <w:rPr>
          <w:lang w:val="fr-FR"/>
        </w:rPr>
        <w:t>B-1/La Mécanisme d’action :</w:t>
      </w:r>
    </w:p>
    <w:p w14:paraId="421881EC" w14:textId="77777777" w:rsidR="00664D0A" w:rsidRPr="00664D0A" w:rsidRDefault="00664D0A" w:rsidP="00B139C3">
      <w:pPr>
        <w:rPr>
          <w:lang w:val="fr-FR"/>
        </w:rPr>
      </w:pPr>
      <w:r w:rsidRPr="00664D0A">
        <w:rPr>
          <w:lang w:val="fr-FR"/>
        </w:rPr>
        <w:t xml:space="preserve">Les thiazolidinediones agissent en se liant au récepteur PPAR </w:t>
      </w:r>
      <w:r w:rsidRPr="00E71797">
        <w:t>γ</w:t>
      </w:r>
      <w:r w:rsidRPr="00664D0A">
        <w:rPr>
          <w:lang w:val="fr-FR"/>
        </w:rPr>
        <w:t xml:space="preserve">, un facteur de transcription qui régule les gènes impliqués dans le métabolisme du glucose et des lipides. L'activation de </w:t>
      </w:r>
      <w:r w:rsidRPr="00664D0A">
        <w:rPr>
          <w:lang w:val="fr-FR"/>
        </w:rPr>
        <w:lastRenderedPageBreak/>
        <w:t>ce récepteur réduit la résistance à l'insuline dans les tissus, améliorant ainsi l'utilisation du glucose par l'organisme.</w:t>
      </w:r>
    </w:p>
    <w:p w14:paraId="413D0810" w14:textId="77777777" w:rsidR="00664D0A" w:rsidRPr="00664D0A" w:rsidRDefault="00664D0A" w:rsidP="00B139C3">
      <w:pPr>
        <w:rPr>
          <w:lang w:val="fr-FR"/>
        </w:rPr>
      </w:pPr>
      <w:r w:rsidRPr="00664D0A">
        <w:rPr>
          <w:lang w:val="fr-FR"/>
        </w:rPr>
        <w:t>Elles améliorent le contrôle glycémique en réduisant le taux d'HbA1c et en augmentant la sensibilité à l'insuline. Utilisées seules ou avec d'autres médicaments, les TZD peuvent améliorer la tolérance au glucose et la capture du glucose dépendante de l'insuline.</w:t>
      </w:r>
    </w:p>
    <w:p w14:paraId="5D6B210E" w14:textId="77777777" w:rsidR="00664D0A" w:rsidRPr="00664D0A" w:rsidRDefault="00664D0A" w:rsidP="00B139C3">
      <w:pPr>
        <w:rPr>
          <w:lang w:val="fr-FR"/>
        </w:rPr>
      </w:pPr>
      <w:r w:rsidRPr="00664D0A">
        <w:rPr>
          <w:lang w:val="fr-FR"/>
        </w:rPr>
        <w:t xml:space="preserve">Le mécanisme d’action des thiazolidinediones implique la liaison au récepteur activé par les proliférateurs de peroxysomes gamma (PPAR </w:t>
      </w:r>
      <w:r w:rsidRPr="00E71797">
        <w:t>γ</w:t>
      </w:r>
      <w:r w:rsidRPr="00664D0A">
        <w:rPr>
          <w:lang w:val="fr-FR"/>
        </w:rPr>
        <w:t xml:space="preserve">), un facteur de transcription nucléaire qui régule les gènes impliqués dans le métabolisme du glucose et des lipides. L’activation du PPAR </w:t>
      </w:r>
      <w:r w:rsidRPr="00E71797">
        <w:t>γ</w:t>
      </w:r>
      <w:r w:rsidRPr="00664D0A">
        <w:rPr>
          <w:lang w:val="fr-FR"/>
        </w:rPr>
        <w:t xml:space="preserve"> diminue la résistance à l’insuline dans le tissu adipeux, le muscle et le foie, améliorant ainsi la captation et l’utilisation du glucose.</w:t>
      </w:r>
    </w:p>
    <w:p w14:paraId="71E00EB8" w14:textId="6CB62E3D" w:rsidR="00664D0A" w:rsidRPr="00664D0A" w:rsidRDefault="00664D0A" w:rsidP="00B139C3">
      <w:pPr>
        <w:rPr>
          <w:lang w:val="fr-FR" w:bidi="ar-DZ"/>
        </w:rPr>
      </w:pPr>
      <w:r w:rsidRPr="00664D0A">
        <w:rPr>
          <w:lang w:val="fr-FR"/>
        </w:rPr>
        <w:t>Ils améliorent le contrôle glycémique en abaissant le taux d’HbA1c et en augmentant la sensibilité à l’insuline. Utilisées seules ou en association avec d’autres agents antidiabétiques, les TZD peuvent améliorer la tolérance au glucose et la capture du glucose dépendante de l’insuline, ce qui les rend efficaces pour traiter le défaut central du diabète de type 2 : la résistance à l’insuline</w:t>
      </w:r>
      <w:r w:rsidRPr="00E71797">
        <w:fldChar w:fldCharType="begin"/>
      </w:r>
      <w:r w:rsidR="00116A61">
        <w:rPr>
          <w:lang w:val="fr-FR"/>
        </w:rPr>
        <w:instrText xml:space="preserve"> ADDIN ZOTERO_ITEM CSL_CITATION {"citationID":"4MW073pE","properties":{"formattedCitation":"(49)","plainCitation":"(49)","noteIndex":0},"citationItems":[{"id":"6VBx8p83/xuI2rrTq","uris":["http://zotero.org/users/local/QE2koe11/items/XUUDPNAH"],"itemData":{"id":112,"type":"article-journal","abstract":"The role of thiazolidinediones (currently rosiglitazone and pioglitazone) in the treatment of Type 2 diabetes is firmly established. The mechanism of action involves binding to the peroxisome proliferator-activated receptor-gamma, a transcription factor that regulates the expression of specific genes especially in fat cells but also other cell types such as endothelial cells, macrophages and monocytes, vascular smooth muscle cells and colonic epithelium. Thiazolidinediones have been shown to interfere with expression and release of mediators of insulin resistance originating in adipose tissue (e.g., increased free fatty acids, decreased adiponectin) in a way that results in net improvement of insulin sensitivity (i.e., in muscle and liver). A direct or indirect effect on AMP-dependent protein kinase may also be involved. Prevention of lipid accumulation in tissues critical to glycaemia such as visceral adipocytes, liver, muscle and beta-cells at the expense of lipids accumulating at the less harmful subcutaneous site may be central to their net metabolic effect. The sustained beneficial effect of troglitazone on beta-cell function in women with previous gestational diabetes in addition to the insulin-sensitising properties point to an important role of this class of drugs in the prevention of Type 2 diabetes. Original safety concerns based on animal and in vitro studies (e.g., fatty bone marrow transformation, colonic cancer, adipogenic transdifferentiation of blood cells) remain theoretical issues but become less pressing practically with prolonged uneventful clinical use. Hepatotoxicity for troglitazone and fluid retention, which can aggravate pre-existing heart failure, are the most important side effects. In summary, with the thiazolidinediones, a novel concept for the treatment of insulin resistance and possibly preservation of beta-cell function is available that could become effective in the prevention of Type 2 diabetes. Moreover, their anti-inflammatory properties also make them interesting in the prevention and treatment of atherosclerosis and possibly other inflammatory conditions (e.g., inflammatory bowel disease). Long-term data will be necessary for a final risk-benefit assessment of these substances.","container-title":"Expert Opinion on Investigational Drugs","DOI":"10.1517/13543784.12.7.1179","ISSN":"1354-3784","issue":"7","journalAbbreviation":"Expert Opin Investig Drugs","language":"eng","page":"1179-1187","PMID":"12831352","source":"PubMed","title":"Thiazolidinediones -- some recent developments","volume":"12","author":[{"family":"Stumvoll","given":"Michael"}],"issued":{"date-parts":[["2003",7]]}}}],"schema":"https://github.com/citation-style-language/schema/raw/master/csl-citation.json"} </w:instrText>
      </w:r>
      <w:r w:rsidRPr="00E71797">
        <w:fldChar w:fldCharType="separate"/>
      </w:r>
      <w:r w:rsidR="005C4773" w:rsidRPr="005C4773">
        <w:rPr>
          <w:rFonts w:ascii="Calibri" w:hAnsi="Calibri"/>
          <w:lang w:val="fr-FR"/>
        </w:rPr>
        <w:t>(49)</w:t>
      </w:r>
      <w:r w:rsidRPr="00E71797">
        <w:fldChar w:fldCharType="end"/>
      </w:r>
    </w:p>
    <w:p w14:paraId="3BA1939E" w14:textId="77777777" w:rsidR="00664D0A" w:rsidRPr="00664D0A" w:rsidRDefault="00664D0A" w:rsidP="00B139C3">
      <w:pPr>
        <w:rPr>
          <w:lang w:val="fr-FR"/>
        </w:rPr>
      </w:pPr>
      <w:r w:rsidRPr="00E71797">
        <w:rPr>
          <w:noProof/>
          <w:lang w:val="fr-FR" w:eastAsia="fr-FR"/>
        </w:rPr>
        <w:drawing>
          <wp:inline distT="0" distB="0" distL="0" distR="0" wp14:anchorId="38930986" wp14:editId="7BE130BE">
            <wp:extent cx="3981450" cy="2239566"/>
            <wp:effectExtent l="19050" t="0" r="0" b="0"/>
            <wp:docPr id="31" name="Image 30" descr="tz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zds.png"/>
                    <pic:cNvPicPr/>
                  </pic:nvPicPr>
                  <pic:blipFill>
                    <a:blip r:embed="rId21"/>
                    <a:stretch>
                      <a:fillRect/>
                    </a:stretch>
                  </pic:blipFill>
                  <pic:spPr>
                    <a:xfrm>
                      <a:off x="0" y="0"/>
                      <a:ext cx="3983792" cy="2240883"/>
                    </a:xfrm>
                    <a:prstGeom prst="rect">
                      <a:avLst/>
                    </a:prstGeom>
                  </pic:spPr>
                </pic:pic>
              </a:graphicData>
            </a:graphic>
          </wp:inline>
        </w:drawing>
      </w:r>
    </w:p>
    <w:p w14:paraId="40A8E818" w14:textId="350DA90F" w:rsidR="00664D0A" w:rsidRPr="00664D0A" w:rsidRDefault="00664D0A" w:rsidP="00B139C3">
      <w:pPr>
        <w:rPr>
          <w:lang w:val="fr-FR" w:bidi="ar-DZ"/>
        </w:rPr>
      </w:pPr>
      <w:bookmarkStart w:id="48" w:name="_Toc229617294"/>
      <w:r w:rsidRPr="00664D0A">
        <w:rPr>
          <w:lang w:val="fr-FR"/>
        </w:rPr>
        <w:t xml:space="preserve">Figure </w:t>
      </w:r>
      <w:r>
        <w:fldChar w:fldCharType="begin"/>
      </w:r>
      <w:r w:rsidRPr="00664D0A">
        <w:rPr>
          <w:lang w:val="fr-FR"/>
        </w:rPr>
        <w:instrText xml:space="preserve"> SEQ Figure \* ARABIC </w:instrText>
      </w:r>
      <w:r>
        <w:fldChar w:fldCharType="separate"/>
      </w:r>
      <w:r w:rsidR="00983108">
        <w:rPr>
          <w:noProof/>
          <w:lang w:val="fr-FR"/>
        </w:rPr>
        <w:t>4</w:t>
      </w:r>
      <w:r>
        <w:rPr>
          <w:noProof/>
        </w:rPr>
        <w:fldChar w:fldCharType="end"/>
      </w:r>
      <w:r w:rsidRPr="00664D0A">
        <w:rPr>
          <w:noProof/>
          <w:lang w:val="fr-FR"/>
        </w:rPr>
        <w:t xml:space="preserve"> : Le mécanisme d’action des thiazolidinediones</w:t>
      </w:r>
      <w:bookmarkEnd w:id="48"/>
    </w:p>
    <w:p w14:paraId="2ADCB670" w14:textId="77777777" w:rsidR="00664D0A" w:rsidRPr="00664D0A" w:rsidRDefault="00664D0A" w:rsidP="00B139C3">
      <w:pPr>
        <w:rPr>
          <w:lang w:val="fr-FR"/>
        </w:rPr>
      </w:pPr>
      <w:r w:rsidRPr="00664D0A">
        <w:rPr>
          <w:lang w:val="fr-FR"/>
        </w:rPr>
        <w:t xml:space="preserve">B-2/Pharmacocinétique et </w:t>
      </w:r>
      <w:proofErr w:type="gramStart"/>
      <w:r w:rsidRPr="00664D0A">
        <w:rPr>
          <w:lang w:val="fr-FR"/>
        </w:rPr>
        <w:t>limites:</w:t>
      </w:r>
      <w:proofErr w:type="gramEnd"/>
    </w:p>
    <w:p w14:paraId="704FB8BB" w14:textId="77777777" w:rsidR="00664D0A" w:rsidRPr="00664D0A" w:rsidRDefault="00664D0A" w:rsidP="00B139C3">
      <w:pPr>
        <w:rPr>
          <w:color w:val="2B2D38"/>
          <w:lang w:val="fr-FR"/>
        </w:rPr>
      </w:pPr>
      <w:r w:rsidRPr="00664D0A">
        <w:rPr>
          <w:color w:val="2B2D38"/>
          <w:lang w:val="fr-FR"/>
        </w:rPr>
        <w:t>La rosiglitazone et la pioglitazone sont bien absorbées par le corps après administration orale. Elles sont fortement liées aux protéines dans le sang et sont métabolisées dans le foie.</w:t>
      </w:r>
    </w:p>
    <w:p w14:paraId="3D6EDA2A" w14:textId="77777777" w:rsidR="00664D0A" w:rsidRPr="00664D0A" w:rsidRDefault="00664D0A" w:rsidP="00B139C3">
      <w:pPr>
        <w:rPr>
          <w:color w:val="2B2D38"/>
          <w:lang w:val="fr-FR"/>
        </w:rPr>
      </w:pPr>
      <w:r w:rsidRPr="00664D0A">
        <w:rPr>
          <w:color w:val="2B2D38"/>
          <w:lang w:val="fr-FR"/>
        </w:rPr>
        <w:t xml:space="preserve">La rosiglitazone est principalement transformée par un enzyme appelé CYP2C8, tandis que la pioglitazone est transformée par les enzymes CYP3A4 et CYP2C8. Les métabolites sont </w:t>
      </w:r>
      <w:proofErr w:type="gramStart"/>
      <w:r w:rsidRPr="00664D0A">
        <w:rPr>
          <w:color w:val="2B2D38"/>
          <w:lang w:val="fr-FR"/>
        </w:rPr>
        <w:t>éliminées</w:t>
      </w:r>
      <w:proofErr w:type="gramEnd"/>
      <w:r w:rsidRPr="00664D0A">
        <w:rPr>
          <w:color w:val="2B2D38"/>
          <w:lang w:val="fr-FR"/>
        </w:rPr>
        <w:t xml:space="preserve"> dans l'urine et dans la bile. Le début d’action est lent ; Il faut plusieurs semaines pour que ces médicaments aient un effet maximal, et il est important de surveiller de près la fonction du foie en raison des effets potentiels sur le foie.</w:t>
      </w:r>
    </w:p>
    <w:p w14:paraId="60B45D64" w14:textId="77777777" w:rsidR="00664D0A" w:rsidRPr="00664D0A" w:rsidRDefault="00664D0A" w:rsidP="00B139C3">
      <w:pPr>
        <w:rPr>
          <w:color w:val="2B2D38"/>
          <w:lang w:val="fr-FR"/>
        </w:rPr>
      </w:pPr>
      <w:r w:rsidRPr="00664D0A">
        <w:rPr>
          <w:color w:val="2B2D38"/>
          <w:lang w:val="fr-FR"/>
        </w:rPr>
        <w:t xml:space="preserve">La rosiglitazone et la pioglitazone sont toutes deux bien absorbées après administration orale, fortement liées aux protéines plasmatiques et largement métabolisée dans le foie. La rosiglitazone est principalement métabolisée par le CYP2C8, tandis que la pioglitazone est métabolisée par les enzymes CYP3A4 et CYP2C8, les métabolites étant excrétés dans l’urine et dans la bile. Le début d’action est lent, nécessitant plusieurs semaines pour obtenir un effet </w:t>
      </w:r>
      <w:r w:rsidRPr="00664D0A">
        <w:rPr>
          <w:color w:val="2B2D38"/>
          <w:lang w:val="fr-FR"/>
        </w:rPr>
        <w:lastRenderedPageBreak/>
        <w:t xml:space="preserve">maximal, et un suivi attentif de la fonction hépatique est recommandé en raison des effets potentiels sur le </w:t>
      </w:r>
      <w:proofErr w:type="gramStart"/>
      <w:r w:rsidRPr="00664D0A">
        <w:rPr>
          <w:color w:val="2B2D38"/>
          <w:lang w:val="fr-FR"/>
        </w:rPr>
        <w:t>foie.(</w:t>
      </w:r>
      <w:proofErr w:type="gramEnd"/>
      <w:r w:rsidRPr="00664D0A">
        <w:rPr>
          <w:color w:val="2B2D38"/>
          <w:lang w:val="fr-FR"/>
        </w:rPr>
        <w:t>23)</w:t>
      </w:r>
    </w:p>
    <w:p w14:paraId="026FA0E5" w14:textId="77777777" w:rsidR="00664D0A" w:rsidRPr="00664D0A" w:rsidRDefault="00664D0A" w:rsidP="00B139C3">
      <w:pPr>
        <w:rPr>
          <w:color w:val="2B2D38"/>
          <w:lang w:val="fr-FR"/>
        </w:rPr>
      </w:pPr>
      <w:r w:rsidRPr="00664D0A">
        <w:rPr>
          <w:color w:val="2B2D38"/>
          <w:lang w:val="fr-FR"/>
        </w:rPr>
        <w:t>B-3/Les effets indésirables :</w:t>
      </w:r>
    </w:p>
    <w:p w14:paraId="0F7C2352" w14:textId="77777777" w:rsidR="00664D0A" w:rsidRPr="00664D0A" w:rsidRDefault="00664D0A" w:rsidP="00B139C3">
      <w:pPr>
        <w:rPr>
          <w:color w:val="2B2D38"/>
          <w:lang w:val="fr-FR"/>
        </w:rPr>
      </w:pPr>
      <w:r w:rsidRPr="00664D0A">
        <w:rPr>
          <w:color w:val="2B2D38"/>
          <w:lang w:val="fr-FR"/>
        </w:rPr>
        <w:t>Les effets indésirables les plus fréquents des thiazolidinediones incluent la prise de poids et la rétention d'eau, ce qui peut causer des œdèmes des pieds et des jambes et aggraver ou déclencher une insuffisance cardiaque chez les patients qui y sont sensibles. Même si cela est rare, des cas d’hépatotoxicité et de complications cardiovasculaires ont également été signalés, ce qui nécessite une surveillance régulière.</w:t>
      </w:r>
    </w:p>
    <w:p w14:paraId="2863C820" w14:textId="15E57DC7" w:rsidR="00664D0A" w:rsidRPr="00664D0A" w:rsidRDefault="00664D0A" w:rsidP="00B139C3">
      <w:pPr>
        <w:rPr>
          <w:color w:val="2B2D38"/>
          <w:lang w:val="fr-FR"/>
        </w:rPr>
      </w:pPr>
      <w:r w:rsidRPr="00664D0A">
        <w:rPr>
          <w:color w:val="2B2D38"/>
          <w:lang w:val="fr-FR"/>
        </w:rPr>
        <w:t>Les effets indésirables les plus fréquents associés aux thiazolidinediones comprennent la prise de poids et la rétention hydrique, pouvant entraîner un œdème périphérique et aggraver ou déclencher une insuffisance cardiaque chez les patients susceptibles. Bien que rares, des cas d’hépatotoxicité et de complications cardiovasculaires ont également été rapportés, nécessitant une surveillance régulière.</w:t>
      </w:r>
      <w:r w:rsidRPr="00E71797">
        <w:rPr>
          <w:color w:val="2B2D38"/>
        </w:rPr>
        <w:fldChar w:fldCharType="begin"/>
      </w:r>
      <w:r w:rsidR="00116A61">
        <w:rPr>
          <w:color w:val="2B2D38"/>
          <w:lang w:val="fr-FR"/>
        </w:rPr>
        <w:instrText xml:space="preserve"> ADDIN ZOTERO_ITEM CSL_CITATION {"citationID":"4VTQKr6m","properties":{"formattedCitation":"(50)","plainCitation":"(50)","noteIndex":0},"citationItems":[{"id":"6VBx8p83/KjuZEmOI","uris":["http://zotero.org/users/local/QE2koe11/items/MQLS8E2P"],"itemData":{"id":116,"type":"article-journal","abstract":"Thiazolidinediones (TZDs), rosiglitazone (RGZ) and pioglitazone (PGZ) are widely used as hypoglycemic drugs in patients with type 2 diabetes mellitus. The aim of our study was to investigate the profile of adverse drug reactions (ADRs) related to TZDs and to investigate potential risk factors of these ADRs.","container-title":"BMC Clinical Pharmacology","DOI":"10.1186/1472-6904-11-5","ISSN":"1472-6904","issue":"1","journalAbbreviation":"BMC Clin Pharmacol","language":"en","page":"5","source":"Springer Link","title":"Drug safety of rosiglitazone and pioglitazone in France: a study using the French PharmacoVigilance database","title-short":"Drug safety of rosiglitazone and pioglitazone in France","volume":"11","author":[{"family":"Berthet","given":"Stephanie"},{"family":"Olivier","given":"Pascale"},{"family":"Montastruc","given":"Jean-Louis"},{"family":"Lapeyre-Mestre","given":"Maryse"}],"issued":{"date-parts":[["2011",5,24]]}}}],"schema":"https://github.com/citation-style-language/schema/raw/master/csl-citation.json"} </w:instrText>
      </w:r>
      <w:r w:rsidRPr="00E71797">
        <w:rPr>
          <w:color w:val="2B2D38"/>
        </w:rPr>
        <w:fldChar w:fldCharType="separate"/>
      </w:r>
      <w:r w:rsidR="005C4773" w:rsidRPr="005C4773">
        <w:rPr>
          <w:rFonts w:ascii="Calibri" w:hAnsi="Calibri"/>
          <w:lang w:val="fr-FR"/>
        </w:rPr>
        <w:t>(50)</w:t>
      </w:r>
      <w:r w:rsidRPr="00E71797">
        <w:rPr>
          <w:color w:val="2B2D38"/>
        </w:rPr>
        <w:fldChar w:fldCharType="end"/>
      </w:r>
    </w:p>
    <w:p w14:paraId="17013B1C" w14:textId="77777777" w:rsidR="00664D0A" w:rsidRPr="00664D0A" w:rsidRDefault="00664D0A" w:rsidP="00B139C3">
      <w:pPr>
        <w:rPr>
          <w:color w:val="2B2D38"/>
          <w:lang w:val="fr-FR"/>
        </w:rPr>
      </w:pPr>
      <w:r w:rsidRPr="00664D0A">
        <w:rPr>
          <w:color w:val="2B2D38"/>
          <w:lang w:val="fr-FR"/>
        </w:rPr>
        <w:t>B-4/Les contre indications :</w:t>
      </w:r>
    </w:p>
    <w:p w14:paraId="25455F97" w14:textId="77777777" w:rsidR="00664D0A" w:rsidRPr="00664D0A" w:rsidRDefault="00664D0A" w:rsidP="00B139C3">
      <w:pPr>
        <w:rPr>
          <w:color w:val="2B2D38"/>
          <w:lang w:val="fr-FR"/>
        </w:rPr>
      </w:pPr>
      <w:r w:rsidRPr="00664D0A">
        <w:rPr>
          <w:color w:val="2B2D38"/>
          <w:lang w:val="fr-FR"/>
        </w:rPr>
        <w:t>L'autorisation de mise sur le marché européen pour les thiazolidinediones, comme la rosiglitazone et la pioglitazone, indique qu'elles ne doivent pas être utilisées par les patients qui ont des insuffisances cardiaques ou des antécédents d’insuffisance cardiaque.</w:t>
      </w:r>
    </w:p>
    <w:p w14:paraId="7170E318" w14:textId="35865587" w:rsidR="00664D0A" w:rsidRPr="00664D0A" w:rsidRDefault="00664D0A" w:rsidP="00B139C3">
      <w:pPr>
        <w:rPr>
          <w:color w:val="2B2D38"/>
          <w:lang w:val="fr-FR"/>
        </w:rPr>
      </w:pPr>
      <w:r w:rsidRPr="00664D0A">
        <w:rPr>
          <w:color w:val="2B2D38"/>
          <w:lang w:val="fr-FR"/>
        </w:rPr>
        <w:t>Les thiazolidinediones ne sont pas non plus recommandées pour les patients qui sont classe NYHA III ou IV    et doivent être évitées lorsqu'elles sont associées à l'insuline en raison du risque accru de rétention hydrique et d'aggravation des problèmes de cœur.</w:t>
      </w:r>
      <w:r w:rsidRPr="00E71797">
        <w:rPr>
          <w:color w:val="2B2D38"/>
        </w:rPr>
        <w:fldChar w:fldCharType="begin"/>
      </w:r>
      <w:r w:rsidR="00116A61">
        <w:rPr>
          <w:color w:val="2B2D38"/>
          <w:lang w:val="fr-FR"/>
        </w:rPr>
        <w:instrText xml:space="preserve"> ADDIN ZOTERO_ITEM CSL_CITATION {"citationID":"Jg0PRVz0","properties":{"formattedCitation":"(51)","plainCitation":"(51)","noteIndex":0},"citationItems":[{"id":"6VBx8p83/o7Pwtznh","uris":["http://zotero.org/users/local/QE2koe11/items/3IEHMAA6"],"itemData":{"id":118,"type":"webpage","abstract":"Précautions d'emploi et contre-indications des thiazolidinediones","container-title":"EM-Consulte","language":"fr","title":"Précautions d'emploi et contre-indications des thiazolidinediones","URL":"https://www.em-consulte.com/article/75486/precautions-d-emploi-et-contre-indications-des-thi","author":[{"family":"Masson","given":"Elsevier"}],"accessed":{"date-parts":[["2026",2,7]]}}}],"schema":"https://github.com/citation-style-language/schema/raw/master/csl-citation.json"} </w:instrText>
      </w:r>
      <w:r w:rsidRPr="00E71797">
        <w:rPr>
          <w:color w:val="2B2D38"/>
        </w:rPr>
        <w:fldChar w:fldCharType="separate"/>
      </w:r>
      <w:r w:rsidR="005C4773" w:rsidRPr="005C4773">
        <w:rPr>
          <w:rFonts w:ascii="Calibri" w:hAnsi="Calibri"/>
          <w:lang w:val="fr-FR"/>
        </w:rPr>
        <w:t>(51)</w:t>
      </w:r>
      <w:r w:rsidRPr="00E71797">
        <w:rPr>
          <w:color w:val="2B2D38"/>
        </w:rPr>
        <w:fldChar w:fldCharType="end"/>
      </w:r>
      <w:r w:rsidRPr="00E71797">
        <w:rPr>
          <w:color w:val="2B2D38"/>
        </w:rPr>
        <w:fldChar w:fldCharType="begin"/>
      </w:r>
      <w:r w:rsidR="00116A61">
        <w:rPr>
          <w:color w:val="2B2D38"/>
          <w:lang w:val="fr-FR"/>
        </w:rPr>
        <w:instrText xml:space="preserve"> ADDIN ZOTERO_ITEM CSL_CITATION {"citationID":"P7Miw1dl","properties":{"formattedCitation":"(52)","plainCitation":"(52)","noteIndex":0},"citationItems":[{"id":"6VBx8p83/OMh8kccy","uris":["http://zotero.org/users/local/QE2koe11/items/JMIWHF7C"],"itemData":{"id":120,"type":"webpage","abstract":"Comprehensive disease interaction information for metformin/pioglitazone systemic. Includes Metformin - lactic acidosis.","container-title":"Drugs.com","language":"en","title":"Metformin/pioglitazone Disease Interactions","URL":"https://www.drugs.com/disease-interactions/metformin-pioglitazone.html","accessed":{"date-parts":[["2026",2,7]]}}}],"schema":"https://github.com/citation-style-language/schema/raw/master/csl-citation.json"} </w:instrText>
      </w:r>
      <w:r w:rsidRPr="00E71797">
        <w:rPr>
          <w:color w:val="2B2D38"/>
        </w:rPr>
        <w:fldChar w:fldCharType="separate"/>
      </w:r>
      <w:r w:rsidR="005C4773" w:rsidRPr="005C4773">
        <w:rPr>
          <w:rFonts w:ascii="Calibri" w:hAnsi="Calibri"/>
          <w:lang w:val="fr-FR"/>
        </w:rPr>
        <w:t>(52)</w:t>
      </w:r>
      <w:r w:rsidRPr="00E71797">
        <w:rPr>
          <w:color w:val="2B2D38"/>
        </w:rPr>
        <w:fldChar w:fldCharType="end"/>
      </w:r>
    </w:p>
    <w:p w14:paraId="29015086" w14:textId="06B88878" w:rsidR="00664D0A" w:rsidRPr="00F96B82" w:rsidRDefault="00664D0A" w:rsidP="001C2505">
      <w:pPr>
        <w:pStyle w:val="Heading4"/>
        <w:rPr>
          <w:lang w:val="fr-FR"/>
        </w:rPr>
      </w:pPr>
      <w:r w:rsidRPr="00F96B82">
        <w:rPr>
          <w:lang w:val="fr-FR"/>
        </w:rPr>
        <w:t xml:space="preserve">7-2-1-2/Les ADO </w:t>
      </w:r>
      <w:proofErr w:type="gramStart"/>
      <w:r w:rsidRPr="00F96B82">
        <w:rPr>
          <w:lang w:val="fr-FR"/>
        </w:rPr>
        <w:t>Insulinosécrétagogues:</w:t>
      </w:r>
      <w:proofErr w:type="gramEnd"/>
      <w:r w:rsidRPr="00F96B82">
        <w:rPr>
          <w:lang w:val="fr-FR"/>
        </w:rPr>
        <w:t xml:space="preserve"> </w:t>
      </w:r>
    </w:p>
    <w:p w14:paraId="3021CCEB" w14:textId="7E2C42B3" w:rsidR="00664D0A" w:rsidRPr="00577C0B" w:rsidRDefault="00664D0A" w:rsidP="00577C0B">
      <w:pPr>
        <w:pStyle w:val="Heading5"/>
        <w:rPr>
          <w:rFonts w:eastAsiaTheme="minorBidi"/>
          <w:lang w:val="fr-FR" w:bidi="ar-DZ"/>
        </w:rPr>
      </w:pPr>
      <w:r w:rsidRPr="00664D0A">
        <w:rPr>
          <w:rFonts w:eastAsiaTheme="minorBidi"/>
          <w:lang w:val="fr-FR" w:bidi="ar-DZ"/>
        </w:rPr>
        <w:t>A /Les Sulfamides Hypoglycémiants (SULFONYLURÉES</w:t>
      </w:r>
      <w:proofErr w:type="gramStart"/>
      <w:r w:rsidRPr="00664D0A">
        <w:rPr>
          <w:rFonts w:eastAsiaTheme="minorBidi"/>
          <w:lang w:val="fr-FR" w:bidi="ar-DZ"/>
        </w:rPr>
        <w:t>):</w:t>
      </w:r>
      <w:proofErr w:type="gramEnd"/>
    </w:p>
    <w:p w14:paraId="1BBF1336" w14:textId="77777777" w:rsidR="00664D0A" w:rsidRPr="00664D0A" w:rsidRDefault="00664D0A" w:rsidP="00B139C3">
      <w:pPr>
        <w:rPr>
          <w:rFonts w:eastAsiaTheme="minorBidi"/>
          <w:color w:val="000000"/>
          <w:lang w:val="fr-FR" w:bidi="ar-DZ"/>
        </w:rPr>
      </w:pPr>
      <w:r w:rsidRPr="00664D0A">
        <w:rPr>
          <w:rFonts w:eastAsiaTheme="minorBidi"/>
          <w:color w:val="000000"/>
          <w:lang w:val="fr-FR" w:bidi="ar-DZ"/>
        </w:rPr>
        <w:t>A-1</w:t>
      </w:r>
      <w:r w:rsidRPr="00664D0A">
        <w:rPr>
          <w:rFonts w:eastAsiaTheme="minorBidi"/>
          <w:color w:val="000000"/>
          <w:lang w:val="fr-FR"/>
        </w:rPr>
        <w:t>/ Les avantages :</w:t>
      </w:r>
    </w:p>
    <w:p w14:paraId="0C50CF2B" w14:textId="72AB1694" w:rsidR="00664D0A" w:rsidRPr="00664D0A" w:rsidRDefault="00664D0A" w:rsidP="006F25EE">
      <w:pPr>
        <w:rPr>
          <w:rFonts w:eastAsiaTheme="minorBidi"/>
          <w:color w:val="000000"/>
          <w:lang w:val="fr-FR" w:bidi="ar-DZ"/>
        </w:rPr>
      </w:pPr>
      <w:r w:rsidRPr="00664D0A">
        <w:rPr>
          <w:rFonts w:eastAsiaTheme="minorBidi"/>
          <w:color w:val="000000"/>
          <w:lang w:val="fr-FR" w:bidi="ar-DZ"/>
        </w:rPr>
        <w:t xml:space="preserve">    Les sulfamides hypoglycémiants constituent une classe historique et fondamentale dans la prise en charge du diabète non insulinodépendant de l'adulte. Ils sont particulièrement indiqués lorsque le régime diététique seul ne permet plus de maintenir l'équilibre glycémique et que le patient ne présente pas de tendance à l'acido-cétose. Leur principal bénéfice réside dans leur capacité à réduire de façon puissante et rapide le taux d'hémoglobine glyquée (HbA1c), contribuant ainsi à la prévention des complications microvasculaires à long terme .</w:t>
      </w:r>
      <w:r w:rsidR="006F25EE">
        <w:rPr>
          <w:rFonts w:eastAsiaTheme="minorBidi"/>
          <w:color w:val="000000"/>
          <w:lang w:val="fr-FR" w:bidi="ar-DZ"/>
        </w:rPr>
        <w:fldChar w:fldCharType="begin"/>
      </w:r>
      <w:r w:rsidR="00116A61">
        <w:rPr>
          <w:rFonts w:eastAsiaTheme="minorBidi"/>
          <w:color w:val="000000"/>
          <w:lang w:val="fr-FR" w:bidi="ar-DZ"/>
        </w:rPr>
        <w:instrText xml:space="preserve"> ADDIN ZOTERO_ITEM CSL_CITATION {"citationID":"WWjtdL2A","properties":{"unsorted":false,"formattedCitation":"(53)","plainCitation":"(53)","noteIndex":0},"citationItems":[{"id":"6VBx8p83/H25UUeAP","uris":["http://zotero.org/users/local/xPnoPzR4/items/TZPL5FN9"],"itemData":{"id":332,"type":"webpage","abstract":"Essential medicines are those that satisfy the priority health care needs of a population. They are selected with due regard to disease prevalence and public health relevance, evidence of efficacy and safety and comparative cost-effectiveness. They are intended to be available in functioning health systems at all times, in appropriate dosage forms, of assured quality, and at prices individuals and health systems can afford.","language":"en","title":"The selection and use of essential medicines, 2025: WHO Model List of Essential Medicines, 24th list","title-short":"The selection and use of essential medicines, 2025","URL":"https://www.who.int/publications/i/item/B09474","accessed":{"date-parts":[["2026",5,14]]}}}],"schema":"https://github.com/citation-style-language/schema/raw/master/csl-citation.json"} </w:instrText>
      </w:r>
      <w:r w:rsidR="006F25EE">
        <w:rPr>
          <w:rFonts w:eastAsiaTheme="minorBidi"/>
          <w:color w:val="000000"/>
          <w:lang w:val="fr-FR" w:bidi="ar-DZ"/>
        </w:rPr>
        <w:fldChar w:fldCharType="separate"/>
      </w:r>
      <w:r w:rsidR="006F25EE" w:rsidRPr="006F25EE">
        <w:rPr>
          <w:rFonts w:ascii="Times New Roman" w:hAnsi="Times New Roman" w:cs="Times New Roman"/>
          <w:lang w:val="fr-FR"/>
        </w:rPr>
        <w:t>(53)</w:t>
      </w:r>
      <w:r w:rsidR="006F25EE">
        <w:rPr>
          <w:rFonts w:eastAsiaTheme="minorBidi"/>
          <w:color w:val="000000"/>
          <w:lang w:val="fr-FR" w:bidi="ar-DZ"/>
        </w:rPr>
        <w:fldChar w:fldCharType="end"/>
      </w:r>
    </w:p>
    <w:p w14:paraId="13286237" w14:textId="77777777" w:rsidR="00664D0A" w:rsidRPr="00664D0A" w:rsidRDefault="00664D0A" w:rsidP="00B139C3">
      <w:pPr>
        <w:rPr>
          <w:rFonts w:eastAsiaTheme="minorBidi"/>
          <w:color w:val="000000"/>
          <w:lang w:val="fr-FR" w:bidi="ar-DZ"/>
        </w:rPr>
      </w:pPr>
    </w:p>
    <w:p w14:paraId="085504BF" w14:textId="5CB8296C" w:rsidR="00664D0A" w:rsidRPr="00664D0A" w:rsidRDefault="00664D0A" w:rsidP="00577C0B">
      <w:pPr>
        <w:rPr>
          <w:rFonts w:eastAsiaTheme="minorBidi"/>
          <w:color w:val="000000"/>
          <w:lang w:val="fr-FR" w:bidi="ar-DZ"/>
        </w:rPr>
      </w:pPr>
      <w:r w:rsidRPr="00664D0A">
        <w:rPr>
          <w:rFonts w:eastAsiaTheme="minorBidi"/>
          <w:color w:val="000000"/>
          <w:lang w:val="fr-FR" w:bidi="ar-DZ"/>
        </w:rPr>
        <w:t>A-2</w:t>
      </w:r>
      <w:r w:rsidRPr="00664D0A">
        <w:rPr>
          <w:rFonts w:eastAsiaTheme="minorBidi"/>
          <w:color w:val="000000"/>
          <w:lang w:val="fr-FR"/>
        </w:rPr>
        <w:t>/</w:t>
      </w:r>
      <w:r w:rsidRPr="00664D0A">
        <w:rPr>
          <w:rFonts w:eastAsiaTheme="minorBidi"/>
          <w:color w:val="000000"/>
          <w:lang w:val="fr-FR" w:bidi="ar-DZ"/>
        </w:rPr>
        <w:t xml:space="preserve"> Mécanismes </w:t>
      </w:r>
      <w:proofErr w:type="gramStart"/>
      <w:r w:rsidRPr="00664D0A">
        <w:rPr>
          <w:rFonts w:eastAsiaTheme="minorBidi"/>
          <w:color w:val="000000"/>
          <w:lang w:val="fr-FR" w:bidi="ar-DZ"/>
        </w:rPr>
        <w:t>d'action:</w:t>
      </w:r>
      <w:proofErr w:type="gramEnd"/>
    </w:p>
    <w:p w14:paraId="6627DCEC" w14:textId="1EE04B4B" w:rsidR="00664D0A" w:rsidRPr="00664D0A" w:rsidRDefault="00664D0A" w:rsidP="00577C0B">
      <w:pPr>
        <w:rPr>
          <w:rFonts w:eastAsiaTheme="minorBidi"/>
          <w:color w:val="000000"/>
          <w:lang w:val="fr-FR" w:bidi="ar-DZ"/>
        </w:rPr>
      </w:pPr>
      <w:r w:rsidRPr="00664D0A">
        <w:rPr>
          <w:rFonts w:eastAsiaTheme="minorBidi"/>
          <w:color w:val="000000"/>
          <w:lang w:val="fr-FR" w:bidi="ar-DZ"/>
        </w:rPr>
        <w:t xml:space="preserve">      L’action de ces molécules repose sur une interaction directe avec les cellules </w:t>
      </w:r>
      <w:r w:rsidRPr="00E71797">
        <w:rPr>
          <w:rFonts w:eastAsiaTheme="minorBidi"/>
          <w:color w:val="000000"/>
          <w:lang w:bidi="ar-DZ"/>
        </w:rPr>
        <w:t>β</w:t>
      </w:r>
      <w:r w:rsidRPr="00664D0A">
        <w:rPr>
          <w:rFonts w:eastAsiaTheme="minorBidi"/>
          <w:color w:val="000000"/>
          <w:lang w:val="fr-FR" w:bidi="ar-DZ"/>
        </w:rPr>
        <w:t xml:space="preserve"> des îlots de Langerhans. Les sulfamides se fixent sur la sous-unité protéique SUR (SulfonylURée) intégrée aux canaux potassiques ATP-dépendants (KATP​). Cette liaison provoque la fermeture des canaux, entraînant une dépolarisation de la membrane cellulaire. Ce phénomène déclenche l'ouverture des canaux calciques voltage-dépendants, provoquant un influx massif de calcium qui stimule l'exocytose des granules d'insuline. Il est crucial de noter que l'efficacité de ce traitement est strictement conditionnée par la capacité résiduelle du panc</w:t>
      </w:r>
      <w:r w:rsidR="00577C0B">
        <w:rPr>
          <w:rFonts w:eastAsiaTheme="minorBidi"/>
          <w:color w:val="000000"/>
          <w:lang w:val="fr-FR" w:bidi="ar-DZ"/>
        </w:rPr>
        <w:t xml:space="preserve">réas à sécréter de </w:t>
      </w:r>
      <w:proofErr w:type="gramStart"/>
      <w:r w:rsidR="00577C0B">
        <w:rPr>
          <w:rFonts w:eastAsiaTheme="minorBidi"/>
          <w:color w:val="000000"/>
          <w:lang w:val="fr-FR" w:bidi="ar-DZ"/>
        </w:rPr>
        <w:t>l'insuline .</w:t>
      </w:r>
      <w:proofErr w:type="gramEnd"/>
    </w:p>
    <w:p w14:paraId="22532885" w14:textId="77777777" w:rsidR="00664D0A" w:rsidRPr="00664D0A" w:rsidRDefault="00664D0A" w:rsidP="00B139C3">
      <w:pPr>
        <w:rPr>
          <w:rFonts w:eastAsiaTheme="minorBidi"/>
          <w:color w:val="000000"/>
          <w:lang w:val="fr-FR" w:bidi="ar-DZ"/>
        </w:rPr>
      </w:pPr>
      <w:r w:rsidRPr="00664D0A">
        <w:rPr>
          <w:rFonts w:eastAsiaTheme="minorBidi"/>
          <w:color w:val="000000"/>
          <w:lang w:val="fr-FR" w:bidi="ar-DZ"/>
        </w:rPr>
        <w:lastRenderedPageBreak/>
        <w:t xml:space="preserve"> A-3/ Éléments de </w:t>
      </w:r>
      <w:proofErr w:type="gramStart"/>
      <w:r w:rsidRPr="00664D0A">
        <w:rPr>
          <w:rFonts w:eastAsiaTheme="minorBidi"/>
          <w:color w:val="000000"/>
          <w:lang w:val="fr-FR" w:bidi="ar-DZ"/>
        </w:rPr>
        <w:t>pharmacocinétique:</w:t>
      </w:r>
      <w:proofErr w:type="gramEnd"/>
    </w:p>
    <w:p w14:paraId="6B464789" w14:textId="6AE11833" w:rsidR="00664D0A" w:rsidRPr="00664D0A" w:rsidRDefault="00664D0A" w:rsidP="00B139C3">
      <w:pPr>
        <w:rPr>
          <w:rFonts w:eastAsiaTheme="minorBidi"/>
          <w:color w:val="000000"/>
          <w:lang w:val="fr-FR" w:bidi="ar-DZ"/>
        </w:rPr>
      </w:pPr>
      <w:r w:rsidRPr="00664D0A">
        <w:rPr>
          <w:rFonts w:eastAsiaTheme="minorBidi"/>
          <w:color w:val="000000"/>
          <w:lang w:val="fr-FR" w:bidi="ar-DZ"/>
        </w:rPr>
        <w:t xml:space="preserve">     Sur le plan cinétique, la résorption digestive de ces agents est généralement rapide et complète. Ils se caractérisent par une forte affinité pour les protéines plasmatiques, ce qui peut favoriser des interactions médicamenteuses par déplacement. Il convient de dissocier leur demi-vie plasmatique, souvent courte (environ 10 heures), de leur durée d'action biologique qui peut être beaucoup plus longue. Par exemple, le carbutamide présente une demi-vie atteignant 45 heures pour une durée d'action s'étendant jusqu'à 60 heures. Les molécules sont classées selon cette durée : le glipizide est à action moyenne, tandis que le glimépiride, le glibenclamide ou le gliclazide (notamment sous sa forme à libération modifiée) présentent une action longue. Le métabolisme hépatique et l'élimination principalement rénale sont des facteurs déterminants, d'autant que ces substances traversent la barrière placentaire </w:t>
      </w:r>
    </w:p>
    <w:p w14:paraId="02334F14" w14:textId="77777777" w:rsidR="00664D0A" w:rsidRPr="00664D0A" w:rsidRDefault="00664D0A" w:rsidP="00B139C3">
      <w:pPr>
        <w:rPr>
          <w:rFonts w:eastAsiaTheme="minorBidi"/>
          <w:color w:val="000000"/>
          <w:lang w:val="fr-FR" w:bidi="ar-DZ"/>
        </w:rPr>
      </w:pPr>
      <w:r w:rsidRPr="00664D0A">
        <w:rPr>
          <w:rFonts w:eastAsiaTheme="minorBidi"/>
          <w:color w:val="000000"/>
          <w:lang w:val="fr-FR" w:bidi="ar-DZ"/>
        </w:rPr>
        <w:t>A-4</w:t>
      </w:r>
      <w:proofErr w:type="gramStart"/>
      <w:r w:rsidRPr="00664D0A">
        <w:rPr>
          <w:rFonts w:eastAsiaTheme="minorBidi"/>
          <w:color w:val="000000"/>
          <w:lang w:val="fr-FR" w:bidi="ar-DZ"/>
        </w:rPr>
        <w:t>/  Contre</w:t>
      </w:r>
      <w:proofErr w:type="gramEnd"/>
      <w:r w:rsidRPr="00664D0A">
        <w:rPr>
          <w:rFonts w:eastAsiaTheme="minorBidi"/>
          <w:color w:val="000000"/>
          <w:lang w:val="fr-FR" w:bidi="ar-DZ"/>
        </w:rPr>
        <w:t>-indications:</w:t>
      </w:r>
    </w:p>
    <w:p w14:paraId="52DEE4EF" w14:textId="4E1979AB" w:rsidR="00664D0A" w:rsidRPr="00664D0A" w:rsidRDefault="00664D0A" w:rsidP="00577C0B">
      <w:pPr>
        <w:rPr>
          <w:rFonts w:eastAsiaTheme="minorBidi"/>
          <w:color w:val="000000"/>
          <w:lang w:val="fr-FR" w:bidi="ar-DZ"/>
        </w:rPr>
      </w:pPr>
      <w:r w:rsidRPr="00664D0A">
        <w:rPr>
          <w:rFonts w:eastAsiaTheme="minorBidi"/>
          <w:color w:val="000000"/>
          <w:lang w:val="fr-FR" w:bidi="ar-DZ"/>
        </w:rPr>
        <w:t>Il est contre-indiqué en cas d'insuffisance rénale ou hépatique sévère, de grossesse, d'allaitement ou d'allergie avérée aux sulfamides. Dans les situations de stress métabolique aigu, comme une infection sévère ou une intervention chirurgicale majeure, le rela</w:t>
      </w:r>
      <w:r w:rsidR="00577C0B">
        <w:rPr>
          <w:rFonts w:eastAsiaTheme="minorBidi"/>
          <w:color w:val="000000"/>
          <w:lang w:val="fr-FR" w:bidi="ar-DZ"/>
        </w:rPr>
        <w:t xml:space="preserve">is par insuline </w:t>
      </w:r>
      <w:proofErr w:type="gramStart"/>
      <w:r w:rsidR="00577C0B">
        <w:rPr>
          <w:rFonts w:eastAsiaTheme="minorBidi"/>
          <w:color w:val="000000"/>
          <w:lang w:val="fr-FR" w:bidi="ar-DZ"/>
        </w:rPr>
        <w:t>est  nécessaire</w:t>
      </w:r>
      <w:proofErr w:type="gramEnd"/>
    </w:p>
    <w:p w14:paraId="4C0198CE" w14:textId="77777777" w:rsidR="00664D0A" w:rsidRPr="00664D0A" w:rsidRDefault="00664D0A" w:rsidP="00B139C3">
      <w:pPr>
        <w:rPr>
          <w:rFonts w:eastAsiaTheme="minorBidi"/>
          <w:color w:val="000000"/>
          <w:lang w:val="fr-FR" w:bidi="ar-DZ"/>
        </w:rPr>
      </w:pPr>
      <w:r w:rsidRPr="00664D0A">
        <w:rPr>
          <w:rFonts w:eastAsiaTheme="minorBidi"/>
          <w:color w:val="000000"/>
          <w:lang w:val="fr-FR" w:bidi="ar-DZ"/>
        </w:rPr>
        <w:t>A-5</w:t>
      </w:r>
      <w:proofErr w:type="gramStart"/>
      <w:r w:rsidRPr="00664D0A">
        <w:rPr>
          <w:rFonts w:eastAsiaTheme="minorBidi"/>
          <w:color w:val="000000"/>
          <w:lang w:val="fr-FR" w:bidi="ar-DZ"/>
        </w:rPr>
        <w:t>/  Effets</w:t>
      </w:r>
      <w:proofErr w:type="gramEnd"/>
      <w:r w:rsidRPr="00664D0A">
        <w:rPr>
          <w:rFonts w:eastAsiaTheme="minorBidi"/>
          <w:color w:val="000000"/>
          <w:lang w:val="fr-FR" w:bidi="ar-DZ"/>
        </w:rPr>
        <w:t xml:space="preserve"> indésirables :</w:t>
      </w:r>
    </w:p>
    <w:p w14:paraId="744FE848" w14:textId="5CE6A879" w:rsidR="00664D0A" w:rsidRPr="00664D0A" w:rsidRDefault="00664D0A" w:rsidP="006F25EE">
      <w:pPr>
        <w:rPr>
          <w:rFonts w:eastAsiaTheme="minorBidi"/>
          <w:color w:val="000000"/>
          <w:lang w:val="fr-FR" w:bidi="ar-DZ"/>
        </w:rPr>
      </w:pPr>
      <w:r w:rsidRPr="00664D0A">
        <w:rPr>
          <w:rFonts w:eastAsiaTheme="minorBidi"/>
          <w:color w:val="000000"/>
          <w:lang w:val="fr-FR" w:bidi="ar-DZ"/>
        </w:rPr>
        <w:t xml:space="preserve">Le risque d'hypoglycémie constitue l'effet secondaire le plus redoutable et le plus fréquent. Il est observé avec toutes les molécules de cette classe, mais s'avère particulièrement grave et prolongé avec les substances de première génération à longue durée d'action. Statistiquement, environ 75 % de ces accidents surviennent chez des patients de plus de 65 ans, avec une issue fatale dans 5 à 10 % des cas ou des séquelles cérébrales irréversibles. Les profils à risque incluent les patients âgés, les sujets dénutris et les insuffisants rénaux, chez qui l'accumulation du produit peut s'avérer toxique </w:t>
      </w:r>
      <w:r w:rsidR="006F25EE">
        <w:rPr>
          <w:rFonts w:eastAsiaTheme="minorBidi"/>
          <w:color w:val="000000"/>
          <w:lang w:val="fr-FR" w:bidi="ar-DZ"/>
        </w:rPr>
        <w:fldChar w:fldCharType="begin"/>
      </w:r>
      <w:r w:rsidR="00116A61">
        <w:rPr>
          <w:rFonts w:eastAsiaTheme="minorBidi"/>
          <w:color w:val="000000"/>
          <w:lang w:val="fr-FR" w:bidi="ar-DZ"/>
        </w:rPr>
        <w:instrText xml:space="preserve"> ADDIN ZOTERO_ITEM CSL_CITATION {"citationID":"pcHkDyoT","properties":{"unsorted":false,"formattedCitation":"(53)","plainCitation":"(53)","noteIndex":0},"citationItems":[{"id":"6VBx8p83/H25UUeAP","uris":["http://zotero.org/users/local/xPnoPzR4/items/TZPL5FN9"],"itemData":{"id":332,"type":"webpage","abstract":"Essential medicines are those that satisfy the priority health care needs of a population. They are selected with due regard to disease prevalence and public health relevance, evidence of efficacy and safety and comparative cost-effectiveness. They are intended to be available in functioning health systems at all times, in appropriate dosage forms, of assured quality, and at prices individuals and health systems can afford.","language":"en","title":"The selection and use of essential medicines, 2025: WHO Model List of Essential Medicines, 24th list","title-short":"The selection and use of essential medicines, 2025","URL":"https://www.who.int/publications/i/item/B09474","accessed":{"date-parts":[["2026",5,14]]}}}],"schema":"https://github.com/citation-style-language/schema/raw/master/csl-citation.json"} </w:instrText>
      </w:r>
      <w:r w:rsidR="006F25EE">
        <w:rPr>
          <w:rFonts w:eastAsiaTheme="minorBidi"/>
          <w:color w:val="000000"/>
          <w:lang w:val="fr-FR" w:bidi="ar-DZ"/>
        </w:rPr>
        <w:fldChar w:fldCharType="separate"/>
      </w:r>
      <w:r w:rsidR="006F25EE" w:rsidRPr="006F25EE">
        <w:rPr>
          <w:rFonts w:ascii="Times New Roman" w:hAnsi="Times New Roman" w:cs="Times New Roman"/>
          <w:lang w:val="fr-FR"/>
        </w:rPr>
        <w:t>(53)</w:t>
      </w:r>
      <w:r w:rsidR="006F25EE">
        <w:rPr>
          <w:rFonts w:eastAsiaTheme="minorBidi"/>
          <w:color w:val="000000"/>
          <w:lang w:val="fr-FR" w:bidi="ar-DZ"/>
        </w:rPr>
        <w:fldChar w:fldCharType="end"/>
      </w:r>
    </w:p>
    <w:p w14:paraId="388EFD01" w14:textId="1BF7CA69" w:rsidR="00664D0A" w:rsidRPr="00664D0A" w:rsidRDefault="00664D0A" w:rsidP="006F25EE">
      <w:pPr>
        <w:rPr>
          <w:rFonts w:eastAsiaTheme="minorBidi"/>
          <w:color w:val="000000"/>
          <w:lang w:val="fr-FR" w:bidi="ar-DZ"/>
        </w:rPr>
      </w:pPr>
      <w:r w:rsidRPr="00664D0A">
        <w:rPr>
          <w:rFonts w:eastAsiaTheme="minorBidi"/>
          <w:color w:val="000000"/>
          <w:lang w:val="fr-FR" w:bidi="ar-DZ"/>
        </w:rPr>
        <w:t xml:space="preserve">Outre les accidents graves, les hypoglycémies mineures de fin d'après-midi sont extrêmement courantes. Bien que généralement brèves et corrigées par un resucrage, leur répétition favorise une prise de poids modérée, aggravée par la stimulation directe de l'insulino-sécrétion. Certains sulfamides, comme le glibenclamide ou le glipizide, peuvent provoquer un effet antabuse en cas d'ingestion d'alcool. Des troubles digestifs variés et des hépatites cholestatiques ont également été rapportés, bien que leur fréquence reste limitée dans la pratique clinique actuelle </w:t>
      </w:r>
      <w:r w:rsidR="006F25EE">
        <w:rPr>
          <w:rFonts w:eastAsiaTheme="minorBidi"/>
          <w:color w:val="000000"/>
          <w:lang w:val="fr-FR" w:bidi="ar-DZ"/>
        </w:rPr>
        <w:fldChar w:fldCharType="begin"/>
      </w:r>
      <w:r w:rsidR="00116A61">
        <w:rPr>
          <w:rFonts w:eastAsiaTheme="minorBidi"/>
          <w:color w:val="000000"/>
          <w:lang w:val="fr-FR" w:bidi="ar-DZ"/>
        </w:rPr>
        <w:instrText xml:space="preserve"> ADDIN ZOTERO_ITEM CSL_CITATION {"citationID":"2ulf6SzI","properties":{"unsorted":false,"formattedCitation":"(54)","plainCitation":"(54)","noteIndex":0},"citationItems":[{"id":"6VBx8p83/0c9CmyKS","uris":["http://zotero.org/users/local/xPnoPzR4/items/IWZINLZ9"],"itemData":{"id":334,"type":"article-journal","abstract":"The American Diabetes Association and the European Association for the Study of Diabetes convened a panel to update the previous consensus statements on the management of hyperglycemia in type 2 diabetes in adults, published since 2006 and last updated in 2019. The target audience is the full spectrum of the professional health care team providing diabetes care in the U.S. and Europe. A systematic examination of publications since 2018 informed new recommendations. These include additional focus on social determinants of health, the health care system, and physical activity behaviors, including sleep. There is a greater emphasis on weight management as part of the holistic approach to diabetes management. The results of cardiovascular and kidney outcomes trials involving sodium-glucose cotransporter 2 inhibitors and glucagon-like peptide 1 receptor agonists, including assessment of subgroups, inform broader recommendations for cardiorenal protection in people with diabetes at high risk of cardiorenal disease. After a summary listing of consensus recommendations, practical tips for implementation are provided.","container-title":"Diabetes Care","DOI":"10.2337/dci22-0034","ISSN":"1935-5548","issue":"11","journalAbbreviation":"Diabetes Care","language":"eng","page":"2753-2786","PMID":"36148880","PMCID":"PMC10008140","source":"PubMed","title":"Management of Hyperglycemia in Type 2 Diabetes, 2022. A Consensus Report by the American Diabetes Association (ADA) and the European Association for the Study of Diabetes (EASD)","volume":"45","author":[{"family":"Davies","given":"Melanie J."},{"family":"Aroda","given":"Vanita R."},{"family":"Collins","given":"Billy S."},{"family":"Gabbay","given":"Robert A."},{"family":"Green","given":"Jennifer"},{"family":"Maruthur","given":"Nisa M."},{"family":"Rosas","given":"Sylvia E."},{"family":"Del Prato","given":"Stefano"},{"family":"Mathieu","given":"Chantal"},{"family":"Mingrone","given":"Geltrude"},{"family":"Rossing","given":"Peter"},{"family":"Tankova","given":"Tsvetalina"},{"family":"Tsapas","given":"Apostolos"},{"family":"Buse","given":"John B."}],"issued":{"date-parts":[["2022",11,1]]}}}],"schema":"https://github.com/citation-style-language/schema/raw/master/csl-citation.json"} </w:instrText>
      </w:r>
      <w:r w:rsidR="006F25EE">
        <w:rPr>
          <w:rFonts w:eastAsiaTheme="minorBidi"/>
          <w:color w:val="000000"/>
          <w:lang w:val="fr-FR" w:bidi="ar-DZ"/>
        </w:rPr>
        <w:fldChar w:fldCharType="separate"/>
      </w:r>
      <w:r w:rsidR="006F25EE" w:rsidRPr="006F25EE">
        <w:rPr>
          <w:rFonts w:ascii="Times New Roman" w:hAnsi="Times New Roman" w:cs="Times New Roman"/>
          <w:lang w:val="fr-FR"/>
        </w:rPr>
        <w:t>(54)</w:t>
      </w:r>
      <w:r w:rsidR="006F25EE">
        <w:rPr>
          <w:rFonts w:eastAsiaTheme="minorBidi"/>
          <w:color w:val="000000"/>
          <w:lang w:val="fr-FR" w:bidi="ar-DZ"/>
        </w:rPr>
        <w:fldChar w:fldCharType="end"/>
      </w:r>
    </w:p>
    <w:p w14:paraId="18FDC003" w14:textId="12040DF3" w:rsidR="00664D0A" w:rsidRPr="00664D0A" w:rsidRDefault="00664D0A" w:rsidP="006F25EE">
      <w:pPr>
        <w:rPr>
          <w:rFonts w:eastAsiaTheme="minorBidi"/>
          <w:color w:val="000000"/>
          <w:lang w:val="fr-FR" w:bidi="ar-DZ"/>
        </w:rPr>
      </w:pPr>
      <w:r w:rsidRPr="00664D0A">
        <w:rPr>
          <w:rFonts w:eastAsiaTheme="minorBidi"/>
          <w:color w:val="000000"/>
          <w:lang w:val="fr-FR" w:bidi="ar-DZ"/>
        </w:rPr>
        <w:t xml:space="preserve">De manière plus exceptionnelle, des réactions d'hypersensibilité peuvent survenir, allant de simples éruptions cutanées (urticaire) à des syndromes dermatologiques gravissimes comme le syndrome de Lyell. Le système hématopoïétique peut également être affecté, avec des cas décrits de thrombopénies auto-immunes, d'anémies hémolytiques ou d'agranulocytose. Enfin, des atteintes hépatiques de type cytolytique ont été documentées, nécessitant un suivi régulier de la fonction hépatique lors </w:t>
      </w:r>
      <w:r w:rsidR="00577C0B">
        <w:rPr>
          <w:rFonts w:eastAsiaTheme="minorBidi"/>
          <w:color w:val="000000"/>
          <w:lang w:val="fr-FR" w:bidi="ar-DZ"/>
        </w:rPr>
        <w:t>de l'instauration du traitement</w:t>
      </w:r>
      <w:r w:rsidR="006F25EE">
        <w:rPr>
          <w:rFonts w:eastAsiaTheme="minorBidi"/>
          <w:color w:val="000000"/>
          <w:lang w:val="fr-FR" w:bidi="ar-DZ"/>
        </w:rPr>
        <w:fldChar w:fldCharType="begin"/>
      </w:r>
      <w:r w:rsidR="00116A61">
        <w:rPr>
          <w:rFonts w:eastAsiaTheme="minorBidi"/>
          <w:color w:val="000000"/>
          <w:lang w:val="fr-FR" w:bidi="ar-DZ"/>
        </w:rPr>
        <w:instrText xml:space="preserve"> ADDIN ZOTERO_ITEM CSL_CITATION {"citationID":"qFj8OF3D","properties":{"unsorted":false,"formattedCitation":"(54)","plainCitation":"(54)","noteIndex":0},"citationItems":[{"id":"6VBx8p83/0c9CmyKS","uris":["http://zotero.org/users/local/xPnoPzR4/items/IWZINLZ9"],"itemData":{"id":334,"type":"article-journal","abstract":"The American Diabetes Association and the European Association for the Study of Diabetes convened a panel to update the previous consensus statements on the management of hyperglycemia in type 2 diabetes in adults, published since 2006 and last updated in 2019. The target audience is the full spectrum of the professional health care team providing diabetes care in the U.S. and Europe. A systematic examination of publications since 2018 informed new recommendations. These include additional focus on social determinants of health, the health care system, and physical activity behaviors, including sleep. There is a greater emphasis on weight management as part of the holistic approach to diabetes management. The results of cardiovascular and kidney outcomes trials involving sodium-glucose cotransporter 2 inhibitors and glucagon-like peptide 1 receptor agonists, including assessment of subgroups, inform broader recommendations for cardiorenal protection in people with diabetes at high risk of cardiorenal disease. After a summary listing of consensus recommendations, practical tips for implementation are provided.","container-title":"Diabetes Care","DOI":"10.2337/dci22-0034","ISSN":"1935-5548","issue":"11","journalAbbreviation":"Diabetes Care","language":"eng","page":"2753-2786","PMID":"36148880","PMCID":"PMC10008140","source":"PubMed","title":"Management of Hyperglycemia in Type 2 Diabetes, 2022. A Consensus Report by the American Diabetes Association (ADA) and the European Association for the Study of Diabetes (EASD)","volume":"45","author":[{"family":"Davies","given":"Melanie J."},{"family":"Aroda","given":"Vanita R."},{"family":"Collins","given":"Billy S."},{"family":"Gabbay","given":"Robert A."},{"family":"Green","given":"Jennifer"},{"family":"Maruthur","given":"Nisa M."},{"family":"Rosas","given":"Sylvia E."},{"family":"Del Prato","given":"Stefano"},{"family":"Mathieu","given":"Chantal"},{"family":"Mingrone","given":"Geltrude"},{"family":"Rossing","given":"Peter"},{"family":"Tankova","given":"Tsvetalina"},{"family":"Tsapas","given":"Apostolos"},{"family":"Buse","given":"John B."}],"issued":{"date-parts":[["2022",11,1]]}}}],"schema":"https://github.com/citation-style-language/schema/raw/master/csl-citation.json"} </w:instrText>
      </w:r>
      <w:r w:rsidR="006F25EE">
        <w:rPr>
          <w:rFonts w:eastAsiaTheme="minorBidi"/>
          <w:color w:val="000000"/>
          <w:lang w:val="fr-FR" w:bidi="ar-DZ"/>
        </w:rPr>
        <w:fldChar w:fldCharType="separate"/>
      </w:r>
      <w:r w:rsidR="006F25EE" w:rsidRPr="006F25EE">
        <w:rPr>
          <w:rFonts w:ascii="Times New Roman" w:hAnsi="Times New Roman" w:cs="Times New Roman"/>
          <w:lang w:val="fr-FR"/>
        </w:rPr>
        <w:t>(54)</w:t>
      </w:r>
      <w:r w:rsidR="006F25EE">
        <w:rPr>
          <w:rFonts w:eastAsiaTheme="minorBidi"/>
          <w:color w:val="000000"/>
          <w:lang w:val="fr-FR" w:bidi="ar-DZ"/>
        </w:rPr>
        <w:fldChar w:fldCharType="end"/>
      </w:r>
    </w:p>
    <w:p w14:paraId="59BC0163" w14:textId="77777777" w:rsidR="00664D0A" w:rsidRPr="00664D0A" w:rsidRDefault="00664D0A" w:rsidP="00577C0B">
      <w:pPr>
        <w:pStyle w:val="Heading5"/>
        <w:rPr>
          <w:rFonts w:eastAsiaTheme="minorBidi"/>
          <w:lang w:val="fr-FR"/>
        </w:rPr>
      </w:pPr>
      <w:r w:rsidRPr="00664D0A">
        <w:rPr>
          <w:rFonts w:eastAsiaTheme="minorBidi"/>
          <w:lang w:val="fr-FR"/>
        </w:rPr>
        <w:t xml:space="preserve">B/ Les </w:t>
      </w:r>
      <w:proofErr w:type="gramStart"/>
      <w:r w:rsidRPr="00664D0A">
        <w:rPr>
          <w:rFonts w:eastAsiaTheme="minorBidi"/>
          <w:lang w:val="fr-FR"/>
        </w:rPr>
        <w:t>glinides  (</w:t>
      </w:r>
      <w:proofErr w:type="gramEnd"/>
      <w:r w:rsidRPr="00664D0A">
        <w:rPr>
          <w:rFonts w:eastAsiaTheme="minorBidi"/>
          <w:lang w:val="fr-FR"/>
        </w:rPr>
        <w:t>MÉGLITINIDES):</w:t>
      </w:r>
    </w:p>
    <w:p w14:paraId="1C8E2C0D" w14:textId="77777777" w:rsidR="00664D0A" w:rsidRPr="00664D0A" w:rsidRDefault="00664D0A" w:rsidP="00B139C3">
      <w:pPr>
        <w:rPr>
          <w:rFonts w:eastAsiaTheme="minorBidi"/>
          <w:lang w:val="fr-FR"/>
        </w:rPr>
      </w:pPr>
      <w:r w:rsidRPr="00664D0A">
        <w:rPr>
          <w:rFonts w:eastAsiaTheme="minorBidi"/>
          <w:lang w:val="fr-FR"/>
        </w:rPr>
        <w:t>B-1 / Les avantages :</w:t>
      </w:r>
    </w:p>
    <w:p w14:paraId="153CB695" w14:textId="1C34F6D1" w:rsidR="00664D0A" w:rsidRPr="00664D0A" w:rsidRDefault="00664D0A" w:rsidP="0080119A">
      <w:pPr>
        <w:rPr>
          <w:rFonts w:eastAsiaTheme="minorBidi"/>
          <w:lang w:val="fr-FR"/>
        </w:rPr>
      </w:pPr>
      <w:r w:rsidRPr="00664D0A">
        <w:rPr>
          <w:rFonts w:eastAsiaTheme="minorBidi"/>
          <w:lang w:val="fr-FR"/>
        </w:rPr>
        <w:t xml:space="preserve">Les glinides, représentés principalement par le répaglinide et le natéglinide, constituent une classe de sécrétagogues d'insuline plus récente que les sulfamides. Leur principal atout réside dans leur cinétique d'action ultra-rapide et de courte durée, ce qui permet de cibler </w:t>
      </w:r>
      <w:r w:rsidRPr="00664D0A">
        <w:rPr>
          <w:rFonts w:eastAsiaTheme="minorBidi"/>
          <w:lang w:val="fr-FR"/>
        </w:rPr>
        <w:lastRenderedPageBreak/>
        <w:t>spécifiquement l'hyperglycémie postprandiale. En agissant comme une "insuline prandiale orale", ils offrent une flexibilité thérapeutique précieuse, car ils ne sont administrés qu'au moment des repas (généralement trois fois par jour), réduisant ainsi le risque d'hypoglycémie à distance des prises alimentaires .</w:t>
      </w:r>
      <w:r w:rsidR="0080119A">
        <w:rPr>
          <w:rFonts w:eastAsiaTheme="minorBidi"/>
          <w:lang w:val="fr-FR"/>
        </w:rPr>
        <w:fldChar w:fldCharType="begin"/>
      </w:r>
      <w:r w:rsidR="00116A61">
        <w:rPr>
          <w:rFonts w:eastAsiaTheme="minorBidi"/>
          <w:lang w:val="fr-FR"/>
        </w:rPr>
        <w:instrText xml:space="preserve"> ADDIN ZOTERO_ITEM CSL_CITATION {"citationID":"Wu3wVXTg","properties":{"unsorted":false,"formattedCitation":"(55)","plainCitation":"(55)","noteIndex":0},"citationItems":[{"id":"6VBx8p83/Hg2xd2o9","uris":["http://zotero.org/users/local/xPnoPzR4/items/HUD77WM8"],"itemData":{"id":344,"type":"article-journal","abstract":"Background\nSafety of sulfonylurea drugs in the treatment of Type 2 Diabetes is still under debate. The aim of this study was to compare the all-cause mortality and cardiovascular adverse events of sulfonylureas and drugs with a low risk for hypoglycaemia in adults with type 2 diabetes.\n\nMethods\nSystematic review and meta-analysis of randomised controlled trials. Data sources: MEDLINE (PubMed, OVID), Embase, Cochrane Central Register of Controlled Trials, CINAHL, WOS and Lilacs.\n\nStudy selection\nRandomised controlled head-to-head trials that compared sulfonylureas with active control with low hypoglycaemic potential in adults (≥ 18 years old) with type 2 diabetes published up to August 2015. The drug classes involved in the analysis were metformin, dipeptidyl peptidase-4 (DPP-4) inhibitors, sodium-glucose co-transporter-2 (SGLT-2) inhibitors and glucagon-like peptide-1 (GLP-1) receptor agonists.\n\nOutcomes\nThe primary endpoint was all-cause mortality. The secondary endpoints were MACE, cardiovascular events and severe hypoglycaemia. Synthesis of results: Two reviewers checked study eligibility, independently extracted data and assessed quality with disagreements resolved through discussion. We assessed the risk of bias of the included studies using the Cochrane risk of bias tool for randomized trials v2. Pooled odds ratios (ORs) were estimated by using fixed effects model. The study is registered on PROSPERO (26/05/2016 CRD42016038780).\n\nResults\nOur final analysis comprised 31 studies (26,204 patients, 11,711 patients given sulfonylureas and 14,493 given comparator drugs). In comparison to drugs with low hypoglycaemic potential, sulfonylureas had higher odds for all-cause mortality (OR 1.32, 95% CI 1.00-1.75), MACE (OR 1.32, 95% CI 1.07–1.61), myocardial infarction (fatal and non-fatal) (OR 1.67, 95% CI 1.17–2.38) and hypoglycaemia (OR 5.24, 95% CI 4.20–6.55). Subsequent sensitivity analysis revealed differences in the effect of sulfonylureas, with an increased risk of all-cause mortality with glipizide but not the other molecules.\n\nConclusion\nOur meta-analysis raises concern about the safety of SUs compared to alternative drugs involved in current analysis. Important differences may exist within the drug class, and glimepiride seems to have best safety profile.\n\nSupplementary information\nThe online version contains supplementary material available at 10.1186/s12902-022-01158-5.","container-title":"BMC Endocrine Disorders","DOI":"10.1186/s12902-022-01158-5","ISSN":"1472-6823","journalAbbreviation":"BMC Endocr Disord","page":"251","PMID":"36261824","PMCID":"PMC9580135","source":"PubMed Central","title":"Systematic review and meta-analysis of head-to-head trials comparing sulfonylureas and low hypoglycaemic risk antidiabetic drugs","volume":"22","author":[{"family":"Volke","given":"Vallo"},{"family":"Katus","given":"Urmeli"},{"family":"Johannson","given":"Annika"},{"family":"Toompere","given":"Karolin"},{"family":"Heinla","given":"Keiu"},{"family":"Rünkorg","given":"Kertu"},{"family":"Uusküla","given":"Anneli"}],"issued":{"date-parts":[["2022",10,19]]}}}],"schema":"https://github.com/citation-style-language/schema/raw/master/csl-citation.json"} </w:instrText>
      </w:r>
      <w:r w:rsidR="0080119A">
        <w:rPr>
          <w:rFonts w:eastAsiaTheme="minorBidi"/>
          <w:lang w:val="fr-FR"/>
        </w:rPr>
        <w:fldChar w:fldCharType="separate"/>
      </w:r>
      <w:r w:rsidR="0080119A" w:rsidRPr="0080119A">
        <w:rPr>
          <w:rFonts w:ascii="Times New Roman" w:hAnsi="Times New Roman" w:cs="Times New Roman"/>
          <w:lang w:val="fr-FR"/>
        </w:rPr>
        <w:t>(55)</w:t>
      </w:r>
      <w:r w:rsidR="0080119A">
        <w:rPr>
          <w:rFonts w:eastAsiaTheme="minorBidi"/>
          <w:lang w:val="fr-FR"/>
        </w:rPr>
        <w:fldChar w:fldCharType="end"/>
      </w:r>
    </w:p>
    <w:p w14:paraId="55352D06" w14:textId="77777777" w:rsidR="00664D0A" w:rsidRPr="00664D0A" w:rsidRDefault="00664D0A" w:rsidP="00B139C3">
      <w:pPr>
        <w:rPr>
          <w:rFonts w:eastAsiaTheme="minorBidi"/>
          <w:lang w:val="fr-FR"/>
        </w:rPr>
      </w:pPr>
      <w:r w:rsidRPr="00664D0A">
        <w:rPr>
          <w:rFonts w:eastAsiaTheme="minorBidi"/>
          <w:lang w:val="fr-FR"/>
        </w:rPr>
        <w:t xml:space="preserve">B-2 / Mécanismes </w:t>
      </w:r>
      <w:proofErr w:type="gramStart"/>
      <w:r w:rsidRPr="00664D0A">
        <w:rPr>
          <w:rFonts w:eastAsiaTheme="minorBidi"/>
          <w:lang w:val="fr-FR"/>
        </w:rPr>
        <w:t>d'action:</w:t>
      </w:r>
      <w:proofErr w:type="gramEnd"/>
    </w:p>
    <w:p w14:paraId="740D102D" w14:textId="1A5959A3" w:rsidR="00664D0A" w:rsidRPr="00664D0A" w:rsidRDefault="00664D0A" w:rsidP="0080119A">
      <w:pPr>
        <w:rPr>
          <w:rFonts w:eastAsiaTheme="minorBidi"/>
          <w:lang w:val="fr-FR"/>
        </w:rPr>
      </w:pPr>
      <w:r w:rsidRPr="00664D0A">
        <w:rPr>
          <w:rFonts w:eastAsiaTheme="minorBidi"/>
          <w:lang w:val="fr-FR"/>
        </w:rPr>
        <w:t>Le mode d'action des glinides est étroitement lié à celui des sulfonylurées, bien qu'il présente des spécificités moléculaires distinctes. Ils stimulent l'insulinosécrétion en se liant aux canaux potassiques ATP-dépendants ($K_{ATP}$) des cellules $\beta$ pancréatiques. Cependant, contrairement aux sulfamides, les glinides se fixent sur un site adjacent et distinct du récepteur SUR1. Cette liaison provoque une fermeture rapide des canaux, une dépolarisation membranaire et une entrée massive de calcium, déclenchant l'exocytose de l'insuline. La caractéristique majeure de ce mécanisme est sa réversibilité rapide, induisant une stimulation de l'insuline brève qui s'estompe dès que le glucose alimentaire est métabolisé .</w:t>
      </w:r>
      <w:r w:rsidR="0080119A">
        <w:rPr>
          <w:rFonts w:eastAsiaTheme="minorBidi"/>
          <w:lang w:val="fr-FR"/>
        </w:rPr>
        <w:fldChar w:fldCharType="begin"/>
      </w:r>
      <w:r w:rsidR="00116A61">
        <w:rPr>
          <w:rFonts w:eastAsiaTheme="minorBidi"/>
          <w:lang w:val="fr-FR"/>
        </w:rPr>
        <w:instrText xml:space="preserve"> ADDIN ZOTERO_ITEM CSL_CITATION {"citationID":"j4ipZHOu","properties":{"unsorted":false,"formattedCitation":"(56)","plainCitation":"(56)","noteIndex":0},"citationItems":[{"id":"6VBx8p83/hKdDjBat","uris":["http://zotero.org/users/local/xPnoPzR4/items/GV7JSDX2"],"itemData":{"id":340,"type":"article-journal","container-title":"Urology","DOI":"10.1016/j.urology.2020.04.135","ISSN":"1527-9995","journalAbbreviation":"Urology","language":"eng","page":"260","PMID":"32988492","source":"PubMed","title":"AUTHOR REPLY","volume":"144","author":[{"family":"Fischer","given":"Katherine M."},{"family":"Weiss","given":"Dana A."}],"issued":{"date-parts":[["2020",10]]}}}],"schema":"https://github.com/citation-style-language/schema/raw/master/csl-citation.json"} </w:instrText>
      </w:r>
      <w:r w:rsidR="0080119A">
        <w:rPr>
          <w:rFonts w:eastAsiaTheme="minorBidi"/>
          <w:lang w:val="fr-FR"/>
        </w:rPr>
        <w:fldChar w:fldCharType="separate"/>
      </w:r>
      <w:r w:rsidR="0080119A" w:rsidRPr="0080119A">
        <w:rPr>
          <w:rFonts w:ascii="Times New Roman" w:hAnsi="Times New Roman" w:cs="Times New Roman"/>
          <w:lang w:val="fr-FR"/>
        </w:rPr>
        <w:t>(56</w:t>
      </w:r>
      <w:r w:rsidR="0080119A" w:rsidRPr="0080119A">
        <w:rPr>
          <w:rFonts w:ascii="Times New Roman" w:hAnsi="Times New Roman" w:cs="Times New Roman"/>
        </w:rPr>
        <w:t>)</w:t>
      </w:r>
      <w:r w:rsidR="0080119A">
        <w:rPr>
          <w:rFonts w:eastAsiaTheme="minorBidi"/>
          <w:lang w:val="fr-FR"/>
        </w:rPr>
        <w:fldChar w:fldCharType="end"/>
      </w:r>
    </w:p>
    <w:p w14:paraId="343275C0" w14:textId="77777777" w:rsidR="00664D0A" w:rsidRPr="00664D0A" w:rsidRDefault="00664D0A" w:rsidP="00B139C3">
      <w:pPr>
        <w:rPr>
          <w:rFonts w:eastAsiaTheme="minorBidi"/>
          <w:lang w:val="fr-FR"/>
        </w:rPr>
      </w:pPr>
    </w:p>
    <w:p w14:paraId="0EDC13B4" w14:textId="77777777" w:rsidR="00664D0A" w:rsidRPr="006F25EE" w:rsidRDefault="00664D0A" w:rsidP="00B139C3">
      <w:pPr>
        <w:rPr>
          <w:lang w:val="fr-FR"/>
        </w:rPr>
      </w:pPr>
      <w:r>
        <w:rPr>
          <w:noProof/>
          <w:lang w:val="fr-FR" w:eastAsia="fr-FR"/>
        </w:rPr>
        <w:drawing>
          <wp:inline distT="0" distB="0" distL="0" distR="0" wp14:anchorId="0917EBC7" wp14:editId="75BCE36B">
            <wp:extent cx="5295900" cy="3133164"/>
            <wp:effectExtent l="19050" t="0" r="0" b="0"/>
            <wp:docPr id="6" name="Image 5"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jpg"/>
                    <pic:cNvPicPr/>
                  </pic:nvPicPr>
                  <pic:blipFill>
                    <a:blip r:embed="rId22"/>
                    <a:stretch>
                      <a:fillRect/>
                    </a:stretch>
                  </pic:blipFill>
                  <pic:spPr>
                    <a:xfrm>
                      <a:off x="0" y="0"/>
                      <a:ext cx="5292982" cy="3131438"/>
                    </a:xfrm>
                    <a:prstGeom prst="rect">
                      <a:avLst/>
                    </a:prstGeom>
                  </pic:spPr>
                </pic:pic>
              </a:graphicData>
            </a:graphic>
          </wp:inline>
        </w:drawing>
      </w:r>
    </w:p>
    <w:p w14:paraId="2BECA8C6" w14:textId="6F2A66AA" w:rsidR="00664D0A" w:rsidRPr="00664D0A" w:rsidRDefault="00664D0A" w:rsidP="00B139C3">
      <w:pPr>
        <w:rPr>
          <w:rFonts w:eastAsiaTheme="minorBidi"/>
          <w:lang w:val="fr-FR"/>
        </w:rPr>
      </w:pPr>
      <w:bookmarkStart w:id="49" w:name="_Toc229617295"/>
      <w:r w:rsidRPr="00664D0A">
        <w:rPr>
          <w:lang w:val="fr-FR"/>
        </w:rPr>
        <w:t xml:space="preserve">Figure </w:t>
      </w:r>
      <w:r>
        <w:fldChar w:fldCharType="begin"/>
      </w:r>
      <w:r w:rsidRPr="00664D0A">
        <w:rPr>
          <w:lang w:val="fr-FR"/>
        </w:rPr>
        <w:instrText xml:space="preserve"> SEQ Figure \* ARABIC </w:instrText>
      </w:r>
      <w:r>
        <w:fldChar w:fldCharType="separate"/>
      </w:r>
      <w:r w:rsidR="00983108">
        <w:rPr>
          <w:noProof/>
          <w:lang w:val="fr-FR"/>
        </w:rPr>
        <w:t>5</w:t>
      </w:r>
      <w:r>
        <w:rPr>
          <w:noProof/>
        </w:rPr>
        <w:fldChar w:fldCharType="end"/>
      </w:r>
      <w:r w:rsidRPr="00664D0A">
        <w:rPr>
          <w:lang w:val="fr-FR"/>
        </w:rPr>
        <w:t xml:space="preserve"> : Le mécanisme d’action des glinides</w:t>
      </w:r>
      <w:bookmarkEnd w:id="49"/>
    </w:p>
    <w:p w14:paraId="3113793D" w14:textId="77777777" w:rsidR="00664D0A" w:rsidRPr="00664D0A" w:rsidRDefault="00664D0A" w:rsidP="00B139C3">
      <w:pPr>
        <w:rPr>
          <w:rFonts w:eastAsiaTheme="minorBidi"/>
          <w:lang w:val="fr-FR"/>
        </w:rPr>
      </w:pPr>
    </w:p>
    <w:p w14:paraId="531EF3AC" w14:textId="77777777" w:rsidR="00664D0A" w:rsidRPr="00664D0A" w:rsidRDefault="00664D0A" w:rsidP="00B139C3">
      <w:pPr>
        <w:rPr>
          <w:rFonts w:eastAsiaTheme="minorBidi"/>
          <w:lang w:val="fr-FR"/>
        </w:rPr>
      </w:pPr>
    </w:p>
    <w:p w14:paraId="6576F782" w14:textId="77777777" w:rsidR="00664D0A" w:rsidRPr="00664D0A" w:rsidRDefault="00664D0A" w:rsidP="00B139C3">
      <w:pPr>
        <w:rPr>
          <w:rFonts w:eastAsiaTheme="minorBidi"/>
          <w:lang w:val="fr-FR"/>
        </w:rPr>
      </w:pPr>
      <w:r w:rsidRPr="00664D0A">
        <w:rPr>
          <w:rFonts w:eastAsiaTheme="minorBidi"/>
          <w:lang w:val="fr-FR"/>
        </w:rPr>
        <w:t xml:space="preserve"> B-3 / Éléments de </w:t>
      </w:r>
      <w:proofErr w:type="gramStart"/>
      <w:r w:rsidRPr="00664D0A">
        <w:rPr>
          <w:rFonts w:eastAsiaTheme="minorBidi"/>
          <w:lang w:val="fr-FR"/>
        </w:rPr>
        <w:t>pharmacocinétique:</w:t>
      </w:r>
      <w:proofErr w:type="gramEnd"/>
    </w:p>
    <w:p w14:paraId="410F462A" w14:textId="08135C51" w:rsidR="00664D0A" w:rsidRPr="00664D0A" w:rsidRDefault="00664D0A" w:rsidP="0080119A">
      <w:pPr>
        <w:rPr>
          <w:rFonts w:eastAsiaTheme="minorBidi"/>
          <w:lang w:val="fr-FR"/>
        </w:rPr>
      </w:pPr>
      <w:r w:rsidRPr="00664D0A">
        <w:rPr>
          <w:rFonts w:eastAsiaTheme="minorBidi"/>
          <w:lang w:val="fr-FR"/>
        </w:rPr>
        <w:t xml:space="preserve">Sur le plan pharmacocinétique, les glinides se distinguent par une absorption gastro-intestinale extrêmement rapide, avec une concentration plasmatique maximale atteinte en seulement une heure et une biodisponibilité avoisinant les 60 %. Leur demi-vie est très courte (environ 1 heure), nécessitant des prises répétées avant chaque repas. Le répaglinide est métabolisé au niveau hépatique par l'enzyme CYP2C8, et ses métabolites sont dépourvus d'activité hypoglycémiante. Un avantage clinique majeur réside dans son mode d'élimination : celle-ci est principalement biliaire (excrétion fécale), ce qui permet son utilisation chez des </w:t>
      </w:r>
      <w:r w:rsidRPr="00664D0A">
        <w:rPr>
          <w:rFonts w:eastAsiaTheme="minorBidi"/>
          <w:lang w:val="fr-FR"/>
        </w:rPr>
        <w:lastRenderedPageBreak/>
        <w:t>patients présentant une insuffisance rénale légère à modérée, contrairement à de nombreux autres antidiabétiques .</w:t>
      </w:r>
      <w:r w:rsidR="0080119A">
        <w:rPr>
          <w:rFonts w:eastAsiaTheme="minorBidi"/>
          <w:lang w:val="fr-FR"/>
        </w:rPr>
        <w:fldChar w:fldCharType="begin"/>
      </w:r>
      <w:r w:rsidR="00116A61">
        <w:rPr>
          <w:rFonts w:eastAsiaTheme="minorBidi"/>
          <w:lang w:val="fr-FR"/>
        </w:rPr>
        <w:instrText xml:space="preserve"> ADDIN ZOTERO_ITEM CSL_CITATION {"citationID":"mYedRQrW","properties":{"unsorted":false,"formattedCitation":"(57)","plainCitation":"(57)","noteIndex":0},"citationItems":[{"id":"6VBx8p83/56N9S0IW","uris":["http://zotero.org/users/local/xPnoPzR4/items/QX3ZYZY8"],"itemData":{"id":342,"type":"webpage","title":"Comparing the Efficacy and Long-Term Outcomes of Sodium-Glucose Cotransporter-2 (SGLT2) Inhibitors, Dipeptidyl Peptidase-4 (DPP-4) Inhibitors, Metformin, and Insulin in the Management of Type 2 Diabetes Mellitus - PMC","URL":"https://pmc.ncbi.nlm.nih.gov/articles/PMC11669386/","accessed":{"date-parts":[["2026",5,14]]}}}],"schema":"https://github.com/citation-style-language/schema/raw/master/csl-citation.json"} </w:instrText>
      </w:r>
      <w:r w:rsidR="0080119A">
        <w:rPr>
          <w:rFonts w:eastAsiaTheme="minorBidi"/>
          <w:lang w:val="fr-FR"/>
        </w:rPr>
        <w:fldChar w:fldCharType="separate"/>
      </w:r>
      <w:r w:rsidR="0080119A" w:rsidRPr="0080119A">
        <w:rPr>
          <w:rFonts w:ascii="Times New Roman" w:hAnsi="Times New Roman" w:cs="Times New Roman"/>
          <w:lang w:val="fr-FR"/>
        </w:rPr>
        <w:t>(57)</w:t>
      </w:r>
      <w:r w:rsidR="0080119A">
        <w:rPr>
          <w:rFonts w:eastAsiaTheme="minorBidi"/>
          <w:lang w:val="fr-FR"/>
        </w:rPr>
        <w:fldChar w:fldCharType="end"/>
      </w:r>
    </w:p>
    <w:p w14:paraId="020384A4" w14:textId="77777777" w:rsidR="00664D0A" w:rsidRPr="00664D0A" w:rsidRDefault="00664D0A" w:rsidP="00B139C3">
      <w:pPr>
        <w:rPr>
          <w:rFonts w:eastAsiaTheme="minorBidi"/>
          <w:lang w:val="fr-FR"/>
        </w:rPr>
      </w:pPr>
      <w:r w:rsidRPr="00664D0A">
        <w:rPr>
          <w:rFonts w:eastAsiaTheme="minorBidi"/>
          <w:lang w:val="fr-FR"/>
        </w:rPr>
        <w:t xml:space="preserve"> B-4 / Contre-</w:t>
      </w:r>
      <w:proofErr w:type="gramStart"/>
      <w:r w:rsidRPr="00664D0A">
        <w:rPr>
          <w:rFonts w:eastAsiaTheme="minorBidi"/>
          <w:lang w:val="fr-FR"/>
        </w:rPr>
        <w:t>indications:</w:t>
      </w:r>
      <w:proofErr w:type="gramEnd"/>
    </w:p>
    <w:p w14:paraId="27CDAB9C" w14:textId="2A84A250" w:rsidR="00664D0A" w:rsidRPr="00664D0A" w:rsidRDefault="00664D0A" w:rsidP="00577C0B">
      <w:pPr>
        <w:rPr>
          <w:rFonts w:eastAsiaTheme="minorBidi"/>
          <w:lang w:val="fr-FR"/>
        </w:rPr>
      </w:pPr>
      <w:r w:rsidRPr="00664D0A">
        <w:rPr>
          <w:rFonts w:eastAsiaTheme="minorBidi"/>
          <w:lang w:val="fr-FR"/>
        </w:rPr>
        <w:t>L'utilisation des glinides est contre-indiquée lors de la grossesse ou de l'allaitement, ainsi qu'en cas d'insuffisance hépatique sévère. Une attention particulière doit être portée aux interactions médicamenteuses majeures : l'association avec le Gemfibrozil (un hypolipémiant) ou le Clopidogrel est formellement proscrite, car ces molécules inhibent le métabolisme du répaglinide, entraînant un risque d'hypoglycémie</w:t>
      </w:r>
      <w:r w:rsidR="00577C0B">
        <w:rPr>
          <w:rFonts w:eastAsiaTheme="minorBidi"/>
          <w:lang w:val="fr-FR"/>
        </w:rPr>
        <w:t xml:space="preserve"> sévère et </w:t>
      </w:r>
      <w:proofErr w:type="gramStart"/>
      <w:r w:rsidR="00577C0B">
        <w:rPr>
          <w:rFonts w:eastAsiaTheme="minorBidi"/>
          <w:lang w:val="fr-FR"/>
        </w:rPr>
        <w:t>prolongée .</w:t>
      </w:r>
      <w:proofErr w:type="gramEnd"/>
    </w:p>
    <w:p w14:paraId="183D42F6" w14:textId="77777777" w:rsidR="00664D0A" w:rsidRPr="00664D0A" w:rsidRDefault="00664D0A" w:rsidP="00B139C3">
      <w:pPr>
        <w:rPr>
          <w:rFonts w:eastAsiaTheme="minorBidi"/>
          <w:lang w:val="fr-FR"/>
        </w:rPr>
      </w:pPr>
      <w:r w:rsidRPr="00664D0A">
        <w:rPr>
          <w:rFonts w:eastAsiaTheme="minorBidi"/>
          <w:lang w:val="fr-FR"/>
        </w:rPr>
        <w:t>B-5 /Effets indésirables :</w:t>
      </w:r>
    </w:p>
    <w:p w14:paraId="013E8F31" w14:textId="27CFBB49" w:rsidR="00664D0A" w:rsidRPr="00664D0A" w:rsidRDefault="00664D0A" w:rsidP="0080119A">
      <w:pPr>
        <w:rPr>
          <w:rFonts w:eastAsiaTheme="minorBidi"/>
          <w:lang w:val="fr-FR"/>
        </w:rPr>
      </w:pPr>
      <w:r w:rsidRPr="00664D0A">
        <w:rPr>
          <w:rFonts w:eastAsiaTheme="minorBidi"/>
          <w:lang w:val="fr-FR"/>
        </w:rPr>
        <w:t xml:space="preserve">Le profil de tolérance des glinides est principalement marqué par un risque d'hypoglycémie, bien que celui-ci soit statistiquement moins fréquent et moins sévère qu'avec les sulfamides. Ce risque est directement lié à la brièveté de l'action de la molécule et survient le plus souvent en cas d'omission d'un repas ou d'activité physique intense non programmée. Parallèlement, une prise de poids modérée, généralement comprise entre 0,5 et 2 kg, est fréquemment observée, résultant de la stimulation physiologique de l'insulino-sécrétion prandiale </w:t>
      </w:r>
      <w:r w:rsidR="0080119A">
        <w:rPr>
          <w:rFonts w:eastAsiaTheme="minorBidi"/>
          <w:lang w:val="fr-FR"/>
        </w:rPr>
        <w:fldChar w:fldCharType="begin"/>
      </w:r>
      <w:r w:rsidR="00116A61">
        <w:rPr>
          <w:rFonts w:eastAsiaTheme="minorBidi"/>
          <w:lang w:val="fr-FR"/>
        </w:rPr>
        <w:instrText xml:space="preserve"> ADDIN ZOTERO_ITEM CSL_CITATION {"citationID":"FlAqBY3v","properties":{"unsorted":false,"formattedCitation":"(58)","plainCitation":"(58)","noteIndex":0},"citationItems":[{"id":"6VBx8p83/vMhdEI8W","uris":["http://zotero.org/users/local/xPnoPzR4/items/8V2JWT9M"],"itemData":{"id":337,"type":"article-journal","abstract":"The American Diabetes Association and the European Association for the Study of Diabetes convened a panel to update the previous consensus statements on the management of hyperglycemia in type 2 diabetes in adults, published since 2006 and last updated in 2019. The target audience is the full spectrum of the professional health care team providing diabetes care in the U.S. and Europe. A systematic examination of publications since 2018 informed new recommendations. These include additional focus on social determinants of health, the health care system, and physical activity behaviors, including sleep. There is a greater emphasis on weight management as part of the holistic approach to diabetes management. The results of cardiovascular and kidney outcomes trials involving sodium-glucose cotransporter 2 inhibitors and glucagon-like peptide 1 receptor agonists, including assessment of subgroups, inform broader recommendations for cardiorenal protection in people with diabetes at high risk of cardiorenal disease. After a summary listing of consensus recommendations, practical tips for implementation are provided.","container-title":"Diabetes Care","DOI":"10.2337/dci22-0034","ISSN":"1935-5548","issue":"11","journalAbbreviation":"Diabetes Care","language":"eng","page":"2753-2786","PMID":"36148880","PMCID":"PMC10008140","source":"PubMed","title":"Management of Hyperglycemia in Type 2 Diabetes, 2022. A Consensus Report by the American Diabetes Association (ADA) and the European Association for the Study of Diabetes (EASD)","volume":"45","author":[{"family":"Davies","given":"Melanie J."},{"family":"Aroda","given":"Vanita R."},{"family":"Collins","given":"Billy S."},{"family":"Gabbay","given":"Robert A."},{"family":"Green","given":"Jennifer"},{"family":"Maruthur","given":"Nisa M."},{"family":"Rosas","given":"Sylvia E."},{"family":"Del Prato","given":"Stefano"},{"family":"Mathieu","given":"Chantal"},{"family":"Mingrone","given":"Geltrude"},{"family":"Rossing","given":"Peter"},{"family":"Tankova","given":"Tsvetalina"},{"family":"Tsapas","given":"Apostolos"},{"family":"Buse","given":"John B."}],"issued":{"date-parts":[["2022",11,1]]}}}],"schema":"https://github.com/citation-style-language/schema/raw/master/csl-citation.json"} </w:instrText>
      </w:r>
      <w:r w:rsidR="0080119A">
        <w:rPr>
          <w:rFonts w:eastAsiaTheme="minorBidi"/>
          <w:lang w:val="fr-FR"/>
        </w:rPr>
        <w:fldChar w:fldCharType="separate"/>
      </w:r>
      <w:r w:rsidR="0080119A" w:rsidRPr="0080119A">
        <w:rPr>
          <w:rFonts w:ascii="Times New Roman" w:hAnsi="Times New Roman" w:cs="Times New Roman"/>
          <w:lang w:val="fr-FR"/>
        </w:rPr>
        <w:t>(58)</w:t>
      </w:r>
      <w:r w:rsidR="0080119A">
        <w:rPr>
          <w:rFonts w:eastAsiaTheme="minorBidi"/>
          <w:lang w:val="fr-FR"/>
        </w:rPr>
        <w:fldChar w:fldCharType="end"/>
      </w:r>
    </w:p>
    <w:p w14:paraId="478D0621" w14:textId="4C8E786C" w:rsidR="00664D0A" w:rsidRPr="00664D0A" w:rsidRDefault="00664D0A" w:rsidP="00577C0B">
      <w:pPr>
        <w:rPr>
          <w:rFonts w:eastAsiaTheme="minorBidi"/>
          <w:lang w:val="fr-FR"/>
        </w:rPr>
      </w:pPr>
      <w:r w:rsidRPr="00664D0A">
        <w:rPr>
          <w:rFonts w:eastAsiaTheme="minorBidi"/>
          <w:lang w:val="fr-FR"/>
        </w:rPr>
        <w:t xml:space="preserve">De manière plus anecdotique, des troubles gastro-intestinaux transitoires, des réactions allergiques cutanées ou des perturbations hépatiques biologiques peuvent apparaître. Des troubles visuels passagers, liés aux variations glycémiques rapides en début de traitement, ont également été rapportés. Il est cependant impératif de surveiller les interactions médicamenteuses, notamment avec le </w:t>
      </w:r>
      <w:r w:rsidR="00577C0B">
        <w:rPr>
          <w:rFonts w:eastAsiaTheme="minorBidi"/>
          <w:lang w:val="fr-FR"/>
        </w:rPr>
        <w:t xml:space="preserve">gemfibrozil ou le clopidogrel, </w:t>
      </w:r>
    </w:p>
    <w:p w14:paraId="576928A8" w14:textId="311030D3" w:rsidR="00664D0A" w:rsidRPr="00577C0B" w:rsidRDefault="00664D0A" w:rsidP="00577C0B">
      <w:pPr>
        <w:pStyle w:val="Heading3"/>
        <w:rPr>
          <w:rFonts w:eastAsiaTheme="minorBidi"/>
        </w:rPr>
      </w:pPr>
      <w:r w:rsidRPr="00664D0A">
        <w:rPr>
          <w:rFonts w:eastAsiaTheme="minorBidi"/>
        </w:rPr>
        <w:t>7-2-2/L’insulinothérapie :</w:t>
      </w:r>
    </w:p>
    <w:p w14:paraId="784990D1" w14:textId="06710F0C" w:rsidR="00664D0A" w:rsidRPr="00664D0A" w:rsidRDefault="00664D0A" w:rsidP="0080119A">
      <w:pPr>
        <w:rPr>
          <w:rFonts w:eastAsiaTheme="minorBidi"/>
          <w:color w:val="000000"/>
          <w:lang w:val="fr-FR"/>
        </w:rPr>
      </w:pPr>
      <w:r w:rsidRPr="00664D0A">
        <w:rPr>
          <w:rFonts w:eastAsiaTheme="minorBidi"/>
          <w:color w:val="000000"/>
          <w:lang w:val="fr-FR"/>
        </w:rPr>
        <w:t xml:space="preserve"> L'insuline représente l'agent pharmacologique le plus puissant dans le contrôle du diabète, capable de réduire le taux d'hémoglobine glyquée (HbA1c) de 1,5 % à 3,5 % selon </w:t>
      </w:r>
      <w:r w:rsidR="00A032FC">
        <w:rPr>
          <w:rFonts w:eastAsiaTheme="minorBidi"/>
          <w:color w:val="000000"/>
          <w:lang w:val="fr-FR"/>
        </w:rPr>
        <w:t>une relation dose-dépendante</w:t>
      </w:r>
      <w:r w:rsidRPr="00664D0A">
        <w:rPr>
          <w:rFonts w:eastAsiaTheme="minorBidi"/>
          <w:color w:val="000000"/>
          <w:lang w:val="fr-FR"/>
        </w:rPr>
        <w:t>. Son instauration peut être transitoire, pour stabiliser une situation aiguë (chirurgie, infection, infarctus), ou définitive, suite à l'échec des traitements oraux à doses maximales, à une contre-indication majeure ou dans un but de confort en fin de vie .</w:t>
      </w:r>
      <w:r w:rsidR="00A032FC">
        <w:rPr>
          <w:rFonts w:eastAsiaTheme="minorBidi"/>
          <w:color w:val="000000"/>
          <w:lang w:val="fr-FR"/>
        </w:rPr>
        <w:fldChar w:fldCharType="begin"/>
      </w:r>
      <w:r w:rsidR="00116A61">
        <w:rPr>
          <w:rFonts w:eastAsiaTheme="minorBidi"/>
          <w:color w:val="000000"/>
          <w:lang w:val="fr-FR"/>
        </w:rPr>
        <w:instrText xml:space="preserve"> ADDIN ZOTERO_ITEM CSL_CITATION {"citationID":"JyTSAwvN","properties":{"unsorted":false,"formattedCitation":"(59)","plainCitation":"(59)","noteIndex":0},"citationItems":[{"id":"6VBx8p83/lQ02gk7w","uris":["http://zotero.org/users/local/xPnoPzR4/items/QPHYQSGR"],"itemData":{"id":326,"type":"webpage","title":"Instauration d’une insulinothérapie en présence d’un diabète de type 2 déséquilibré - ScienceDirect","URL":"https://www.sciencedirect.com/science/article/abs/pii/S0515370016301719","accessed":{"date-parts":[["2026",5,14]]}}}],"schema":"https://github.com/citation-style-language/schema/raw/master/csl-citation.json"} </w:instrText>
      </w:r>
      <w:r w:rsidR="00A032FC">
        <w:rPr>
          <w:rFonts w:eastAsiaTheme="minorBidi"/>
          <w:color w:val="000000"/>
          <w:lang w:val="fr-FR"/>
        </w:rPr>
        <w:fldChar w:fldCharType="separate"/>
      </w:r>
      <w:r w:rsidR="0080119A" w:rsidRPr="0080119A">
        <w:rPr>
          <w:rFonts w:ascii="Times New Roman" w:hAnsi="Times New Roman" w:cs="Times New Roman"/>
          <w:lang w:val="fr-FR"/>
        </w:rPr>
        <w:t>(59)</w:t>
      </w:r>
      <w:r w:rsidR="00A032FC">
        <w:rPr>
          <w:rFonts w:eastAsiaTheme="minorBidi"/>
          <w:color w:val="000000"/>
          <w:lang w:val="fr-FR"/>
        </w:rPr>
        <w:fldChar w:fldCharType="end"/>
      </w:r>
    </w:p>
    <w:p w14:paraId="39458F52" w14:textId="77777777" w:rsidR="00664D0A" w:rsidRPr="00664D0A" w:rsidRDefault="00664D0A" w:rsidP="00B139C3">
      <w:pPr>
        <w:rPr>
          <w:lang w:val="fr-FR"/>
        </w:rPr>
      </w:pPr>
      <w:r w:rsidRPr="00664D0A">
        <w:rPr>
          <w:lang w:val="fr-FR"/>
        </w:rPr>
        <w:t>Le passage à l'insulinothérapie constitue une étape clinique complexe, souvent entravée par une résistance psychologique multidimensionnelle. Selon les données de la littérature et les instances de santé, ces freins s'articulent autour de quatre axes majeurs :</w:t>
      </w:r>
    </w:p>
    <w:p w14:paraId="3C981E1F" w14:textId="77777777" w:rsidR="00664D0A" w:rsidRPr="00664D0A" w:rsidRDefault="00664D0A" w:rsidP="00B139C3">
      <w:pPr>
        <w:rPr>
          <w:lang w:val="fr-FR"/>
        </w:rPr>
      </w:pPr>
      <w:r w:rsidRPr="00664D0A">
        <w:rPr>
          <w:lang w:val="fr-FR"/>
        </w:rPr>
        <w:t>La symbolique de l'échec et de la progression : L'initiation de l'insuline est fréquemment perçue par le patient comme un échec personnel ou une auto-culpabilisation face à l'inefficacité des traitements antérieurs. Elle est vécue comme le signe d'une progression inéluctable de la maladie, représentant une « étape finale » associée à l'imminence de complications.</w:t>
      </w:r>
    </w:p>
    <w:p w14:paraId="32C8633B" w14:textId="77777777" w:rsidR="00664D0A" w:rsidRPr="00664D0A" w:rsidRDefault="00664D0A" w:rsidP="00B139C3">
      <w:pPr>
        <w:rPr>
          <w:lang w:val="fr-FR"/>
        </w:rPr>
      </w:pPr>
      <w:r w:rsidRPr="00664D0A">
        <w:rPr>
          <w:lang w:val="fr-FR"/>
        </w:rPr>
        <w:t>Les barrières techniques et physiques : Le caractère injectable du traitement génère des réticences liées à la peur des aiguilles, à la douleur de la piqûre et à la difficulté de l'autosurveillance glycémique.</w:t>
      </w:r>
    </w:p>
    <w:p w14:paraId="4C938B5A" w14:textId="2C8F86A2" w:rsidR="00664D0A" w:rsidRPr="00664D0A" w:rsidRDefault="00664D0A" w:rsidP="00A032FC">
      <w:pPr>
        <w:rPr>
          <w:lang w:val="fr-FR"/>
        </w:rPr>
      </w:pPr>
      <w:r w:rsidRPr="00664D0A">
        <w:rPr>
          <w:lang w:val="fr-FR"/>
        </w:rPr>
        <w:lastRenderedPageBreak/>
        <w:t>La crainte des effets indésirables : Les préoccupations majeures concernent le risque élevé d'hypoglycémie et la prise de poids, deux facteurs impactant directement l'acceptation du traitement.</w:t>
      </w:r>
      <w:r w:rsidR="00A032FC" w:rsidRPr="00664D0A">
        <w:rPr>
          <w:lang w:val="fr-FR"/>
        </w:rPr>
        <w:t xml:space="preserve"> </w:t>
      </w:r>
    </w:p>
    <w:p w14:paraId="5355C905" w14:textId="4D98F8F3" w:rsidR="00664D0A" w:rsidRPr="00664D0A" w:rsidRDefault="00664D0A" w:rsidP="0080119A">
      <w:pPr>
        <w:rPr>
          <w:lang w:val="fr-FR"/>
        </w:rPr>
      </w:pPr>
      <w:r w:rsidRPr="00664D0A">
        <w:rPr>
          <w:lang w:val="fr-FR"/>
        </w:rPr>
        <w:t>L'impact psychosocial et structurel : Le traitement est associé à des restrictions du mode de vie, une perception de contrainte thérapeutique quotidienne et un stigmate social (peur du regard d'autrui). Ces éléments, couplés parfois à une faible perception de la nécessité ou de l'efficacité de l'insuline, altèrent la qualité d</w:t>
      </w:r>
      <w:r w:rsidR="00A032FC">
        <w:rPr>
          <w:lang w:val="fr-FR"/>
        </w:rPr>
        <w:t xml:space="preserve">e vie globale du patient. </w:t>
      </w:r>
      <w:r w:rsidR="00A032FC">
        <w:rPr>
          <w:lang w:val="fr-FR"/>
        </w:rPr>
        <w:fldChar w:fldCharType="begin"/>
      </w:r>
      <w:r w:rsidR="00116A61">
        <w:rPr>
          <w:lang w:val="fr-FR"/>
        </w:rPr>
        <w:instrText xml:space="preserve"> ADDIN ZOTERO_ITEM CSL_CITATION {"citationID":"67zIWnw6","properties":{"unsorted":false,"formattedCitation":"(60)","plainCitation":"(60)","noteIndex":0},"citationItems":[{"id":"6VBx8p83/tIYA1Y2A","uris":["http://zotero.org/users/local/xPnoPzR4/items/LAYAGPNN"],"itemData":{"id":328,"type":"webpage","title":"‘Is insulin right for me?’: Feasibility of a pilot randomised controlled trial and acceptability of a web‐based intervention to reduce psychological barriers to insulin therapy among adults with type 2 diabetes - Holmes‐Truscott - 2022 - Diabetic Medicine - Wiley Online Library","URL":"https://onlinelibrary.wiley.com/doi/10.1111/dme.14759","accessed":{"date-parts":[["2026",5,14]]}}}],"schema":"https://github.com/citation-style-language/schema/raw/master/csl-citation.json"} </w:instrText>
      </w:r>
      <w:r w:rsidR="00A032FC">
        <w:rPr>
          <w:lang w:val="fr-FR"/>
        </w:rPr>
        <w:fldChar w:fldCharType="separate"/>
      </w:r>
      <w:r w:rsidR="0080119A" w:rsidRPr="0080119A">
        <w:rPr>
          <w:rFonts w:ascii="Times New Roman" w:hAnsi="Times New Roman" w:cs="Times New Roman"/>
          <w:lang w:val="fr-FR"/>
        </w:rPr>
        <w:t>(60)</w:t>
      </w:r>
      <w:r w:rsidR="00A032FC">
        <w:rPr>
          <w:lang w:val="fr-FR"/>
        </w:rPr>
        <w:fldChar w:fldCharType="end"/>
      </w:r>
    </w:p>
    <w:p w14:paraId="4AD01D6A" w14:textId="796C3868" w:rsidR="00664D0A" w:rsidRPr="00664D0A" w:rsidRDefault="00664D0A" w:rsidP="0080119A">
      <w:pPr>
        <w:rPr>
          <w:rFonts w:eastAsiaTheme="minorBidi"/>
          <w:color w:val="000000"/>
          <w:lang w:val="fr-FR"/>
        </w:rPr>
      </w:pPr>
      <w:r w:rsidRPr="00664D0A">
        <w:rPr>
          <w:rFonts w:eastAsiaTheme="minorBidi"/>
          <w:color w:val="000000"/>
          <w:lang w:val="fr-FR"/>
        </w:rPr>
        <w:t xml:space="preserve">   C’est pour cela que  ce passage nécessite une Éducation Thérapeutique du Patient (ETP) structurée,les modalités et les étapes de cette prise en charge éducative feront l'objet d'un développement approfon</w:t>
      </w:r>
      <w:r w:rsidR="00A032FC">
        <w:rPr>
          <w:rFonts w:eastAsiaTheme="minorBidi"/>
          <w:color w:val="000000"/>
          <w:lang w:val="fr-FR"/>
        </w:rPr>
        <w:t>di dans le chapitre dédié .</w:t>
      </w:r>
      <w:r w:rsidR="00A032FC">
        <w:rPr>
          <w:rFonts w:eastAsiaTheme="minorBidi"/>
          <w:color w:val="000000"/>
          <w:lang w:val="fr-FR"/>
        </w:rPr>
        <w:fldChar w:fldCharType="begin"/>
      </w:r>
      <w:r w:rsidR="00116A61">
        <w:rPr>
          <w:rFonts w:eastAsiaTheme="minorBidi"/>
          <w:color w:val="000000"/>
          <w:lang w:val="fr-FR"/>
        </w:rPr>
        <w:instrText xml:space="preserve"> ADDIN ZOTERO_ITEM CSL_CITATION {"citationID":"fYV2a3kx","properties":{"unsorted":false,"formattedCitation":"(61)","plainCitation":"(61)","noteIndex":0},"citationItems":[{"id":"6VBx8p83/rE1RnUK6","uris":["http://zotero.org/users/local/xPnoPzR4/items/52MVCT5T"],"itemData":{"id":321,"type":"article-journal","container-title":"Obésité","DOI":"10.1007/s11690-009-0174-4","ISSN":"1951-5995, 1951-6002","issue":"1","journalAbbreviation":"Obes","language":"fr","license":"http://www.springer.com/tdm","page":"39-43","source":"DOI.org (Crossref)","title":"Éducation thérapeutique du patient Définition, finalités et organisation: Juin 2007","title-short":"Éducation thérapeutique du patient Définition, finalités et organisation","volume":"4","issued":{"date-parts":[["2009",3]]}}}],"schema":"https://github.com/citation-style-language/schema/raw/master/csl-citation.json"} </w:instrText>
      </w:r>
      <w:r w:rsidR="00A032FC">
        <w:rPr>
          <w:rFonts w:eastAsiaTheme="minorBidi"/>
          <w:color w:val="000000"/>
          <w:lang w:val="fr-FR"/>
        </w:rPr>
        <w:fldChar w:fldCharType="separate"/>
      </w:r>
      <w:r w:rsidR="0080119A" w:rsidRPr="0080119A">
        <w:rPr>
          <w:rFonts w:ascii="Times New Roman" w:hAnsi="Times New Roman" w:cs="Times New Roman"/>
          <w:lang w:val="fr-FR"/>
        </w:rPr>
        <w:t>(61)</w:t>
      </w:r>
      <w:r w:rsidR="00A032FC">
        <w:rPr>
          <w:rFonts w:eastAsiaTheme="minorBidi"/>
          <w:color w:val="000000"/>
          <w:lang w:val="fr-FR"/>
        </w:rPr>
        <w:fldChar w:fldCharType="end"/>
      </w:r>
    </w:p>
    <w:p w14:paraId="2D0543ED" w14:textId="77777777" w:rsidR="00664D0A" w:rsidRPr="00664D0A" w:rsidRDefault="00664D0A" w:rsidP="00B139C3">
      <w:pPr>
        <w:rPr>
          <w:rFonts w:eastAsiaTheme="minorBidi"/>
          <w:color w:val="000000"/>
          <w:lang w:val="fr-FR"/>
        </w:rPr>
      </w:pPr>
      <w:r w:rsidRPr="00664D0A">
        <w:rPr>
          <w:rFonts w:eastAsiaTheme="minorBidi"/>
          <w:color w:val="000000"/>
          <w:lang w:val="fr-FR"/>
        </w:rPr>
        <w:t xml:space="preserve">Les différents types d’insuline et leurs </w:t>
      </w:r>
      <w:proofErr w:type="gramStart"/>
      <w:r w:rsidRPr="00664D0A">
        <w:rPr>
          <w:rFonts w:eastAsiaTheme="minorBidi"/>
          <w:color w:val="000000"/>
          <w:lang w:val="fr-FR"/>
        </w:rPr>
        <w:t>cinétiques:</w:t>
      </w:r>
      <w:proofErr w:type="gramEnd"/>
    </w:p>
    <w:p w14:paraId="5E57D8D4" w14:textId="78E17DD9" w:rsidR="00664D0A" w:rsidRPr="00664D0A" w:rsidRDefault="00664D0A" w:rsidP="0080119A">
      <w:pPr>
        <w:rPr>
          <w:rFonts w:eastAsiaTheme="minorBidi"/>
          <w:color w:val="000000"/>
          <w:lang w:val="fr-FR"/>
        </w:rPr>
      </w:pPr>
      <w:r w:rsidRPr="00664D0A">
        <w:rPr>
          <w:rFonts w:eastAsiaTheme="minorBidi"/>
          <w:color w:val="000000"/>
          <w:lang w:val="fr-FR"/>
        </w:rPr>
        <w:t xml:space="preserve">Les préparations insuliniques sont classées selon leur profil pharmacodynamique pour mimer au mieux la sécrétion physiologique </w:t>
      </w:r>
      <w:r w:rsidR="00577C0B">
        <w:rPr>
          <w:rFonts w:eastAsiaTheme="minorBidi"/>
          <w:color w:val="000000"/>
          <w:lang w:val="fr-FR"/>
        </w:rPr>
        <w:t>:</w:t>
      </w:r>
      <w:r w:rsidR="00A032FC">
        <w:rPr>
          <w:rFonts w:eastAsiaTheme="minorBidi"/>
          <w:color w:val="000000"/>
          <w:lang w:val="fr-FR"/>
        </w:rPr>
        <w:fldChar w:fldCharType="begin"/>
      </w:r>
      <w:r w:rsidR="00116A61">
        <w:rPr>
          <w:rFonts w:eastAsiaTheme="minorBidi"/>
          <w:color w:val="000000"/>
          <w:lang w:val="fr-FR"/>
        </w:rPr>
        <w:instrText xml:space="preserve"> ADDIN ZOTERO_ITEM CSL_CITATION {"citationID":"jk42PDlD","properties":{"unsorted":false,"formattedCitation":"(59)","plainCitation":"(59)","noteIndex":0},"citationItems":[{"id":"6VBx8p83/lQ02gk7w","uris":["http://zotero.org/users/local/xPnoPzR4/items/QPHYQSGR"],"itemData":{"id":326,"type":"webpage","title":"Instauration d’une insulinothérapie en présence d’un diabète de type 2 déséquilibré - ScienceDirect","URL":"https://www.sciencedirect.com/science/article/abs/pii/S0515370016301719","accessed":{"date-parts":[["2026",5,14]]}}}],"schema":"https://github.com/citation-style-language/schema/raw/master/csl-citation.json"} </w:instrText>
      </w:r>
      <w:r w:rsidR="00A032FC">
        <w:rPr>
          <w:rFonts w:eastAsiaTheme="minorBidi"/>
          <w:color w:val="000000"/>
          <w:lang w:val="fr-FR"/>
        </w:rPr>
        <w:fldChar w:fldCharType="separate"/>
      </w:r>
      <w:r w:rsidR="0080119A" w:rsidRPr="0080119A">
        <w:rPr>
          <w:rFonts w:ascii="Times New Roman" w:hAnsi="Times New Roman" w:cs="Times New Roman"/>
          <w:lang w:val="fr-FR"/>
        </w:rPr>
        <w:t>(59)</w:t>
      </w:r>
      <w:r w:rsidR="00A032FC">
        <w:rPr>
          <w:rFonts w:eastAsiaTheme="minorBidi"/>
          <w:color w:val="000000"/>
          <w:lang w:val="fr-FR"/>
        </w:rPr>
        <w:fldChar w:fldCharType="end"/>
      </w:r>
    </w:p>
    <w:p w14:paraId="6B262A7C" w14:textId="77777777" w:rsidR="00664D0A" w:rsidRPr="00664D0A" w:rsidRDefault="00664D0A" w:rsidP="00B139C3">
      <w:pPr>
        <w:rPr>
          <w:rFonts w:eastAsiaTheme="minorBidi"/>
          <w:color w:val="000000"/>
          <w:lang w:val="fr-FR"/>
        </w:rPr>
      </w:pPr>
      <w:r w:rsidRPr="00664D0A">
        <w:rPr>
          <w:rFonts w:eastAsiaTheme="minorBidi"/>
          <w:color w:val="000000"/>
          <w:lang w:val="fr-FR"/>
        </w:rPr>
        <w:t xml:space="preserve">Insulines et analogues rapides : Les analogues rapides (Aspart, Lispro, Glulisine) agissent presque instantanément et ne persistent pas durant la phase inter-prandiale, ce qui est idéal pour couvrir les repas ou corriger une hyperglycémie </w:t>
      </w:r>
      <w:proofErr w:type="gramStart"/>
      <w:r w:rsidRPr="00664D0A">
        <w:rPr>
          <w:rFonts w:eastAsiaTheme="minorBidi"/>
          <w:color w:val="000000"/>
          <w:lang w:val="fr-FR"/>
        </w:rPr>
        <w:t>aiguë .</w:t>
      </w:r>
      <w:proofErr w:type="gramEnd"/>
    </w:p>
    <w:p w14:paraId="3238BF59" w14:textId="77777777" w:rsidR="00664D0A" w:rsidRPr="00664D0A" w:rsidRDefault="00664D0A" w:rsidP="00B139C3">
      <w:pPr>
        <w:rPr>
          <w:rFonts w:eastAsiaTheme="minorBidi"/>
          <w:color w:val="000000"/>
          <w:lang w:val="fr-FR"/>
        </w:rPr>
      </w:pPr>
      <w:r w:rsidRPr="00664D0A">
        <w:rPr>
          <w:rFonts w:eastAsiaTheme="minorBidi"/>
          <w:color w:val="000000"/>
          <w:lang w:val="fr-FR"/>
        </w:rPr>
        <w:t xml:space="preserve">Insulines d'action intermédiaire (NPH) : Utilisées pour couvrir les besoins de base, souvent injectées le soir ou le matin, avec un pic d'activité </w:t>
      </w:r>
      <w:proofErr w:type="gramStart"/>
      <w:r w:rsidRPr="00664D0A">
        <w:rPr>
          <w:rFonts w:eastAsiaTheme="minorBidi"/>
          <w:color w:val="000000"/>
          <w:lang w:val="fr-FR"/>
        </w:rPr>
        <w:t>marqué .</w:t>
      </w:r>
      <w:proofErr w:type="gramEnd"/>
    </w:p>
    <w:p w14:paraId="46118D2D" w14:textId="77777777" w:rsidR="00664D0A" w:rsidRPr="00664D0A" w:rsidRDefault="00664D0A" w:rsidP="00B139C3">
      <w:pPr>
        <w:rPr>
          <w:rFonts w:eastAsiaTheme="minorBidi"/>
          <w:color w:val="000000"/>
          <w:lang w:val="fr-FR"/>
        </w:rPr>
      </w:pPr>
      <w:r w:rsidRPr="00664D0A">
        <w:rPr>
          <w:rFonts w:eastAsiaTheme="minorBidi"/>
          <w:color w:val="000000"/>
          <w:lang w:val="fr-FR"/>
        </w:rPr>
        <w:t xml:space="preserve">Analogues lents et ultra-lents (Glargine, Détémir, Degludec) : Ils assurent une couverture basale prolongée, sans pic d'activité, offrant une meilleure reproductibilité et un risque moindre d'hypoglycémies </w:t>
      </w:r>
      <w:proofErr w:type="gramStart"/>
      <w:r w:rsidRPr="00664D0A">
        <w:rPr>
          <w:rFonts w:eastAsiaTheme="minorBidi"/>
          <w:color w:val="000000"/>
          <w:lang w:val="fr-FR"/>
        </w:rPr>
        <w:t>nocturnes .</w:t>
      </w:r>
      <w:proofErr w:type="gramEnd"/>
    </w:p>
    <w:p w14:paraId="2A61DB01" w14:textId="33866B05" w:rsidR="00664D0A" w:rsidRPr="00664D0A" w:rsidRDefault="00664D0A" w:rsidP="0080119A">
      <w:pPr>
        <w:rPr>
          <w:rFonts w:eastAsiaTheme="minorBidi"/>
          <w:color w:val="000000"/>
          <w:lang w:val="fr-FR"/>
        </w:rPr>
      </w:pPr>
      <w:r w:rsidRPr="00664D0A">
        <w:rPr>
          <w:rFonts w:eastAsiaTheme="minorBidi"/>
          <w:color w:val="000000"/>
          <w:lang w:val="fr-FR"/>
        </w:rPr>
        <w:t>Mélanges insuliniques (Prémix) : Combinent une insuline rapide et une intermédiaire en une seule injection pour réduire le nombre de piqûres tout en couvrant à la fois le</w:t>
      </w:r>
      <w:r w:rsidR="00A032FC">
        <w:rPr>
          <w:rFonts w:eastAsiaTheme="minorBidi"/>
          <w:color w:val="000000"/>
          <w:lang w:val="fr-FR"/>
        </w:rPr>
        <w:t xml:space="preserve"> repas et la période basale .</w:t>
      </w:r>
      <w:r w:rsidR="00A032FC">
        <w:rPr>
          <w:rFonts w:eastAsiaTheme="minorBidi"/>
          <w:color w:val="000000"/>
          <w:lang w:val="fr-FR"/>
        </w:rPr>
        <w:fldChar w:fldCharType="begin"/>
      </w:r>
      <w:r w:rsidR="00116A61">
        <w:rPr>
          <w:rFonts w:eastAsiaTheme="minorBidi"/>
          <w:color w:val="000000"/>
          <w:lang w:val="fr-FR"/>
        </w:rPr>
        <w:instrText xml:space="preserve"> ADDIN ZOTERO_ITEM CSL_CITATION {"citationID":"E6rio4bi","properties":{"unsorted":false,"formattedCitation":"(62)","plainCitation":"(62)","noteIndex":0},"citationItems":[{"id":"6VBx8p83/jTXssvQa","uris":["http://zotero.org/users/local/xPnoPzR4/items/A97S9J9Z"],"itemData":{"id":324,"type":"book","abstract":"Avec 425 millions de malades dans le monde dont plus de 3,5 millions en France, le diabète est l’une des maladies chroniques les plus présentes dans l","ISBN":"978-2-294-76421-9","language":"en-US","source":"shop.elsevier.com","title":"Guide pratique du diabète","URL":"https://shop.elsevier.com/books/guide-pratique-du-diabete/hartemann/978-2-294-76421-9","accessed":{"date-parts":[["2026",5,14]]},"issued":{"date-parts":[["2019",10,16]]}}}],"schema":"https://github.com/citation-style-language/schema/raw/master/csl-citation.json"} </w:instrText>
      </w:r>
      <w:r w:rsidR="00A032FC">
        <w:rPr>
          <w:rFonts w:eastAsiaTheme="minorBidi"/>
          <w:color w:val="000000"/>
          <w:lang w:val="fr-FR"/>
        </w:rPr>
        <w:fldChar w:fldCharType="separate"/>
      </w:r>
      <w:r w:rsidR="0080119A" w:rsidRPr="0080119A">
        <w:rPr>
          <w:rFonts w:ascii="Times New Roman" w:hAnsi="Times New Roman" w:cs="Times New Roman"/>
        </w:rPr>
        <w:t>(62)</w:t>
      </w:r>
      <w:r w:rsidR="00A032FC">
        <w:rPr>
          <w:rFonts w:eastAsiaTheme="minorBidi"/>
          <w:color w:val="000000"/>
          <w:lang w:val="fr-FR"/>
        </w:rPr>
        <w:fldChar w:fldCharType="end"/>
      </w:r>
    </w:p>
    <w:p w14:paraId="071B7F2C" w14:textId="77777777" w:rsidR="00664D0A" w:rsidRPr="00664D0A" w:rsidRDefault="00664D0A" w:rsidP="00B139C3">
      <w:pPr>
        <w:rPr>
          <w:rFonts w:eastAsiaTheme="minorBidi"/>
          <w:color w:val="000000"/>
          <w:lang w:val="fr-FR"/>
        </w:rPr>
      </w:pPr>
    </w:p>
    <w:p w14:paraId="44EA6B3D" w14:textId="77777777" w:rsidR="00664D0A" w:rsidRPr="00664D0A" w:rsidRDefault="00664D0A" w:rsidP="00B139C3">
      <w:pPr>
        <w:rPr>
          <w:rFonts w:eastAsiaTheme="minorBidi"/>
          <w:color w:val="000000"/>
          <w:lang w:val="fr-FR"/>
        </w:rPr>
      </w:pPr>
    </w:p>
    <w:p w14:paraId="32EB89E9" w14:textId="172E59B9" w:rsidR="00664D0A" w:rsidRDefault="00664D0A" w:rsidP="00B139C3">
      <w:pPr>
        <w:rPr>
          <w:rFonts w:eastAsiaTheme="minorBidi"/>
          <w:color w:val="000000"/>
          <w:lang w:val="fr-FR"/>
        </w:rPr>
      </w:pPr>
    </w:p>
    <w:p w14:paraId="6834DA42" w14:textId="77777777" w:rsidR="00577C0B" w:rsidRPr="00664D0A" w:rsidRDefault="00577C0B" w:rsidP="00B139C3">
      <w:pPr>
        <w:rPr>
          <w:rFonts w:eastAsiaTheme="minorBidi"/>
          <w:color w:val="000000"/>
          <w:lang w:val="fr-FR"/>
        </w:rPr>
      </w:pPr>
    </w:p>
    <w:p w14:paraId="16F1D975" w14:textId="148D8904" w:rsidR="00577C0B" w:rsidRDefault="00577C0B" w:rsidP="00577C0B">
      <w:pPr>
        <w:pStyle w:val="Caption"/>
        <w:keepNext/>
      </w:pPr>
      <w:bookmarkStart w:id="50" w:name="_Toc229617368"/>
      <w:r>
        <w:t xml:space="preserve">Tableau </w:t>
      </w:r>
      <w:r>
        <w:fldChar w:fldCharType="begin"/>
      </w:r>
      <w:r>
        <w:instrText xml:space="preserve"> SEQ Tableau \* ARABIC </w:instrText>
      </w:r>
      <w:r>
        <w:fldChar w:fldCharType="separate"/>
      </w:r>
      <w:r w:rsidR="00983108">
        <w:rPr>
          <w:noProof/>
        </w:rPr>
        <w:t>7</w:t>
      </w:r>
      <w:r>
        <w:fldChar w:fldCharType="end"/>
      </w:r>
      <w:r>
        <w:t xml:space="preserve"> </w:t>
      </w:r>
      <w:r w:rsidRPr="00B83272">
        <w:t>Les insulines classées selon leur durée d’action</w:t>
      </w:r>
      <w:bookmarkEnd w:id="50"/>
    </w:p>
    <w:tbl>
      <w:tblPr>
        <w:tblStyle w:val="TableGrid2"/>
        <w:tblW w:w="0" w:type="auto"/>
        <w:tblLook w:val="04A0" w:firstRow="1" w:lastRow="0" w:firstColumn="1" w:lastColumn="0" w:noHBand="0" w:noVBand="1"/>
      </w:tblPr>
      <w:tblGrid>
        <w:gridCol w:w="2527"/>
        <w:gridCol w:w="2336"/>
        <w:gridCol w:w="1518"/>
        <w:gridCol w:w="1370"/>
        <w:gridCol w:w="1311"/>
      </w:tblGrid>
      <w:tr w:rsidR="00664D0A" w:rsidRPr="00E71797" w14:paraId="1839C190" w14:textId="77777777" w:rsidTr="00651A23">
        <w:tc>
          <w:tcPr>
            <w:tcW w:w="0" w:type="auto"/>
            <w:hideMark/>
          </w:tcPr>
          <w:p w14:paraId="1116770E" w14:textId="77777777" w:rsidR="00664D0A" w:rsidRPr="00E71797" w:rsidRDefault="00664D0A" w:rsidP="00B139C3">
            <w:pPr>
              <w:rPr>
                <w:rFonts w:eastAsia="Times New Roman"/>
              </w:rPr>
            </w:pPr>
            <w:r w:rsidRPr="00E71797">
              <w:rPr>
                <w:rFonts w:eastAsia="Times New Roman"/>
              </w:rPr>
              <w:t>Type d’insuline</w:t>
            </w:r>
          </w:p>
        </w:tc>
        <w:tc>
          <w:tcPr>
            <w:tcW w:w="0" w:type="auto"/>
            <w:hideMark/>
          </w:tcPr>
          <w:p w14:paraId="25E20B89" w14:textId="77777777" w:rsidR="00664D0A" w:rsidRPr="00E71797" w:rsidRDefault="00664D0A" w:rsidP="00B139C3">
            <w:pPr>
              <w:rPr>
                <w:rFonts w:eastAsia="Times New Roman"/>
              </w:rPr>
            </w:pPr>
            <w:r w:rsidRPr="00E71797">
              <w:rPr>
                <w:rFonts w:eastAsia="Times New Roman"/>
              </w:rPr>
              <w:t>Dénomination commune internationale</w:t>
            </w:r>
          </w:p>
        </w:tc>
        <w:tc>
          <w:tcPr>
            <w:tcW w:w="0" w:type="auto"/>
            <w:hideMark/>
          </w:tcPr>
          <w:p w14:paraId="6BE14A21" w14:textId="77777777" w:rsidR="00664D0A" w:rsidRPr="00E71797" w:rsidRDefault="00664D0A" w:rsidP="00B139C3">
            <w:pPr>
              <w:rPr>
                <w:rFonts w:eastAsia="Times New Roman"/>
              </w:rPr>
            </w:pPr>
            <w:r w:rsidRPr="00E71797">
              <w:rPr>
                <w:rFonts w:eastAsia="Times New Roman"/>
              </w:rPr>
              <w:t>Nom commercial</w:t>
            </w:r>
          </w:p>
        </w:tc>
        <w:tc>
          <w:tcPr>
            <w:tcW w:w="0" w:type="auto"/>
            <w:hideMark/>
          </w:tcPr>
          <w:p w14:paraId="3CE5B924" w14:textId="77777777" w:rsidR="00664D0A" w:rsidRPr="00E71797" w:rsidRDefault="00664D0A" w:rsidP="00B139C3">
            <w:pPr>
              <w:rPr>
                <w:rFonts w:eastAsia="Times New Roman"/>
              </w:rPr>
            </w:pPr>
            <w:r w:rsidRPr="00E71797">
              <w:rPr>
                <w:rFonts w:eastAsia="Times New Roman"/>
              </w:rPr>
              <w:t>Délai d’action (min)</w:t>
            </w:r>
          </w:p>
        </w:tc>
        <w:tc>
          <w:tcPr>
            <w:tcW w:w="0" w:type="auto"/>
            <w:hideMark/>
          </w:tcPr>
          <w:p w14:paraId="53FC7C4F" w14:textId="77777777" w:rsidR="00664D0A" w:rsidRPr="00E71797" w:rsidRDefault="00664D0A" w:rsidP="00B139C3">
            <w:pPr>
              <w:rPr>
                <w:rFonts w:eastAsia="Times New Roman"/>
              </w:rPr>
            </w:pPr>
            <w:r w:rsidRPr="00E71797">
              <w:rPr>
                <w:rFonts w:eastAsia="Times New Roman"/>
              </w:rPr>
              <w:t>Durée d’action (h)</w:t>
            </w:r>
          </w:p>
        </w:tc>
      </w:tr>
      <w:tr w:rsidR="00664D0A" w:rsidRPr="00E71797" w14:paraId="14C6DC13" w14:textId="77777777" w:rsidTr="00651A23">
        <w:tc>
          <w:tcPr>
            <w:tcW w:w="0" w:type="auto"/>
            <w:hideMark/>
          </w:tcPr>
          <w:p w14:paraId="7AC36323" w14:textId="77777777" w:rsidR="00664D0A" w:rsidRPr="00E2496A" w:rsidRDefault="00664D0A" w:rsidP="00B139C3">
            <w:pPr>
              <w:rPr>
                <w:rFonts w:eastAsia="Times New Roman"/>
              </w:rPr>
            </w:pPr>
            <w:r w:rsidRPr="00E2496A">
              <w:rPr>
                <w:rFonts w:eastAsia="Times New Roman"/>
              </w:rPr>
              <w:t>Analogue d’insuline rapide (action ultra rapide)</w:t>
            </w:r>
          </w:p>
        </w:tc>
        <w:tc>
          <w:tcPr>
            <w:tcW w:w="0" w:type="auto"/>
            <w:hideMark/>
          </w:tcPr>
          <w:p w14:paraId="34BF2DE7" w14:textId="77777777" w:rsidR="00664D0A" w:rsidRPr="00E71797" w:rsidRDefault="00664D0A" w:rsidP="00B139C3">
            <w:pPr>
              <w:rPr>
                <w:rFonts w:eastAsia="Times New Roman"/>
              </w:rPr>
            </w:pPr>
            <w:r w:rsidRPr="00E71797">
              <w:rPr>
                <w:rFonts w:eastAsia="Times New Roman"/>
              </w:rPr>
              <w:t>Insuline aspart</w:t>
            </w:r>
          </w:p>
        </w:tc>
        <w:tc>
          <w:tcPr>
            <w:tcW w:w="0" w:type="auto"/>
            <w:hideMark/>
          </w:tcPr>
          <w:p w14:paraId="2550B7E2" w14:textId="77777777" w:rsidR="00664D0A" w:rsidRPr="00E71797" w:rsidRDefault="00664D0A" w:rsidP="00B139C3">
            <w:pPr>
              <w:rPr>
                <w:rFonts w:eastAsia="Times New Roman"/>
              </w:rPr>
            </w:pPr>
            <w:r w:rsidRPr="00E71797">
              <w:rPr>
                <w:rFonts w:eastAsia="Times New Roman"/>
              </w:rPr>
              <w:t>Novorapid</w:t>
            </w:r>
          </w:p>
        </w:tc>
        <w:tc>
          <w:tcPr>
            <w:tcW w:w="0" w:type="auto"/>
            <w:hideMark/>
          </w:tcPr>
          <w:p w14:paraId="24AB1F16" w14:textId="77777777" w:rsidR="00664D0A" w:rsidRPr="00E71797" w:rsidRDefault="00664D0A" w:rsidP="00B139C3">
            <w:pPr>
              <w:rPr>
                <w:rFonts w:eastAsia="Times New Roman"/>
              </w:rPr>
            </w:pPr>
            <w:r w:rsidRPr="00E71797">
              <w:rPr>
                <w:rFonts w:eastAsia="Times New Roman"/>
              </w:rPr>
              <w:t>15</w:t>
            </w:r>
          </w:p>
        </w:tc>
        <w:tc>
          <w:tcPr>
            <w:tcW w:w="0" w:type="auto"/>
            <w:hideMark/>
          </w:tcPr>
          <w:p w14:paraId="53D45B7E" w14:textId="77777777" w:rsidR="00664D0A" w:rsidRPr="00E71797" w:rsidRDefault="00664D0A" w:rsidP="00B139C3">
            <w:pPr>
              <w:rPr>
                <w:rFonts w:eastAsia="Times New Roman"/>
              </w:rPr>
            </w:pPr>
            <w:r w:rsidRPr="00E71797">
              <w:rPr>
                <w:rFonts w:eastAsia="Times New Roman"/>
              </w:rPr>
              <w:t>3–5</w:t>
            </w:r>
          </w:p>
        </w:tc>
      </w:tr>
      <w:tr w:rsidR="00664D0A" w:rsidRPr="00E71797" w14:paraId="1D5045A5" w14:textId="77777777" w:rsidTr="00651A23">
        <w:tc>
          <w:tcPr>
            <w:tcW w:w="0" w:type="auto"/>
            <w:hideMark/>
          </w:tcPr>
          <w:p w14:paraId="2BF57C93" w14:textId="77777777" w:rsidR="00664D0A" w:rsidRPr="00E71797" w:rsidRDefault="00664D0A" w:rsidP="00B139C3">
            <w:pPr>
              <w:rPr>
                <w:rFonts w:eastAsia="Times New Roman"/>
              </w:rPr>
            </w:pPr>
          </w:p>
        </w:tc>
        <w:tc>
          <w:tcPr>
            <w:tcW w:w="0" w:type="auto"/>
            <w:hideMark/>
          </w:tcPr>
          <w:p w14:paraId="03B8EBAC" w14:textId="77777777" w:rsidR="00664D0A" w:rsidRPr="00E71797" w:rsidRDefault="00664D0A" w:rsidP="00B139C3">
            <w:pPr>
              <w:rPr>
                <w:rFonts w:eastAsia="Times New Roman"/>
              </w:rPr>
            </w:pPr>
            <w:r w:rsidRPr="00E71797">
              <w:rPr>
                <w:rFonts w:eastAsia="Times New Roman"/>
              </w:rPr>
              <w:t>Insuline lispro</w:t>
            </w:r>
          </w:p>
        </w:tc>
        <w:tc>
          <w:tcPr>
            <w:tcW w:w="0" w:type="auto"/>
            <w:hideMark/>
          </w:tcPr>
          <w:p w14:paraId="6835D7E9" w14:textId="77777777" w:rsidR="00664D0A" w:rsidRPr="00E71797" w:rsidRDefault="00664D0A" w:rsidP="00B139C3">
            <w:pPr>
              <w:rPr>
                <w:rFonts w:eastAsia="Times New Roman"/>
              </w:rPr>
            </w:pPr>
            <w:r w:rsidRPr="00E71797">
              <w:rPr>
                <w:rFonts w:eastAsia="Times New Roman"/>
              </w:rPr>
              <w:t>Humalog</w:t>
            </w:r>
          </w:p>
        </w:tc>
        <w:tc>
          <w:tcPr>
            <w:tcW w:w="0" w:type="auto"/>
            <w:hideMark/>
          </w:tcPr>
          <w:p w14:paraId="74A8E8D9" w14:textId="77777777" w:rsidR="00664D0A" w:rsidRPr="00E71797" w:rsidRDefault="00664D0A" w:rsidP="00B139C3">
            <w:pPr>
              <w:rPr>
                <w:rFonts w:eastAsia="Times New Roman"/>
              </w:rPr>
            </w:pPr>
            <w:r w:rsidRPr="00E71797">
              <w:rPr>
                <w:rFonts w:eastAsia="Times New Roman"/>
              </w:rPr>
              <w:t>15</w:t>
            </w:r>
          </w:p>
        </w:tc>
        <w:tc>
          <w:tcPr>
            <w:tcW w:w="0" w:type="auto"/>
            <w:hideMark/>
          </w:tcPr>
          <w:p w14:paraId="0EF9B98E" w14:textId="77777777" w:rsidR="00664D0A" w:rsidRPr="00E71797" w:rsidRDefault="00664D0A" w:rsidP="00B139C3">
            <w:pPr>
              <w:rPr>
                <w:rFonts w:eastAsia="Times New Roman"/>
              </w:rPr>
            </w:pPr>
            <w:r w:rsidRPr="00E71797">
              <w:rPr>
                <w:rFonts w:eastAsia="Times New Roman"/>
              </w:rPr>
              <w:t>2–5</w:t>
            </w:r>
          </w:p>
        </w:tc>
      </w:tr>
      <w:tr w:rsidR="00664D0A" w:rsidRPr="00E71797" w14:paraId="5F5CE64A" w14:textId="77777777" w:rsidTr="00651A23">
        <w:tc>
          <w:tcPr>
            <w:tcW w:w="0" w:type="auto"/>
            <w:hideMark/>
          </w:tcPr>
          <w:p w14:paraId="2B8C823D" w14:textId="77777777" w:rsidR="00664D0A" w:rsidRPr="00E71797" w:rsidRDefault="00664D0A" w:rsidP="00B139C3">
            <w:pPr>
              <w:rPr>
                <w:rFonts w:eastAsia="Times New Roman"/>
              </w:rPr>
            </w:pPr>
          </w:p>
        </w:tc>
        <w:tc>
          <w:tcPr>
            <w:tcW w:w="0" w:type="auto"/>
            <w:hideMark/>
          </w:tcPr>
          <w:p w14:paraId="486D39F2" w14:textId="77777777" w:rsidR="00664D0A" w:rsidRPr="00E71797" w:rsidRDefault="00664D0A" w:rsidP="00B139C3">
            <w:pPr>
              <w:rPr>
                <w:rFonts w:eastAsia="Times New Roman"/>
              </w:rPr>
            </w:pPr>
            <w:r w:rsidRPr="00E71797">
              <w:rPr>
                <w:rFonts w:eastAsia="Times New Roman"/>
              </w:rPr>
              <w:t>Insuline glulisine</w:t>
            </w:r>
          </w:p>
        </w:tc>
        <w:tc>
          <w:tcPr>
            <w:tcW w:w="0" w:type="auto"/>
            <w:hideMark/>
          </w:tcPr>
          <w:p w14:paraId="2154E650" w14:textId="77777777" w:rsidR="00664D0A" w:rsidRPr="00E71797" w:rsidRDefault="00664D0A" w:rsidP="00B139C3">
            <w:pPr>
              <w:rPr>
                <w:rFonts w:eastAsia="Times New Roman"/>
              </w:rPr>
            </w:pPr>
            <w:r w:rsidRPr="00E71797">
              <w:rPr>
                <w:rFonts w:eastAsia="Times New Roman"/>
              </w:rPr>
              <w:t>Apidra</w:t>
            </w:r>
          </w:p>
        </w:tc>
        <w:tc>
          <w:tcPr>
            <w:tcW w:w="0" w:type="auto"/>
            <w:hideMark/>
          </w:tcPr>
          <w:p w14:paraId="51144608" w14:textId="77777777" w:rsidR="00664D0A" w:rsidRPr="00E71797" w:rsidRDefault="00664D0A" w:rsidP="00B139C3">
            <w:pPr>
              <w:rPr>
                <w:rFonts w:eastAsia="Times New Roman"/>
              </w:rPr>
            </w:pPr>
            <w:r w:rsidRPr="00E71797">
              <w:rPr>
                <w:rFonts w:eastAsia="Times New Roman"/>
              </w:rPr>
              <w:t>15</w:t>
            </w:r>
          </w:p>
        </w:tc>
        <w:tc>
          <w:tcPr>
            <w:tcW w:w="0" w:type="auto"/>
            <w:hideMark/>
          </w:tcPr>
          <w:p w14:paraId="11CF78E0" w14:textId="77777777" w:rsidR="00664D0A" w:rsidRPr="00E71797" w:rsidRDefault="00664D0A" w:rsidP="00B139C3">
            <w:pPr>
              <w:rPr>
                <w:rFonts w:eastAsia="Times New Roman"/>
              </w:rPr>
            </w:pPr>
            <w:r w:rsidRPr="00E71797">
              <w:rPr>
                <w:rFonts w:eastAsia="Times New Roman"/>
              </w:rPr>
              <w:t>2–5</w:t>
            </w:r>
          </w:p>
        </w:tc>
      </w:tr>
      <w:tr w:rsidR="00664D0A" w:rsidRPr="00E71797" w14:paraId="78CE4CFE" w14:textId="77777777" w:rsidTr="00651A23">
        <w:tc>
          <w:tcPr>
            <w:tcW w:w="0" w:type="auto"/>
            <w:hideMark/>
          </w:tcPr>
          <w:p w14:paraId="09FB9893" w14:textId="77777777" w:rsidR="00664D0A" w:rsidRPr="00E71797" w:rsidRDefault="00664D0A" w:rsidP="00B139C3">
            <w:pPr>
              <w:rPr>
                <w:rFonts w:eastAsia="Times New Roman"/>
              </w:rPr>
            </w:pPr>
            <w:r w:rsidRPr="00E71797">
              <w:rPr>
                <w:rFonts w:eastAsia="Times New Roman"/>
              </w:rPr>
              <w:t>Insuline rapide</w:t>
            </w:r>
          </w:p>
        </w:tc>
        <w:tc>
          <w:tcPr>
            <w:tcW w:w="0" w:type="auto"/>
            <w:hideMark/>
          </w:tcPr>
          <w:p w14:paraId="14190444" w14:textId="77777777" w:rsidR="00664D0A" w:rsidRPr="00E71797" w:rsidRDefault="00664D0A" w:rsidP="00B139C3">
            <w:pPr>
              <w:rPr>
                <w:rFonts w:eastAsia="Times New Roman"/>
              </w:rPr>
            </w:pPr>
            <w:r w:rsidRPr="00E71797">
              <w:rPr>
                <w:rFonts w:eastAsia="Times New Roman"/>
              </w:rPr>
              <w:t>Insuline rapide</w:t>
            </w:r>
          </w:p>
        </w:tc>
        <w:tc>
          <w:tcPr>
            <w:tcW w:w="0" w:type="auto"/>
            <w:hideMark/>
          </w:tcPr>
          <w:p w14:paraId="1EC55569" w14:textId="77777777" w:rsidR="00664D0A" w:rsidRPr="00E71797" w:rsidRDefault="00664D0A" w:rsidP="00B139C3">
            <w:pPr>
              <w:rPr>
                <w:rFonts w:eastAsia="Times New Roman"/>
              </w:rPr>
            </w:pPr>
            <w:r w:rsidRPr="00E71797">
              <w:rPr>
                <w:rFonts w:eastAsia="Times New Roman"/>
              </w:rPr>
              <w:t>Umuline rapide</w:t>
            </w:r>
          </w:p>
        </w:tc>
        <w:tc>
          <w:tcPr>
            <w:tcW w:w="0" w:type="auto"/>
            <w:hideMark/>
          </w:tcPr>
          <w:p w14:paraId="136A532C" w14:textId="77777777" w:rsidR="00664D0A" w:rsidRPr="00E71797" w:rsidRDefault="00664D0A" w:rsidP="00B139C3">
            <w:pPr>
              <w:rPr>
                <w:rFonts w:eastAsia="Times New Roman"/>
              </w:rPr>
            </w:pPr>
            <w:r w:rsidRPr="00E71797">
              <w:rPr>
                <w:rFonts w:eastAsia="Times New Roman"/>
              </w:rPr>
              <w:t>30</w:t>
            </w:r>
          </w:p>
        </w:tc>
        <w:tc>
          <w:tcPr>
            <w:tcW w:w="0" w:type="auto"/>
            <w:hideMark/>
          </w:tcPr>
          <w:p w14:paraId="71057109" w14:textId="77777777" w:rsidR="00664D0A" w:rsidRPr="00E71797" w:rsidRDefault="00664D0A" w:rsidP="00B139C3">
            <w:pPr>
              <w:rPr>
                <w:rFonts w:eastAsia="Times New Roman"/>
              </w:rPr>
            </w:pPr>
            <w:r w:rsidRPr="00E71797">
              <w:rPr>
                <w:rFonts w:eastAsia="Times New Roman"/>
              </w:rPr>
              <w:t>5–7</w:t>
            </w:r>
          </w:p>
        </w:tc>
      </w:tr>
      <w:tr w:rsidR="00664D0A" w:rsidRPr="00E71797" w14:paraId="081F139B" w14:textId="77777777" w:rsidTr="00651A23">
        <w:tc>
          <w:tcPr>
            <w:tcW w:w="0" w:type="auto"/>
            <w:hideMark/>
          </w:tcPr>
          <w:p w14:paraId="1D6CADAD" w14:textId="77777777" w:rsidR="00664D0A" w:rsidRPr="00E71797" w:rsidRDefault="00664D0A" w:rsidP="00B139C3">
            <w:pPr>
              <w:rPr>
                <w:rFonts w:eastAsia="Times New Roman"/>
              </w:rPr>
            </w:pPr>
          </w:p>
        </w:tc>
        <w:tc>
          <w:tcPr>
            <w:tcW w:w="0" w:type="auto"/>
            <w:hideMark/>
          </w:tcPr>
          <w:p w14:paraId="6D4F93FF" w14:textId="77777777" w:rsidR="00664D0A" w:rsidRPr="00E71797" w:rsidRDefault="00664D0A" w:rsidP="00B139C3">
            <w:pPr>
              <w:rPr>
                <w:rFonts w:eastAsia="Times New Roman"/>
              </w:rPr>
            </w:pPr>
            <w:r w:rsidRPr="00E71797">
              <w:rPr>
                <w:rFonts w:eastAsia="Times New Roman"/>
              </w:rPr>
              <w:t>Insuline rapide</w:t>
            </w:r>
          </w:p>
        </w:tc>
        <w:tc>
          <w:tcPr>
            <w:tcW w:w="0" w:type="auto"/>
            <w:hideMark/>
          </w:tcPr>
          <w:p w14:paraId="20ED88C9" w14:textId="77777777" w:rsidR="00664D0A" w:rsidRPr="00E71797" w:rsidRDefault="00664D0A" w:rsidP="00B139C3">
            <w:pPr>
              <w:rPr>
                <w:rFonts w:eastAsia="Times New Roman"/>
              </w:rPr>
            </w:pPr>
            <w:r w:rsidRPr="00E71797">
              <w:rPr>
                <w:rFonts w:eastAsia="Times New Roman"/>
              </w:rPr>
              <w:t>Insuman rapide</w:t>
            </w:r>
          </w:p>
        </w:tc>
        <w:tc>
          <w:tcPr>
            <w:tcW w:w="0" w:type="auto"/>
            <w:hideMark/>
          </w:tcPr>
          <w:p w14:paraId="53A55744" w14:textId="77777777" w:rsidR="00664D0A" w:rsidRPr="00E71797" w:rsidRDefault="00664D0A" w:rsidP="00B139C3">
            <w:pPr>
              <w:rPr>
                <w:rFonts w:eastAsia="Times New Roman"/>
              </w:rPr>
            </w:pPr>
            <w:r w:rsidRPr="00E71797">
              <w:rPr>
                <w:rFonts w:eastAsia="Times New Roman"/>
              </w:rPr>
              <w:t>30</w:t>
            </w:r>
          </w:p>
        </w:tc>
        <w:tc>
          <w:tcPr>
            <w:tcW w:w="0" w:type="auto"/>
            <w:hideMark/>
          </w:tcPr>
          <w:p w14:paraId="0911BA27" w14:textId="77777777" w:rsidR="00664D0A" w:rsidRPr="00E71797" w:rsidRDefault="00664D0A" w:rsidP="00B139C3">
            <w:pPr>
              <w:rPr>
                <w:rFonts w:eastAsia="Times New Roman"/>
              </w:rPr>
            </w:pPr>
            <w:r w:rsidRPr="00E71797">
              <w:rPr>
                <w:rFonts w:eastAsia="Times New Roman"/>
              </w:rPr>
              <w:t>5–7</w:t>
            </w:r>
          </w:p>
        </w:tc>
      </w:tr>
      <w:tr w:rsidR="00664D0A" w:rsidRPr="00E71797" w14:paraId="34CF68AA" w14:textId="77777777" w:rsidTr="00651A23">
        <w:tc>
          <w:tcPr>
            <w:tcW w:w="0" w:type="auto"/>
            <w:hideMark/>
          </w:tcPr>
          <w:p w14:paraId="2B3FE5F2" w14:textId="77777777" w:rsidR="00664D0A" w:rsidRPr="00E71797" w:rsidRDefault="00664D0A" w:rsidP="00B139C3">
            <w:pPr>
              <w:rPr>
                <w:rFonts w:eastAsia="Times New Roman"/>
              </w:rPr>
            </w:pPr>
          </w:p>
        </w:tc>
        <w:tc>
          <w:tcPr>
            <w:tcW w:w="0" w:type="auto"/>
            <w:hideMark/>
          </w:tcPr>
          <w:p w14:paraId="4D653713" w14:textId="77777777" w:rsidR="00664D0A" w:rsidRPr="00E71797" w:rsidRDefault="00664D0A" w:rsidP="00B139C3">
            <w:pPr>
              <w:rPr>
                <w:rFonts w:eastAsia="Times New Roman"/>
              </w:rPr>
            </w:pPr>
            <w:r w:rsidRPr="00E71797">
              <w:rPr>
                <w:rFonts w:eastAsia="Times New Roman"/>
              </w:rPr>
              <w:t>Insuline rapide</w:t>
            </w:r>
          </w:p>
        </w:tc>
        <w:tc>
          <w:tcPr>
            <w:tcW w:w="0" w:type="auto"/>
            <w:hideMark/>
          </w:tcPr>
          <w:p w14:paraId="3EFEBCA7" w14:textId="77777777" w:rsidR="00664D0A" w:rsidRPr="00E71797" w:rsidRDefault="00664D0A" w:rsidP="00B139C3">
            <w:pPr>
              <w:rPr>
                <w:rFonts w:eastAsia="Times New Roman"/>
              </w:rPr>
            </w:pPr>
            <w:r w:rsidRPr="00E71797">
              <w:rPr>
                <w:rFonts w:eastAsia="Times New Roman"/>
              </w:rPr>
              <w:t>Actrapid</w:t>
            </w:r>
          </w:p>
        </w:tc>
        <w:tc>
          <w:tcPr>
            <w:tcW w:w="0" w:type="auto"/>
            <w:hideMark/>
          </w:tcPr>
          <w:p w14:paraId="4D9829F5" w14:textId="77777777" w:rsidR="00664D0A" w:rsidRPr="00E71797" w:rsidRDefault="00664D0A" w:rsidP="00B139C3">
            <w:pPr>
              <w:rPr>
                <w:rFonts w:eastAsia="Times New Roman"/>
              </w:rPr>
            </w:pPr>
            <w:r w:rsidRPr="00E71797">
              <w:rPr>
                <w:rFonts w:eastAsia="Times New Roman"/>
              </w:rPr>
              <w:t>30</w:t>
            </w:r>
          </w:p>
        </w:tc>
        <w:tc>
          <w:tcPr>
            <w:tcW w:w="0" w:type="auto"/>
            <w:hideMark/>
          </w:tcPr>
          <w:p w14:paraId="618E8D4B" w14:textId="77777777" w:rsidR="00664D0A" w:rsidRPr="00E71797" w:rsidRDefault="00664D0A" w:rsidP="00B139C3">
            <w:pPr>
              <w:rPr>
                <w:rFonts w:eastAsia="Times New Roman"/>
              </w:rPr>
            </w:pPr>
            <w:r w:rsidRPr="00E71797">
              <w:rPr>
                <w:rFonts w:eastAsia="Times New Roman"/>
              </w:rPr>
              <w:t>7–8</w:t>
            </w:r>
          </w:p>
        </w:tc>
      </w:tr>
      <w:tr w:rsidR="00664D0A" w:rsidRPr="00E71797" w14:paraId="1B27ED0F" w14:textId="77777777" w:rsidTr="00651A23">
        <w:tc>
          <w:tcPr>
            <w:tcW w:w="0" w:type="auto"/>
            <w:hideMark/>
          </w:tcPr>
          <w:p w14:paraId="13EF0340" w14:textId="77777777" w:rsidR="00664D0A" w:rsidRPr="00E71797" w:rsidRDefault="00664D0A" w:rsidP="00B139C3">
            <w:pPr>
              <w:rPr>
                <w:rFonts w:eastAsia="Times New Roman"/>
              </w:rPr>
            </w:pPr>
            <w:r w:rsidRPr="00E71797">
              <w:rPr>
                <w:rFonts w:eastAsia="Times New Roman"/>
              </w:rPr>
              <w:t>Insuline d’action intermédiaire</w:t>
            </w:r>
          </w:p>
        </w:tc>
        <w:tc>
          <w:tcPr>
            <w:tcW w:w="0" w:type="auto"/>
            <w:hideMark/>
          </w:tcPr>
          <w:p w14:paraId="535C5849" w14:textId="77777777" w:rsidR="00664D0A" w:rsidRPr="00E71797" w:rsidRDefault="00664D0A" w:rsidP="00B139C3">
            <w:pPr>
              <w:rPr>
                <w:rFonts w:eastAsia="Times New Roman"/>
              </w:rPr>
            </w:pPr>
            <w:r w:rsidRPr="00E71797">
              <w:rPr>
                <w:rFonts w:eastAsia="Times New Roman"/>
              </w:rPr>
              <w:t>Insuline isophane</w:t>
            </w:r>
          </w:p>
        </w:tc>
        <w:tc>
          <w:tcPr>
            <w:tcW w:w="0" w:type="auto"/>
            <w:hideMark/>
          </w:tcPr>
          <w:p w14:paraId="18B3BE8A" w14:textId="77777777" w:rsidR="00664D0A" w:rsidRPr="00E71797" w:rsidRDefault="00664D0A" w:rsidP="00B139C3">
            <w:pPr>
              <w:rPr>
                <w:rFonts w:eastAsia="Times New Roman"/>
              </w:rPr>
            </w:pPr>
            <w:r w:rsidRPr="00E71797">
              <w:rPr>
                <w:rFonts w:eastAsia="Times New Roman"/>
              </w:rPr>
              <w:t>Insulatard NPH</w:t>
            </w:r>
          </w:p>
        </w:tc>
        <w:tc>
          <w:tcPr>
            <w:tcW w:w="0" w:type="auto"/>
            <w:hideMark/>
          </w:tcPr>
          <w:p w14:paraId="42A17BB1" w14:textId="77777777" w:rsidR="00664D0A" w:rsidRPr="00E71797" w:rsidRDefault="00664D0A" w:rsidP="00B139C3">
            <w:pPr>
              <w:rPr>
                <w:rFonts w:eastAsia="Times New Roman"/>
              </w:rPr>
            </w:pPr>
            <w:r w:rsidRPr="00E71797">
              <w:rPr>
                <w:rFonts w:eastAsia="Times New Roman"/>
              </w:rPr>
              <w:t>90</w:t>
            </w:r>
          </w:p>
        </w:tc>
        <w:tc>
          <w:tcPr>
            <w:tcW w:w="0" w:type="auto"/>
            <w:hideMark/>
          </w:tcPr>
          <w:p w14:paraId="4812FAAF" w14:textId="77777777" w:rsidR="00664D0A" w:rsidRPr="00E71797" w:rsidRDefault="00664D0A" w:rsidP="00B139C3">
            <w:pPr>
              <w:rPr>
                <w:rFonts w:eastAsia="Times New Roman"/>
              </w:rPr>
            </w:pPr>
            <w:r w:rsidRPr="00E71797">
              <w:rPr>
                <w:rFonts w:eastAsia="Times New Roman"/>
              </w:rPr>
              <w:t>16–24</w:t>
            </w:r>
          </w:p>
        </w:tc>
      </w:tr>
      <w:tr w:rsidR="00664D0A" w:rsidRPr="00E71797" w14:paraId="6F751F59" w14:textId="77777777" w:rsidTr="00651A23">
        <w:tc>
          <w:tcPr>
            <w:tcW w:w="0" w:type="auto"/>
            <w:hideMark/>
          </w:tcPr>
          <w:p w14:paraId="65BE17FD" w14:textId="77777777" w:rsidR="00664D0A" w:rsidRPr="00E71797" w:rsidRDefault="00664D0A" w:rsidP="00B139C3">
            <w:pPr>
              <w:rPr>
                <w:rFonts w:eastAsia="Times New Roman"/>
              </w:rPr>
            </w:pPr>
          </w:p>
        </w:tc>
        <w:tc>
          <w:tcPr>
            <w:tcW w:w="0" w:type="auto"/>
            <w:hideMark/>
          </w:tcPr>
          <w:p w14:paraId="48AB1FF3" w14:textId="77777777" w:rsidR="00664D0A" w:rsidRPr="00E71797" w:rsidRDefault="00664D0A" w:rsidP="00B139C3">
            <w:pPr>
              <w:rPr>
                <w:rFonts w:eastAsia="Times New Roman"/>
              </w:rPr>
            </w:pPr>
            <w:r w:rsidRPr="00E71797">
              <w:rPr>
                <w:rFonts w:eastAsia="Times New Roman"/>
              </w:rPr>
              <w:t>Insuline isophane</w:t>
            </w:r>
          </w:p>
        </w:tc>
        <w:tc>
          <w:tcPr>
            <w:tcW w:w="0" w:type="auto"/>
            <w:hideMark/>
          </w:tcPr>
          <w:p w14:paraId="67F57B5A" w14:textId="77777777" w:rsidR="00664D0A" w:rsidRPr="00E71797" w:rsidRDefault="00664D0A" w:rsidP="00B139C3">
            <w:pPr>
              <w:rPr>
                <w:rFonts w:eastAsia="Times New Roman"/>
              </w:rPr>
            </w:pPr>
            <w:r w:rsidRPr="00E71797">
              <w:rPr>
                <w:rFonts w:eastAsia="Times New Roman"/>
              </w:rPr>
              <w:t>Umuline NPH</w:t>
            </w:r>
          </w:p>
        </w:tc>
        <w:tc>
          <w:tcPr>
            <w:tcW w:w="0" w:type="auto"/>
            <w:hideMark/>
          </w:tcPr>
          <w:p w14:paraId="4F8A0FE0" w14:textId="77777777" w:rsidR="00664D0A" w:rsidRPr="00E71797" w:rsidRDefault="00664D0A" w:rsidP="00B139C3">
            <w:pPr>
              <w:rPr>
                <w:rFonts w:eastAsia="Times New Roman"/>
              </w:rPr>
            </w:pPr>
            <w:r w:rsidRPr="00E71797">
              <w:rPr>
                <w:rFonts w:eastAsia="Times New Roman"/>
              </w:rPr>
              <w:t>60</w:t>
            </w:r>
          </w:p>
        </w:tc>
        <w:tc>
          <w:tcPr>
            <w:tcW w:w="0" w:type="auto"/>
            <w:hideMark/>
          </w:tcPr>
          <w:p w14:paraId="7E8FD897" w14:textId="77777777" w:rsidR="00664D0A" w:rsidRPr="00E71797" w:rsidRDefault="00664D0A" w:rsidP="00B139C3">
            <w:pPr>
              <w:rPr>
                <w:rFonts w:eastAsia="Times New Roman"/>
              </w:rPr>
            </w:pPr>
            <w:r w:rsidRPr="00E71797">
              <w:rPr>
                <w:rFonts w:eastAsia="Times New Roman"/>
              </w:rPr>
              <w:t>18–24</w:t>
            </w:r>
          </w:p>
        </w:tc>
      </w:tr>
      <w:tr w:rsidR="00664D0A" w:rsidRPr="00E71797" w14:paraId="4ED28C34" w14:textId="77777777" w:rsidTr="00651A23">
        <w:tc>
          <w:tcPr>
            <w:tcW w:w="0" w:type="auto"/>
            <w:hideMark/>
          </w:tcPr>
          <w:p w14:paraId="7B409B54" w14:textId="77777777" w:rsidR="00664D0A" w:rsidRPr="00E71797" w:rsidRDefault="00664D0A" w:rsidP="00B139C3">
            <w:pPr>
              <w:rPr>
                <w:rFonts w:eastAsia="Times New Roman"/>
              </w:rPr>
            </w:pPr>
            <w:r w:rsidRPr="00E71797">
              <w:rPr>
                <w:rFonts w:eastAsia="Times New Roman"/>
              </w:rPr>
              <w:t>Analogue d’insuline d’action lente</w:t>
            </w:r>
          </w:p>
        </w:tc>
        <w:tc>
          <w:tcPr>
            <w:tcW w:w="0" w:type="auto"/>
            <w:hideMark/>
          </w:tcPr>
          <w:p w14:paraId="7893EB69" w14:textId="77777777" w:rsidR="00664D0A" w:rsidRPr="00E71797" w:rsidRDefault="00664D0A" w:rsidP="00B139C3">
            <w:pPr>
              <w:rPr>
                <w:rFonts w:eastAsia="Times New Roman"/>
              </w:rPr>
            </w:pPr>
            <w:r w:rsidRPr="00E71797">
              <w:rPr>
                <w:rFonts w:eastAsia="Times New Roman"/>
              </w:rPr>
              <w:t>Insuline isophane</w:t>
            </w:r>
          </w:p>
        </w:tc>
        <w:tc>
          <w:tcPr>
            <w:tcW w:w="0" w:type="auto"/>
            <w:hideMark/>
          </w:tcPr>
          <w:p w14:paraId="5DBB0BC3" w14:textId="77777777" w:rsidR="00664D0A" w:rsidRPr="00E71797" w:rsidRDefault="00664D0A" w:rsidP="00B139C3">
            <w:pPr>
              <w:rPr>
                <w:rFonts w:eastAsia="Times New Roman"/>
              </w:rPr>
            </w:pPr>
            <w:r w:rsidRPr="00E71797">
              <w:rPr>
                <w:rFonts w:eastAsia="Times New Roman"/>
              </w:rPr>
              <w:t>Insuman Basal</w:t>
            </w:r>
          </w:p>
        </w:tc>
        <w:tc>
          <w:tcPr>
            <w:tcW w:w="0" w:type="auto"/>
            <w:hideMark/>
          </w:tcPr>
          <w:p w14:paraId="6BBF11FA" w14:textId="77777777" w:rsidR="00664D0A" w:rsidRPr="00E71797" w:rsidRDefault="00664D0A" w:rsidP="00B139C3">
            <w:pPr>
              <w:rPr>
                <w:rFonts w:eastAsia="Times New Roman"/>
              </w:rPr>
            </w:pPr>
            <w:r w:rsidRPr="00E71797">
              <w:rPr>
                <w:rFonts w:eastAsia="Times New Roman"/>
              </w:rPr>
              <w:t>60</w:t>
            </w:r>
          </w:p>
        </w:tc>
        <w:tc>
          <w:tcPr>
            <w:tcW w:w="0" w:type="auto"/>
            <w:hideMark/>
          </w:tcPr>
          <w:p w14:paraId="1C21915E" w14:textId="77777777" w:rsidR="00664D0A" w:rsidRPr="00E71797" w:rsidRDefault="00664D0A" w:rsidP="00B139C3">
            <w:pPr>
              <w:rPr>
                <w:rFonts w:eastAsia="Times New Roman"/>
              </w:rPr>
            </w:pPr>
            <w:r w:rsidRPr="00E71797">
              <w:rPr>
                <w:rFonts w:eastAsia="Times New Roman"/>
              </w:rPr>
              <w:t>11–20</w:t>
            </w:r>
          </w:p>
        </w:tc>
      </w:tr>
      <w:tr w:rsidR="00664D0A" w:rsidRPr="00E71797" w14:paraId="7A871A8E" w14:textId="77777777" w:rsidTr="00651A23">
        <w:tc>
          <w:tcPr>
            <w:tcW w:w="0" w:type="auto"/>
            <w:hideMark/>
          </w:tcPr>
          <w:p w14:paraId="7E59848C" w14:textId="77777777" w:rsidR="00664D0A" w:rsidRPr="00E71797" w:rsidRDefault="00664D0A" w:rsidP="00B139C3">
            <w:pPr>
              <w:rPr>
                <w:rFonts w:eastAsia="Times New Roman"/>
              </w:rPr>
            </w:pPr>
          </w:p>
        </w:tc>
        <w:tc>
          <w:tcPr>
            <w:tcW w:w="0" w:type="auto"/>
            <w:hideMark/>
          </w:tcPr>
          <w:p w14:paraId="4B3EF102" w14:textId="77777777" w:rsidR="00664D0A" w:rsidRPr="00E71797" w:rsidRDefault="00664D0A" w:rsidP="00B139C3">
            <w:pPr>
              <w:rPr>
                <w:rFonts w:eastAsia="Times New Roman"/>
              </w:rPr>
            </w:pPr>
            <w:r w:rsidRPr="00E71797">
              <w:rPr>
                <w:rFonts w:eastAsia="Times New Roman"/>
              </w:rPr>
              <w:t>Insuline détémir</w:t>
            </w:r>
          </w:p>
        </w:tc>
        <w:tc>
          <w:tcPr>
            <w:tcW w:w="0" w:type="auto"/>
            <w:hideMark/>
          </w:tcPr>
          <w:p w14:paraId="48B0C732" w14:textId="77777777" w:rsidR="00664D0A" w:rsidRPr="00E71797" w:rsidRDefault="00664D0A" w:rsidP="00B139C3">
            <w:pPr>
              <w:rPr>
                <w:rFonts w:eastAsia="Times New Roman"/>
              </w:rPr>
            </w:pPr>
            <w:r w:rsidRPr="00E71797">
              <w:rPr>
                <w:rFonts w:eastAsia="Times New Roman"/>
              </w:rPr>
              <w:t>Levemir</w:t>
            </w:r>
          </w:p>
        </w:tc>
        <w:tc>
          <w:tcPr>
            <w:tcW w:w="0" w:type="auto"/>
            <w:hideMark/>
          </w:tcPr>
          <w:p w14:paraId="40D6B177" w14:textId="77777777" w:rsidR="00664D0A" w:rsidRPr="00E71797" w:rsidRDefault="00664D0A" w:rsidP="00B139C3">
            <w:pPr>
              <w:rPr>
                <w:rFonts w:eastAsia="Times New Roman"/>
              </w:rPr>
            </w:pPr>
            <w:r w:rsidRPr="00E71797">
              <w:rPr>
                <w:rFonts w:eastAsia="Times New Roman"/>
              </w:rPr>
              <w:t>60–120</w:t>
            </w:r>
          </w:p>
        </w:tc>
        <w:tc>
          <w:tcPr>
            <w:tcW w:w="0" w:type="auto"/>
            <w:hideMark/>
          </w:tcPr>
          <w:p w14:paraId="0762F614" w14:textId="77777777" w:rsidR="00664D0A" w:rsidRPr="00E71797" w:rsidRDefault="00664D0A" w:rsidP="00B139C3">
            <w:pPr>
              <w:rPr>
                <w:rFonts w:eastAsia="Times New Roman"/>
              </w:rPr>
            </w:pPr>
            <w:r w:rsidRPr="00E71797">
              <w:rPr>
                <w:rFonts w:eastAsia="Times New Roman"/>
              </w:rPr>
              <w:t>14–24</w:t>
            </w:r>
          </w:p>
        </w:tc>
      </w:tr>
      <w:tr w:rsidR="00664D0A" w:rsidRPr="00E71797" w14:paraId="7D933666" w14:textId="77777777" w:rsidTr="00651A23">
        <w:tc>
          <w:tcPr>
            <w:tcW w:w="0" w:type="auto"/>
            <w:hideMark/>
          </w:tcPr>
          <w:p w14:paraId="2C12A9C1" w14:textId="77777777" w:rsidR="00664D0A" w:rsidRPr="00E71797" w:rsidRDefault="00664D0A" w:rsidP="00B139C3">
            <w:pPr>
              <w:rPr>
                <w:rFonts w:eastAsia="Times New Roman"/>
              </w:rPr>
            </w:pPr>
          </w:p>
        </w:tc>
        <w:tc>
          <w:tcPr>
            <w:tcW w:w="0" w:type="auto"/>
            <w:hideMark/>
          </w:tcPr>
          <w:p w14:paraId="630727CE" w14:textId="77777777" w:rsidR="00664D0A" w:rsidRPr="00E71797" w:rsidRDefault="00664D0A" w:rsidP="00B139C3">
            <w:pPr>
              <w:rPr>
                <w:rFonts w:eastAsia="Times New Roman"/>
              </w:rPr>
            </w:pPr>
            <w:r w:rsidRPr="00E71797">
              <w:rPr>
                <w:rFonts w:eastAsia="Times New Roman"/>
              </w:rPr>
              <w:t>Insuline glargine</w:t>
            </w:r>
          </w:p>
        </w:tc>
        <w:tc>
          <w:tcPr>
            <w:tcW w:w="0" w:type="auto"/>
            <w:hideMark/>
          </w:tcPr>
          <w:p w14:paraId="248EE9BF" w14:textId="77777777" w:rsidR="00664D0A" w:rsidRPr="00E71797" w:rsidRDefault="00664D0A" w:rsidP="00B139C3">
            <w:pPr>
              <w:rPr>
                <w:rFonts w:eastAsia="Times New Roman"/>
              </w:rPr>
            </w:pPr>
            <w:r w:rsidRPr="00E71797">
              <w:rPr>
                <w:rFonts w:eastAsia="Times New Roman"/>
              </w:rPr>
              <w:t>Lantus</w:t>
            </w:r>
          </w:p>
        </w:tc>
        <w:tc>
          <w:tcPr>
            <w:tcW w:w="0" w:type="auto"/>
            <w:hideMark/>
          </w:tcPr>
          <w:p w14:paraId="19AA0B0C" w14:textId="77777777" w:rsidR="00664D0A" w:rsidRPr="00E71797" w:rsidRDefault="00664D0A" w:rsidP="00B139C3">
            <w:pPr>
              <w:rPr>
                <w:rFonts w:eastAsia="Times New Roman"/>
              </w:rPr>
            </w:pPr>
            <w:r w:rsidRPr="00E71797">
              <w:rPr>
                <w:rFonts w:eastAsia="Times New Roman"/>
              </w:rPr>
              <w:t>60–240</w:t>
            </w:r>
          </w:p>
        </w:tc>
        <w:tc>
          <w:tcPr>
            <w:tcW w:w="0" w:type="auto"/>
            <w:hideMark/>
          </w:tcPr>
          <w:p w14:paraId="2B7689DA" w14:textId="77777777" w:rsidR="00664D0A" w:rsidRPr="00E71797" w:rsidRDefault="00664D0A" w:rsidP="00B139C3">
            <w:pPr>
              <w:rPr>
                <w:rFonts w:eastAsia="Times New Roman"/>
              </w:rPr>
            </w:pPr>
            <w:r w:rsidRPr="00E71797">
              <w:rPr>
                <w:rFonts w:eastAsia="Times New Roman"/>
              </w:rPr>
              <w:t>24</w:t>
            </w:r>
          </w:p>
        </w:tc>
      </w:tr>
    </w:tbl>
    <w:p w14:paraId="139AEED4" w14:textId="77777777" w:rsidR="00664D0A" w:rsidRPr="00E71797" w:rsidRDefault="00664D0A" w:rsidP="00B139C3">
      <w:pPr>
        <w:rPr>
          <w:rStyle w:val="Emphasis"/>
          <w:rFonts w:cstheme="majorBidi"/>
          <w:i w:val="0"/>
          <w:iCs w:val="0"/>
        </w:rPr>
      </w:pPr>
    </w:p>
    <w:p w14:paraId="6D35A0A6" w14:textId="571159B4" w:rsidR="00664D0A" w:rsidRPr="00C464A1" w:rsidRDefault="00664D0A" w:rsidP="0080119A">
      <w:pPr>
        <w:rPr>
          <w:lang w:val="fr-FR"/>
        </w:rPr>
      </w:pPr>
      <w:r w:rsidRPr="00C464A1">
        <w:rPr>
          <w:lang w:val="fr-FR"/>
        </w:rPr>
        <w:t>Plusieurs</w:t>
      </w:r>
      <w:r w:rsidR="00577C0B">
        <w:rPr>
          <w:lang w:val="fr-FR"/>
        </w:rPr>
        <w:t xml:space="preserve"> </w:t>
      </w:r>
      <w:r w:rsidRPr="00C464A1">
        <w:rPr>
          <w:lang w:val="fr-FR"/>
        </w:rPr>
        <w:t>schémas</w:t>
      </w:r>
      <w:r w:rsidR="00577C0B">
        <w:rPr>
          <w:lang w:val="fr-FR"/>
        </w:rPr>
        <w:t xml:space="preserve"> </w:t>
      </w:r>
      <w:r w:rsidRPr="00C464A1">
        <w:rPr>
          <w:lang w:val="fr-FR"/>
        </w:rPr>
        <w:t>d’insulinothérapie</w:t>
      </w:r>
      <w:r w:rsidR="00577C0B">
        <w:rPr>
          <w:lang w:val="fr-FR"/>
        </w:rPr>
        <w:t xml:space="preserve"> </w:t>
      </w:r>
      <w:r w:rsidRPr="00C464A1">
        <w:rPr>
          <w:lang w:val="fr-FR"/>
        </w:rPr>
        <w:t>peuvent</w:t>
      </w:r>
      <w:r w:rsidR="00577C0B">
        <w:rPr>
          <w:lang w:val="fr-FR"/>
        </w:rPr>
        <w:t xml:space="preserve"> </w:t>
      </w:r>
      <w:r w:rsidRPr="00C464A1">
        <w:rPr>
          <w:lang w:val="fr-FR"/>
        </w:rPr>
        <w:t>être</w:t>
      </w:r>
      <w:r w:rsidR="00577C0B">
        <w:rPr>
          <w:lang w:val="fr-FR"/>
        </w:rPr>
        <w:t xml:space="preserve"> distingués</w:t>
      </w:r>
      <w:r w:rsidR="00A032FC">
        <w:rPr>
          <w:lang w:val="fr-FR"/>
        </w:rPr>
        <w:fldChar w:fldCharType="begin"/>
      </w:r>
      <w:r w:rsidR="00116A61">
        <w:rPr>
          <w:lang w:val="fr-FR"/>
        </w:rPr>
        <w:instrText xml:space="preserve"> ADDIN ZOTERO_ITEM CSL_CITATION {"citationID":"JO0Y5K3i","properties":{"unsorted":false,"formattedCitation":"(62)","plainCitation":"(62)","noteIndex":0},"citationItems":[{"id":"6VBx8p83/jTXssvQa","uris":["http://zotero.org/users/local/xPnoPzR4/items/A97S9J9Z"],"itemData":{"id":324,"type":"book","abstract":"Avec 425 millions de malades dans le monde dont plus de 3,5 millions en France, le diabète est l’une des maladies chroniques les plus présentes dans l","ISBN":"978-2-294-76421-9","language":"en-US","source":"shop.elsevier.com","title":"Guide pratique du diabète","URL":"https://shop.elsevier.com/books/guide-pratique-du-diabete/hartemann/978-2-294-76421-9","accessed":{"date-parts":[["2026",5,14]]},"issued":{"date-parts":[["2019",10,16]]}}}],"schema":"https://github.com/citation-style-language/schema/raw/master/csl-citation.json"} </w:instrText>
      </w:r>
      <w:r w:rsidR="00A032FC">
        <w:rPr>
          <w:lang w:val="fr-FR"/>
        </w:rPr>
        <w:fldChar w:fldCharType="separate"/>
      </w:r>
      <w:r w:rsidR="0080119A" w:rsidRPr="0080119A">
        <w:rPr>
          <w:rFonts w:ascii="Times New Roman" w:hAnsi="Times New Roman" w:cs="Times New Roman"/>
          <w:lang w:val="fr-FR"/>
        </w:rPr>
        <w:t>(62)</w:t>
      </w:r>
      <w:r w:rsidR="00A032FC">
        <w:rPr>
          <w:lang w:val="fr-FR"/>
        </w:rPr>
        <w:fldChar w:fldCharType="end"/>
      </w:r>
      <w:r w:rsidR="00577C0B">
        <w:rPr>
          <w:lang w:val="fr-FR"/>
        </w:rPr>
        <w:t>, notamment :</w:t>
      </w:r>
    </w:p>
    <w:p w14:paraId="4B8BA1EC" w14:textId="26DBEA12" w:rsidR="00664D0A" w:rsidRPr="00664D0A" w:rsidRDefault="00664D0A" w:rsidP="00577C0B">
      <w:pPr>
        <w:rPr>
          <w:lang w:val="fr-FR"/>
        </w:rPr>
      </w:pPr>
      <w:proofErr w:type="gramStart"/>
      <w:r w:rsidRPr="00664D0A">
        <w:rPr>
          <w:lang w:val="fr-FR"/>
        </w:rPr>
        <w:t>le</w:t>
      </w:r>
      <w:proofErr w:type="gramEnd"/>
      <w:r w:rsidRPr="00664D0A">
        <w:rPr>
          <w:lang w:val="fr-FR"/>
        </w:rPr>
        <w:t xml:space="preserve"> schéma basal-bolus : il</w:t>
      </w:r>
      <w:r w:rsidR="00577C0B">
        <w:rPr>
          <w:lang w:val="fr-FR"/>
        </w:rPr>
        <w:t xml:space="preserve"> </w:t>
      </w:r>
      <w:r w:rsidRPr="00664D0A">
        <w:rPr>
          <w:lang w:val="fr-FR"/>
        </w:rPr>
        <w:t>consiste à effectuer</w:t>
      </w:r>
      <w:r w:rsidR="00577C0B">
        <w:rPr>
          <w:lang w:val="fr-FR"/>
        </w:rPr>
        <w:t xml:space="preserve"> </w:t>
      </w:r>
      <w:r w:rsidRPr="00664D0A">
        <w:rPr>
          <w:lang w:val="fr-FR"/>
        </w:rPr>
        <w:t>quatre à cinq administrations quotidiennes</w:t>
      </w:r>
      <w:r w:rsidR="00577C0B">
        <w:rPr>
          <w:lang w:val="fr-FR"/>
        </w:rPr>
        <w:t xml:space="preserve"> </w:t>
      </w:r>
      <w:r w:rsidRPr="00664D0A">
        <w:rPr>
          <w:lang w:val="fr-FR"/>
        </w:rPr>
        <w:t>d’insuline, avec une injection d’insuline (ou d’un analogue) d’action</w:t>
      </w:r>
      <w:r w:rsidR="00577C0B">
        <w:rPr>
          <w:lang w:val="fr-FR"/>
        </w:rPr>
        <w:t xml:space="preserve"> </w:t>
      </w:r>
      <w:r w:rsidRPr="00664D0A">
        <w:rPr>
          <w:lang w:val="fr-FR"/>
        </w:rPr>
        <w:t>rapide</w:t>
      </w:r>
      <w:r w:rsidR="00577C0B">
        <w:rPr>
          <w:lang w:val="fr-FR"/>
        </w:rPr>
        <w:t xml:space="preserve"> </w:t>
      </w:r>
      <w:r w:rsidRPr="00664D0A">
        <w:rPr>
          <w:lang w:val="fr-FR"/>
        </w:rPr>
        <w:t>avant</w:t>
      </w:r>
      <w:r w:rsidR="00577C0B">
        <w:rPr>
          <w:lang w:val="fr-FR"/>
        </w:rPr>
        <w:t xml:space="preserve"> </w:t>
      </w:r>
      <w:r w:rsidRPr="00664D0A">
        <w:rPr>
          <w:lang w:val="fr-FR"/>
        </w:rPr>
        <w:t>chacun des repas</w:t>
      </w:r>
      <w:r w:rsidR="00577C0B">
        <w:rPr>
          <w:lang w:val="fr-FR"/>
        </w:rPr>
        <w:t xml:space="preserve"> </w:t>
      </w:r>
      <w:r w:rsidRPr="00664D0A">
        <w:rPr>
          <w:lang w:val="fr-FR"/>
        </w:rPr>
        <w:t>principaux, associée</w:t>
      </w:r>
      <w:r w:rsidR="00577C0B">
        <w:rPr>
          <w:lang w:val="fr-FR"/>
        </w:rPr>
        <w:t xml:space="preserve"> </w:t>
      </w:r>
      <w:r w:rsidRPr="00664D0A">
        <w:rPr>
          <w:lang w:val="fr-FR"/>
        </w:rPr>
        <w:t>soit à une</w:t>
      </w:r>
      <w:r w:rsidR="00577C0B">
        <w:rPr>
          <w:lang w:val="fr-FR"/>
        </w:rPr>
        <w:t xml:space="preserve"> </w:t>
      </w:r>
      <w:r w:rsidRPr="00664D0A">
        <w:rPr>
          <w:lang w:val="fr-FR"/>
        </w:rPr>
        <w:t>insuline</w:t>
      </w:r>
      <w:r w:rsidR="00577C0B">
        <w:rPr>
          <w:lang w:val="fr-FR"/>
        </w:rPr>
        <w:t xml:space="preserve"> </w:t>
      </w:r>
      <w:r w:rsidRPr="00664D0A">
        <w:rPr>
          <w:lang w:val="fr-FR"/>
        </w:rPr>
        <w:t>d’action</w:t>
      </w:r>
      <w:r w:rsidR="00577C0B">
        <w:rPr>
          <w:lang w:val="fr-FR"/>
        </w:rPr>
        <w:t xml:space="preserve"> </w:t>
      </w:r>
      <w:r w:rsidRPr="00664D0A">
        <w:rPr>
          <w:lang w:val="fr-FR"/>
        </w:rPr>
        <w:t>intermédiaire</w:t>
      </w:r>
      <w:r w:rsidR="00577C0B">
        <w:rPr>
          <w:lang w:val="fr-FR"/>
        </w:rPr>
        <w:t xml:space="preserve"> </w:t>
      </w:r>
      <w:r w:rsidRPr="00664D0A">
        <w:rPr>
          <w:lang w:val="fr-FR"/>
        </w:rPr>
        <w:t>administrée</w:t>
      </w:r>
      <w:r w:rsidR="00665FE5">
        <w:rPr>
          <w:lang w:val="fr-FR"/>
        </w:rPr>
        <w:t xml:space="preserve"> </w:t>
      </w:r>
      <w:r w:rsidRPr="00664D0A">
        <w:rPr>
          <w:lang w:val="fr-FR"/>
        </w:rPr>
        <w:t>matin et soir, soit à un analogue d’action</w:t>
      </w:r>
      <w:r w:rsidR="00665FE5">
        <w:rPr>
          <w:lang w:val="fr-FR"/>
        </w:rPr>
        <w:t xml:space="preserve"> </w:t>
      </w:r>
      <w:r w:rsidRPr="00664D0A">
        <w:rPr>
          <w:lang w:val="fr-FR"/>
        </w:rPr>
        <w:t>prolongée</w:t>
      </w:r>
      <w:r w:rsidR="00665FE5">
        <w:rPr>
          <w:lang w:val="fr-FR"/>
        </w:rPr>
        <w:t xml:space="preserve"> </w:t>
      </w:r>
      <w:r w:rsidRPr="00664D0A">
        <w:rPr>
          <w:lang w:val="fr-FR"/>
        </w:rPr>
        <w:t>en</w:t>
      </w:r>
      <w:r w:rsidR="00665FE5">
        <w:rPr>
          <w:lang w:val="fr-FR"/>
        </w:rPr>
        <w:t xml:space="preserve"> </w:t>
      </w:r>
      <w:r w:rsidRPr="00664D0A">
        <w:rPr>
          <w:lang w:val="fr-FR"/>
        </w:rPr>
        <w:t>une injection quoti</w:t>
      </w:r>
      <w:r w:rsidR="00577C0B">
        <w:rPr>
          <w:lang w:val="fr-FR"/>
        </w:rPr>
        <w:t>dienne, idéalement au coucher ;</w:t>
      </w:r>
    </w:p>
    <w:p w14:paraId="2C99772F" w14:textId="7E1C2BF2" w:rsidR="00664D0A" w:rsidRPr="00664D0A" w:rsidRDefault="00664D0A" w:rsidP="00577C0B">
      <w:pPr>
        <w:rPr>
          <w:lang w:val="fr-FR"/>
        </w:rPr>
      </w:pPr>
      <w:proofErr w:type="gramStart"/>
      <w:r w:rsidRPr="00664D0A">
        <w:rPr>
          <w:lang w:val="fr-FR"/>
        </w:rPr>
        <w:t>un</w:t>
      </w:r>
      <w:proofErr w:type="gramEnd"/>
      <w:r w:rsidR="00665FE5">
        <w:rPr>
          <w:lang w:val="fr-FR"/>
        </w:rPr>
        <w:t xml:space="preserve"> </w:t>
      </w:r>
      <w:r w:rsidRPr="00664D0A">
        <w:rPr>
          <w:lang w:val="fr-FR"/>
        </w:rPr>
        <w:t>schéma à trois injections par jour reposant sur un mélange d’insulines (ou</w:t>
      </w:r>
      <w:r w:rsidR="00665FE5">
        <w:rPr>
          <w:lang w:val="fr-FR"/>
        </w:rPr>
        <w:t xml:space="preserve"> </w:t>
      </w:r>
      <w:r w:rsidRPr="00664D0A">
        <w:rPr>
          <w:lang w:val="fr-FR"/>
        </w:rPr>
        <w:t>d’analogues) d’action</w:t>
      </w:r>
      <w:r w:rsidR="00665FE5">
        <w:rPr>
          <w:lang w:val="fr-FR"/>
        </w:rPr>
        <w:t xml:space="preserve"> </w:t>
      </w:r>
      <w:r w:rsidRPr="00664D0A">
        <w:rPr>
          <w:lang w:val="fr-FR"/>
        </w:rPr>
        <w:t>rapide et d’action</w:t>
      </w:r>
      <w:r w:rsidR="00665FE5">
        <w:rPr>
          <w:lang w:val="fr-FR"/>
        </w:rPr>
        <w:t xml:space="preserve"> </w:t>
      </w:r>
      <w:r w:rsidRPr="00664D0A">
        <w:rPr>
          <w:lang w:val="fr-FR"/>
        </w:rPr>
        <w:t>intermédiaire, administré</w:t>
      </w:r>
      <w:r w:rsidR="00665FE5">
        <w:rPr>
          <w:lang w:val="fr-FR"/>
        </w:rPr>
        <w:t xml:space="preserve"> </w:t>
      </w:r>
      <w:r w:rsidRPr="00664D0A">
        <w:rPr>
          <w:lang w:val="fr-FR"/>
        </w:rPr>
        <w:t>avant le petit-déjeuner et avant le repas du soir, au</w:t>
      </w:r>
      <w:r w:rsidR="00665FE5">
        <w:rPr>
          <w:lang w:val="fr-FR"/>
        </w:rPr>
        <w:t xml:space="preserve"> </w:t>
      </w:r>
      <w:r w:rsidRPr="00664D0A">
        <w:rPr>
          <w:lang w:val="fr-FR"/>
        </w:rPr>
        <w:t>quel</w:t>
      </w:r>
      <w:r w:rsidR="00665FE5">
        <w:rPr>
          <w:lang w:val="fr-FR"/>
        </w:rPr>
        <w:t xml:space="preserve"> </w:t>
      </w:r>
      <w:r w:rsidRPr="00664D0A">
        <w:rPr>
          <w:lang w:val="fr-FR"/>
        </w:rPr>
        <w:t>s’ajoute</w:t>
      </w:r>
      <w:r w:rsidR="00665FE5">
        <w:rPr>
          <w:lang w:val="fr-FR"/>
        </w:rPr>
        <w:t xml:space="preserve"> </w:t>
      </w:r>
      <w:r w:rsidRPr="00664D0A">
        <w:rPr>
          <w:lang w:val="fr-FR"/>
        </w:rPr>
        <w:t>une</w:t>
      </w:r>
      <w:r w:rsidR="00665FE5">
        <w:rPr>
          <w:lang w:val="fr-FR"/>
        </w:rPr>
        <w:t xml:space="preserve"> </w:t>
      </w:r>
      <w:r w:rsidRPr="00664D0A">
        <w:rPr>
          <w:lang w:val="fr-FR"/>
        </w:rPr>
        <w:t>insuline (ou un analogue) d’actio</w:t>
      </w:r>
      <w:r w:rsidR="00577C0B">
        <w:rPr>
          <w:lang w:val="fr-FR"/>
        </w:rPr>
        <w:t>n</w:t>
      </w:r>
      <w:r w:rsidR="00665FE5">
        <w:rPr>
          <w:lang w:val="fr-FR"/>
        </w:rPr>
        <w:t xml:space="preserve"> </w:t>
      </w:r>
      <w:r w:rsidR="00577C0B">
        <w:rPr>
          <w:lang w:val="fr-FR"/>
        </w:rPr>
        <w:t>rapide</w:t>
      </w:r>
      <w:r w:rsidR="00665FE5">
        <w:rPr>
          <w:lang w:val="fr-FR"/>
        </w:rPr>
        <w:t xml:space="preserve"> </w:t>
      </w:r>
      <w:r w:rsidR="00577C0B">
        <w:rPr>
          <w:lang w:val="fr-FR"/>
        </w:rPr>
        <w:t>avant le repas de midi ;</w:t>
      </w:r>
    </w:p>
    <w:p w14:paraId="6036A8AE" w14:textId="0FBB762C" w:rsidR="00664D0A" w:rsidRPr="00664D0A" w:rsidRDefault="00664D0A" w:rsidP="001C2505">
      <w:pPr>
        <w:rPr>
          <w:lang w:val="fr-FR"/>
        </w:rPr>
      </w:pPr>
      <w:proofErr w:type="gramStart"/>
      <w:r w:rsidRPr="00664D0A">
        <w:rPr>
          <w:lang w:val="fr-FR"/>
        </w:rPr>
        <w:t>un</w:t>
      </w:r>
      <w:proofErr w:type="gramEnd"/>
      <w:r w:rsidR="00665FE5">
        <w:rPr>
          <w:lang w:val="fr-FR"/>
        </w:rPr>
        <w:t xml:space="preserve"> </w:t>
      </w:r>
      <w:r w:rsidRPr="00664D0A">
        <w:rPr>
          <w:lang w:val="fr-FR"/>
        </w:rPr>
        <w:t>schéma à deux injections quotidiennes</w:t>
      </w:r>
      <w:r w:rsidR="00665FE5">
        <w:rPr>
          <w:lang w:val="fr-FR"/>
        </w:rPr>
        <w:t xml:space="preserve"> </w:t>
      </w:r>
      <w:r w:rsidRPr="00664D0A">
        <w:rPr>
          <w:lang w:val="fr-FR"/>
        </w:rPr>
        <w:t>fondé sur un mélange d’insulines (ou</w:t>
      </w:r>
      <w:r w:rsidR="00665FE5">
        <w:rPr>
          <w:lang w:val="fr-FR"/>
        </w:rPr>
        <w:t xml:space="preserve"> </w:t>
      </w:r>
      <w:r w:rsidRPr="00664D0A">
        <w:rPr>
          <w:lang w:val="fr-FR"/>
        </w:rPr>
        <w:t>d’analogues) d’action</w:t>
      </w:r>
      <w:r w:rsidR="00665FE5">
        <w:rPr>
          <w:lang w:val="fr-FR"/>
        </w:rPr>
        <w:t xml:space="preserve"> </w:t>
      </w:r>
      <w:r w:rsidRPr="00664D0A">
        <w:rPr>
          <w:lang w:val="fr-FR"/>
        </w:rPr>
        <w:t>rapide et d’action</w:t>
      </w:r>
      <w:r w:rsidR="00665FE5">
        <w:rPr>
          <w:lang w:val="fr-FR"/>
        </w:rPr>
        <w:t xml:space="preserve"> </w:t>
      </w:r>
      <w:r w:rsidRPr="00664D0A">
        <w:rPr>
          <w:lang w:val="fr-FR"/>
        </w:rPr>
        <w:t>intermédiaire, généralement</w:t>
      </w:r>
      <w:r w:rsidR="00665FE5">
        <w:rPr>
          <w:lang w:val="fr-FR"/>
        </w:rPr>
        <w:t xml:space="preserve"> </w:t>
      </w:r>
      <w:r w:rsidRPr="00664D0A">
        <w:rPr>
          <w:lang w:val="fr-FR"/>
        </w:rPr>
        <w:t>avant le petit-déjeu</w:t>
      </w:r>
      <w:r w:rsidR="001C2505">
        <w:rPr>
          <w:lang w:val="fr-FR"/>
        </w:rPr>
        <w:t>ner et avant le repas du soir ;</w:t>
      </w:r>
      <w:r w:rsidRPr="00664D0A">
        <w:rPr>
          <w:lang w:val="fr-FR"/>
        </w:rPr>
        <w:t>la</w:t>
      </w:r>
      <w:r w:rsidR="00665FE5">
        <w:rPr>
          <w:lang w:val="fr-FR"/>
        </w:rPr>
        <w:t xml:space="preserve"> </w:t>
      </w:r>
      <w:r w:rsidRPr="00664D0A">
        <w:rPr>
          <w:lang w:val="fr-FR"/>
        </w:rPr>
        <w:t>pompe</w:t>
      </w:r>
      <w:r w:rsidR="00665FE5">
        <w:rPr>
          <w:lang w:val="fr-FR"/>
        </w:rPr>
        <w:t xml:space="preserve"> </w:t>
      </w:r>
      <w:r w:rsidRPr="00664D0A">
        <w:rPr>
          <w:lang w:val="fr-FR"/>
        </w:rPr>
        <w:t>externe portable, utilisant le plus souvent des analogues d’action</w:t>
      </w:r>
      <w:r w:rsidR="00665FE5">
        <w:rPr>
          <w:lang w:val="fr-FR"/>
        </w:rPr>
        <w:t xml:space="preserve"> </w:t>
      </w:r>
      <w:r w:rsidR="001C2505">
        <w:rPr>
          <w:lang w:val="fr-FR"/>
        </w:rPr>
        <w:t>rapide.</w:t>
      </w:r>
    </w:p>
    <w:p w14:paraId="2BF207DC" w14:textId="0C3D2888" w:rsidR="00664D0A" w:rsidRPr="00664D0A" w:rsidRDefault="00664D0A" w:rsidP="00B139C3">
      <w:pPr>
        <w:rPr>
          <w:lang w:val="fr-FR"/>
        </w:rPr>
      </w:pPr>
      <w:r w:rsidRPr="00664D0A">
        <w:rPr>
          <w:lang w:val="fr-FR"/>
        </w:rPr>
        <w:t>L’insulinothérapie</w:t>
      </w:r>
      <w:r w:rsidR="00665FE5">
        <w:rPr>
          <w:lang w:val="fr-FR"/>
        </w:rPr>
        <w:t xml:space="preserve"> </w:t>
      </w:r>
      <w:r w:rsidRPr="00664D0A">
        <w:rPr>
          <w:lang w:val="fr-FR"/>
        </w:rPr>
        <w:t>fonctionnelle</w:t>
      </w:r>
      <w:r w:rsidR="00665FE5">
        <w:rPr>
          <w:lang w:val="fr-FR"/>
        </w:rPr>
        <w:t xml:space="preserve"> </w:t>
      </w:r>
      <w:r w:rsidRPr="00664D0A">
        <w:rPr>
          <w:lang w:val="fr-FR"/>
        </w:rPr>
        <w:t>est</w:t>
      </w:r>
      <w:r w:rsidR="00665FE5">
        <w:rPr>
          <w:lang w:val="fr-FR"/>
        </w:rPr>
        <w:t xml:space="preserve"> </w:t>
      </w:r>
      <w:r w:rsidRPr="00664D0A">
        <w:rPr>
          <w:lang w:val="fr-FR"/>
        </w:rPr>
        <w:t>habituellement</w:t>
      </w:r>
      <w:r w:rsidR="00665FE5">
        <w:rPr>
          <w:lang w:val="fr-FR"/>
        </w:rPr>
        <w:t xml:space="preserve"> </w:t>
      </w:r>
      <w:r w:rsidRPr="00664D0A">
        <w:rPr>
          <w:lang w:val="fr-FR"/>
        </w:rPr>
        <w:t>proposée à des patients disposés à adopter des schémas plus flexibles et, dans</w:t>
      </w:r>
      <w:r w:rsidR="00665FE5">
        <w:rPr>
          <w:lang w:val="fr-FR"/>
        </w:rPr>
        <w:t xml:space="preserve"> </w:t>
      </w:r>
      <w:r w:rsidRPr="00664D0A">
        <w:rPr>
          <w:lang w:val="fr-FR"/>
        </w:rPr>
        <w:t>certaines situations, plus efficaces, notamment le basal-bolus et la pompe</w:t>
      </w:r>
      <w:r w:rsidR="00665FE5">
        <w:rPr>
          <w:lang w:val="fr-FR"/>
        </w:rPr>
        <w:t xml:space="preserve"> </w:t>
      </w:r>
      <w:r w:rsidR="00A032FC">
        <w:rPr>
          <w:lang w:val="fr-FR"/>
        </w:rPr>
        <w:t>externe portable.</w:t>
      </w:r>
    </w:p>
    <w:p w14:paraId="7F2444EE" w14:textId="77777777" w:rsidR="00664D0A" w:rsidRPr="00664D0A" w:rsidRDefault="00664D0A" w:rsidP="00665FE5">
      <w:pPr>
        <w:pStyle w:val="Heading3"/>
      </w:pPr>
      <w:r w:rsidRPr="00664D0A">
        <w:t>7-2-3/Les autres classes thérapeutiques antidiabétiques :</w:t>
      </w:r>
    </w:p>
    <w:p w14:paraId="2D755FA4" w14:textId="77777777" w:rsidR="00664D0A" w:rsidRPr="00664D0A" w:rsidRDefault="00664D0A" w:rsidP="00665FE5">
      <w:pPr>
        <w:pStyle w:val="Heading4"/>
        <w:rPr>
          <w:lang w:val="fr-FR"/>
        </w:rPr>
      </w:pPr>
      <w:r w:rsidRPr="00664D0A">
        <w:rPr>
          <w:lang w:val="fr-FR"/>
        </w:rPr>
        <w:t>A/Les Inhibiteurs d’</w:t>
      </w:r>
      <w:r w:rsidRPr="00E71797">
        <w:t>α</w:t>
      </w:r>
      <w:r w:rsidRPr="00664D0A">
        <w:rPr>
          <w:lang w:val="fr-FR"/>
        </w:rPr>
        <w:t xml:space="preserve"> glucosidase : (Ex : acarbose, miglitol</w:t>
      </w:r>
      <w:proofErr w:type="gramStart"/>
      <w:r w:rsidRPr="00664D0A">
        <w:rPr>
          <w:lang w:val="fr-FR"/>
        </w:rPr>
        <w:t>):</w:t>
      </w:r>
      <w:proofErr w:type="gramEnd"/>
    </w:p>
    <w:p w14:paraId="0AE2CFC1" w14:textId="29854198" w:rsidR="00664D0A" w:rsidRPr="00E71797" w:rsidRDefault="00664D0A" w:rsidP="0080119A">
      <w:pPr>
        <w:rPr>
          <w:color w:val="2B2D38"/>
        </w:rPr>
      </w:pPr>
      <w:r w:rsidRPr="00664D0A">
        <w:rPr>
          <w:color w:val="2B2D38"/>
          <w:lang w:val="fr-FR"/>
        </w:rPr>
        <w:t>Les inhibiteurs d’</w:t>
      </w:r>
      <w:r w:rsidRPr="00E71797">
        <w:rPr>
          <w:color w:val="2B2D38"/>
        </w:rPr>
        <w:t>α</w:t>
      </w:r>
      <w:r w:rsidRPr="00664D0A">
        <w:rPr>
          <w:color w:val="2B2D38"/>
          <w:lang w:val="fr-FR"/>
        </w:rPr>
        <w:t xml:space="preserve"> glucosidase, comme l’acarbose et le miglitol, sont des médicaments utilisés pour traiter le diabète de type 2. Ces médicaments empêchent de manière compétitive les enzymes </w:t>
      </w:r>
      <w:r w:rsidRPr="00E71797">
        <w:rPr>
          <w:color w:val="2B2D38"/>
        </w:rPr>
        <w:t>α</w:t>
      </w:r>
      <w:r w:rsidRPr="00664D0A">
        <w:rPr>
          <w:color w:val="2B2D38"/>
          <w:lang w:val="fr-FR"/>
        </w:rPr>
        <w:t xml:space="preserve"> glucosidase dans l’intestin de décomposer les glucides complexes en monosaccharides absorbables. En ralentissant cette décomposition, ils retardent l’absorption des glucides et réduisent les niveaux de sucre dans le sang après les repas, ce qui améliore le contrôle du diabète et diminue les niveaux d’HbA₁c.</w:t>
      </w:r>
      <w:r w:rsidRPr="00E71797">
        <w:rPr>
          <w:color w:val="2B2D38"/>
        </w:rPr>
        <w:fldChar w:fldCharType="begin"/>
      </w:r>
      <w:r w:rsidR="00116A61">
        <w:rPr>
          <w:color w:val="2B2D38"/>
          <w:lang w:val="fr-FR"/>
        </w:rPr>
        <w:instrText xml:space="preserve"> ADDIN ZOTERO_ITEM CSL_CITATION {"citationID":"zfSFb8gN","properties":{"formattedCitation":"(63)","plainCitation":"(63)","noteIndex":0},"citationItems":[{"id":"6VBx8p83/nvTzlyMO","uris":["http://zotero.org/users/local/QE2koe11/items/XT6CUA9Y"],"itemData":{"id":129,"type":"chapter","abstract":"Alpha-glucosidase inhibitors (AGIs) are therapeutic agents in managing type 2 diabetes. Acarbose and miglitol are FDA-approved and are prominent members of this drug class. AGIs are also prescribed for patients with impaired glucose tolerance, demonstrating their utility in delaying the onset of diabetes in this cohort. Notably, these inhibitors prove advantageous for individuals at heightened risk of hypoglycemia or lactic acidosis, making them viable alternatives for those unsuitable for conventional antidiabetic medications like sulfonylureas and metformin. This comprehensive activity provides healthcare professionals with a thorough exploration of AGIs, covering the indications, mechanism of action, pharmacokinetics, administration, dosing, contraindications, warnings, precautions, adverse effects, and monitoring. This knowledge facilitates effective diabetes management and the prevention of associated complications.","call-number":"NBK557848","container-title":"StatPearls","language":"eng","license":"Copyright © 2025, StatPearls Publishing LLC.","note":"PMID: 32496728","publisher":"StatPearls Publishing","publisher-place":"Treasure Island (FL)","source":"PubMed","title":"Alpha Glucosidase Inhibitors","URL":"http://www.ncbi.nlm.nih.gov/books/NBK557848/","author":[{"family":"Akmal","given":"Manahil"},{"family":"Patel","given":"Preeti"},{"family":"Wadhwa","given":"Roopma"}],"accessed":{"date-parts":[["2026",2,7]]},"issued":{"date-parts":[["2025"]]}}}],"schema":"https://github.com/citation-style-language/schema/raw/master/csl-citation.json"} </w:instrText>
      </w:r>
      <w:r w:rsidRPr="00E71797">
        <w:rPr>
          <w:color w:val="2B2D38"/>
        </w:rPr>
        <w:fldChar w:fldCharType="separate"/>
      </w:r>
      <w:r w:rsidR="0080119A" w:rsidRPr="0080119A">
        <w:rPr>
          <w:rFonts w:ascii="Calibri" w:hAnsi="Calibri" w:cs="Calibri"/>
        </w:rPr>
        <w:t>(63)</w:t>
      </w:r>
      <w:r w:rsidRPr="00E71797">
        <w:rPr>
          <w:color w:val="2B2D38"/>
        </w:rPr>
        <w:fldChar w:fldCharType="end"/>
      </w:r>
    </w:p>
    <w:p w14:paraId="3A48C2EE" w14:textId="77777777" w:rsidR="00664D0A" w:rsidRPr="00E71797" w:rsidRDefault="00664D0A" w:rsidP="00B139C3">
      <w:r w:rsidRPr="00E71797">
        <w:rPr>
          <w:noProof/>
          <w:lang w:val="fr-FR" w:eastAsia="fr-FR"/>
        </w:rPr>
        <w:lastRenderedPageBreak/>
        <w:drawing>
          <wp:inline distT="0" distB="0" distL="0" distR="0" wp14:anchorId="6A6D6D90" wp14:editId="03112A86">
            <wp:extent cx="3781425" cy="2535780"/>
            <wp:effectExtent l="19050" t="0" r="9525" b="0"/>
            <wp:docPr id="33" name="Image 31" descr="Mechanism-of-action-of-alpha-glucosidase-inhibi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chanism-of-action-of-alpha-glucosidase-inhibitors.png"/>
                    <pic:cNvPicPr/>
                  </pic:nvPicPr>
                  <pic:blipFill>
                    <a:blip r:embed="rId23"/>
                    <a:stretch>
                      <a:fillRect/>
                    </a:stretch>
                  </pic:blipFill>
                  <pic:spPr>
                    <a:xfrm>
                      <a:off x="0" y="0"/>
                      <a:ext cx="3781425" cy="2535780"/>
                    </a:xfrm>
                    <a:prstGeom prst="rect">
                      <a:avLst/>
                    </a:prstGeom>
                  </pic:spPr>
                </pic:pic>
              </a:graphicData>
            </a:graphic>
          </wp:inline>
        </w:drawing>
      </w:r>
    </w:p>
    <w:p w14:paraId="146AF78F" w14:textId="18398AA6" w:rsidR="00664D0A" w:rsidRPr="00664D0A" w:rsidRDefault="00664D0A" w:rsidP="00B139C3">
      <w:pPr>
        <w:rPr>
          <w:color w:val="2B2D38"/>
          <w:lang w:val="fr-FR"/>
        </w:rPr>
      </w:pPr>
      <w:bookmarkStart w:id="51" w:name="_Toc229617296"/>
      <w:r w:rsidRPr="00664D0A">
        <w:rPr>
          <w:lang w:val="fr-FR"/>
        </w:rPr>
        <w:t xml:space="preserve">Figure </w:t>
      </w:r>
      <w:r>
        <w:fldChar w:fldCharType="begin"/>
      </w:r>
      <w:r w:rsidRPr="00664D0A">
        <w:rPr>
          <w:lang w:val="fr-FR"/>
        </w:rPr>
        <w:instrText xml:space="preserve"> SEQ Figure \* ARABIC </w:instrText>
      </w:r>
      <w:r>
        <w:fldChar w:fldCharType="separate"/>
      </w:r>
      <w:r w:rsidR="00983108">
        <w:rPr>
          <w:noProof/>
          <w:lang w:val="fr-FR"/>
        </w:rPr>
        <w:t>6</w:t>
      </w:r>
      <w:r>
        <w:rPr>
          <w:noProof/>
        </w:rPr>
        <w:fldChar w:fldCharType="end"/>
      </w:r>
      <w:r w:rsidRPr="00664D0A">
        <w:rPr>
          <w:lang w:val="fr-FR"/>
        </w:rPr>
        <w:t xml:space="preserve">: </w:t>
      </w:r>
      <w:r w:rsidRPr="00664D0A">
        <w:rPr>
          <w:sz w:val="20"/>
          <w:szCs w:val="20"/>
          <w:lang w:val="fr-FR"/>
        </w:rPr>
        <w:t xml:space="preserve">Le mécanisme d’action </w:t>
      </w:r>
      <w:r w:rsidRPr="00664D0A">
        <w:rPr>
          <w:color w:val="8496B0" w:themeColor="text2" w:themeTint="99"/>
          <w:sz w:val="20"/>
          <w:szCs w:val="20"/>
          <w:lang w:val="fr-FR"/>
        </w:rPr>
        <w:t>des</w:t>
      </w:r>
      <w:r w:rsidRPr="00664D0A">
        <w:rPr>
          <w:color w:val="8496B0" w:themeColor="text2" w:themeTint="99"/>
          <w:lang w:val="fr-FR"/>
        </w:rPr>
        <w:t xml:space="preserve"> Inhibiteurs d’</w:t>
      </w:r>
      <w:r w:rsidRPr="00E71797">
        <w:rPr>
          <w:color w:val="8496B0" w:themeColor="text2" w:themeTint="99"/>
        </w:rPr>
        <w:t>α</w:t>
      </w:r>
      <w:r w:rsidRPr="00664D0A">
        <w:rPr>
          <w:color w:val="8496B0" w:themeColor="text2" w:themeTint="99"/>
          <w:lang w:val="fr-FR"/>
        </w:rPr>
        <w:t xml:space="preserve"> glucosidase</w:t>
      </w:r>
      <w:bookmarkEnd w:id="51"/>
    </w:p>
    <w:p w14:paraId="66A7ED48" w14:textId="77777777" w:rsidR="00664D0A" w:rsidRPr="00664D0A" w:rsidRDefault="00664D0A" w:rsidP="00B139C3">
      <w:pPr>
        <w:rPr>
          <w:lang w:val="fr-FR"/>
        </w:rPr>
      </w:pPr>
      <w:r w:rsidRPr="00664D0A">
        <w:rPr>
          <w:lang w:val="fr-FR"/>
        </w:rPr>
        <w:t xml:space="preserve">A-1/Les </w:t>
      </w:r>
      <w:proofErr w:type="gramStart"/>
      <w:r w:rsidRPr="00664D0A">
        <w:rPr>
          <w:lang w:val="fr-FR"/>
        </w:rPr>
        <w:t>Avantages:</w:t>
      </w:r>
      <w:proofErr w:type="gramEnd"/>
    </w:p>
    <w:p w14:paraId="5346D62C" w14:textId="6E3C52A8" w:rsidR="00664D0A" w:rsidRPr="00664D0A" w:rsidRDefault="00664D0A" w:rsidP="0080119A">
      <w:pPr>
        <w:rPr>
          <w:lang w:val="fr-FR"/>
        </w:rPr>
      </w:pPr>
      <w:r w:rsidRPr="00664D0A">
        <w:rPr>
          <w:lang w:val="fr-FR"/>
        </w:rPr>
        <w:t xml:space="preserve">Les inhibiteurs des </w:t>
      </w:r>
      <w:r w:rsidRPr="00E71797">
        <w:t>α</w:t>
      </w:r>
      <w:r w:rsidRPr="00664D0A">
        <w:rPr>
          <w:lang w:val="fr-FR"/>
        </w:rPr>
        <w:t xml:space="preserve"> glucosidases présentent plusieurs avantages. Ils diminuent le taux d'HbA1c d'environ 0,5 à 1 % par rapport aux valeurs sans traitement. Cela signifie que les inhibiteurs des </w:t>
      </w:r>
      <w:r w:rsidRPr="00E71797">
        <w:t>α</w:t>
      </w:r>
      <w:r w:rsidRPr="00664D0A">
        <w:rPr>
          <w:lang w:val="fr-FR"/>
        </w:rPr>
        <w:t xml:space="preserve"> glucosidases aident à de réduire l'élévation </w:t>
      </w:r>
      <w:proofErr w:type="gramStart"/>
      <w:r w:rsidRPr="00664D0A">
        <w:rPr>
          <w:lang w:val="fr-FR"/>
        </w:rPr>
        <w:t>de la glycémie postprandial</w:t>
      </w:r>
      <w:proofErr w:type="gramEnd"/>
      <w:r w:rsidRPr="00664D0A">
        <w:rPr>
          <w:lang w:val="fr-FR"/>
        </w:rPr>
        <w:t xml:space="preserve"> en ralentissant l'absorption des glucides. Les inhibiteurs des </w:t>
      </w:r>
      <w:r w:rsidRPr="00E71797">
        <w:t>α</w:t>
      </w:r>
      <w:r w:rsidRPr="00664D0A">
        <w:rPr>
          <w:lang w:val="fr-FR"/>
        </w:rPr>
        <w:t xml:space="preserve"> glucosidases n'entraînent pas d'hypoglycémie lorsqu'ils sont utilisés seuls, ce qui est un avantage important pour les patients.</w:t>
      </w:r>
      <w:r w:rsidRPr="00E71797">
        <w:fldChar w:fldCharType="begin"/>
      </w:r>
      <w:r w:rsidR="00116A61">
        <w:rPr>
          <w:lang w:val="fr-FR"/>
        </w:rPr>
        <w:instrText xml:space="preserve"> ADDIN ZOTERO_ITEM CSL_CITATION {"citationID":"xTXGNUTI","properties":{"formattedCitation":"(63)","plainCitation":"(63)","noteIndex":0},"citationItems":[{"id":"6VBx8p83/nvTzlyMO","uris":["http://zotero.org/users/local/QE2koe11/items/XT6CUA9Y"],"itemData":{"id":129,"type":"chapter","abstract":"Alpha-glucosidase inhibitors (AGIs) are therapeutic agents in managing type 2 diabetes. Acarbose and miglitol are FDA-approved and are prominent members of this drug class. AGIs are also prescribed for patients with impaired glucose tolerance, demonstrating their utility in delaying the onset of diabetes in this cohort. Notably, these inhibitors prove advantageous for individuals at heightened risk of hypoglycemia or lactic acidosis, making them viable alternatives for those unsuitable for conventional antidiabetic medications like sulfonylureas and metformin. This comprehensive activity provides healthcare professionals with a thorough exploration of AGIs, covering the indications, mechanism of action, pharmacokinetics, administration, dosing, contraindications, warnings, precautions, adverse effects, and monitoring. This knowledge facilitates effective diabetes management and the prevention of associated complications.","call-number":"NBK557848","container-title":"StatPearls","language":"eng","license":"Copyright © 2025, StatPearls Publishing LLC.","note":"PMID: 32496728","publisher":"StatPearls Publishing","publisher-place":"Treasure Island (FL)","source":"PubMed","title":"Alpha Glucosidase Inhibitors","URL":"http://www.ncbi.nlm.nih.gov/books/NBK557848/","author":[{"family":"Akmal","given":"Manahil"},{"family":"Patel","given":"Preeti"},{"family":"Wadhwa","given":"Roopma"}],"accessed":{"date-parts":[["2026",2,7]]},"issued":{"date-parts":[["2025"]]}}}],"schema":"https://github.com/citation-style-language/schema/raw/master/csl-citation.json"} </w:instrText>
      </w:r>
      <w:r w:rsidRPr="00E71797">
        <w:fldChar w:fldCharType="separate"/>
      </w:r>
      <w:r w:rsidR="0080119A" w:rsidRPr="0080119A">
        <w:rPr>
          <w:rFonts w:ascii="Calibri" w:hAnsi="Calibri" w:cs="Calibri"/>
          <w:lang w:val="fr-FR"/>
        </w:rPr>
        <w:t>(63)</w:t>
      </w:r>
      <w:r w:rsidRPr="00E71797">
        <w:fldChar w:fldCharType="end"/>
      </w:r>
    </w:p>
    <w:p w14:paraId="5F9328DA" w14:textId="77777777" w:rsidR="00664D0A" w:rsidRPr="00664D0A" w:rsidRDefault="00664D0A" w:rsidP="00B139C3">
      <w:pPr>
        <w:rPr>
          <w:lang w:val="fr-FR"/>
        </w:rPr>
      </w:pPr>
      <w:r w:rsidRPr="00664D0A">
        <w:rPr>
          <w:lang w:val="fr-FR"/>
        </w:rPr>
        <w:t>A-2/Les effets secondaires</w:t>
      </w:r>
    </w:p>
    <w:p w14:paraId="2B932F5A" w14:textId="73874CB3" w:rsidR="00664D0A" w:rsidRPr="00664D0A" w:rsidRDefault="00664D0A" w:rsidP="0080119A">
      <w:pPr>
        <w:rPr>
          <w:lang w:val="fr-FR"/>
        </w:rPr>
      </w:pPr>
      <w:r w:rsidRPr="00664D0A">
        <w:rPr>
          <w:lang w:val="fr-FR"/>
        </w:rPr>
        <w:t xml:space="preserve">Cependant, les inhibiteurs des </w:t>
      </w:r>
      <w:r w:rsidRPr="00E71797">
        <w:t>α</w:t>
      </w:r>
      <w:r w:rsidRPr="00664D0A">
        <w:rPr>
          <w:lang w:val="fr-FR"/>
        </w:rPr>
        <w:t xml:space="preserve"> glucosidases peuvent entraîner des effets secondaires. Les principaux effets indésirables sont liés au système digestif, tels que les flatulences, les diarrhées et les douleurs abdominales. Ces troubles sont causés par la fermentation des glucides non absorbés dans le côlon. Ils sont plus fréquents au début du traitement et sont dose-dépendants.</w:t>
      </w:r>
      <w:r w:rsidRPr="00E71797">
        <w:fldChar w:fldCharType="begin"/>
      </w:r>
      <w:r w:rsidR="00116A61">
        <w:rPr>
          <w:lang w:val="fr-FR"/>
        </w:rPr>
        <w:instrText xml:space="preserve"> ADDIN ZOTERO_ITEM CSL_CITATION {"citationID":"X7nKO1Z1","properties":{"formattedCitation":"(64)","plainCitation":"(64)","noteIndex":0},"citationItems":[{"id":"6VBx8p83/Wr3KFIAC","uris":["http://zotero.org/users/local/QE2koe11/items/QKY792JT"],"itemData":{"id":132,"type":"webpage","title":"Inhibiteurs des alpha-glucosidases","URL":"https://pharmacomedicale.org/medicaments/par-specialites/item/inhibiteurs-des-alpha-glucosidases?utm_source=chatgpt.com","accessed":{"date-parts":[["2026",2,7]]}}}],"schema":"https://github.com/citation-style-language/schema/raw/master/csl-citation.json"} </w:instrText>
      </w:r>
      <w:r w:rsidRPr="00E71797">
        <w:fldChar w:fldCharType="separate"/>
      </w:r>
      <w:r w:rsidR="0080119A" w:rsidRPr="0080119A">
        <w:rPr>
          <w:rFonts w:ascii="Calibri" w:hAnsi="Calibri" w:cs="Calibri"/>
          <w:lang w:val="fr-FR"/>
        </w:rPr>
        <w:t>(64)</w:t>
      </w:r>
      <w:r w:rsidRPr="00E71797">
        <w:fldChar w:fldCharType="end"/>
      </w:r>
    </w:p>
    <w:p w14:paraId="488C68B6" w14:textId="77777777" w:rsidR="00664D0A" w:rsidRPr="00664D0A" w:rsidRDefault="00664D0A" w:rsidP="00B139C3">
      <w:pPr>
        <w:rPr>
          <w:lang w:val="fr-FR"/>
        </w:rPr>
      </w:pPr>
      <w:r w:rsidRPr="00664D0A">
        <w:rPr>
          <w:lang w:val="fr-FR"/>
        </w:rPr>
        <w:t>A-3/Les contre indications</w:t>
      </w:r>
    </w:p>
    <w:p w14:paraId="4D99DFDD" w14:textId="11C4A207" w:rsidR="00664D0A" w:rsidRPr="00664D0A" w:rsidRDefault="00664D0A" w:rsidP="0080119A">
      <w:pPr>
        <w:rPr>
          <w:lang w:val="fr-FR"/>
        </w:rPr>
      </w:pPr>
      <w:r w:rsidRPr="00664D0A">
        <w:rPr>
          <w:lang w:val="fr-FR"/>
        </w:rPr>
        <w:t xml:space="preserve">Il est important de noter que les inhibiteurs des </w:t>
      </w:r>
      <w:r w:rsidRPr="00E71797">
        <w:t>α</w:t>
      </w:r>
      <w:r w:rsidRPr="00664D0A">
        <w:rPr>
          <w:lang w:val="fr-FR"/>
        </w:rPr>
        <w:t xml:space="preserve"> glucosidases sont contre-indiqués dans certaines situations. Ils ne doivent pas être utilisés en cas d'insuffisance rénale sévère, de maladies inflammatoires chroniques de l'intestin, de pathologies digestives graves ou de malabsorption. De plus, les patients qui ont une hypersensibilité connue au médicament ne doivent pas les utiliser.</w:t>
      </w:r>
      <w:r w:rsidRPr="00E71797">
        <w:fldChar w:fldCharType="begin"/>
      </w:r>
      <w:r w:rsidR="00116A61">
        <w:rPr>
          <w:lang w:val="fr-FR"/>
        </w:rPr>
        <w:instrText xml:space="preserve"> ADDIN ZOTERO_ITEM CSL_CITATION {"citationID":"FYTrBark","properties":{"formattedCitation":"(64)","plainCitation":"(64)","noteIndex":0},"citationItems":[{"id":"6VBx8p83/Wr3KFIAC","uris":["http://zotero.org/users/local/QE2koe11/items/QKY792JT"],"itemData":{"id":132,"type":"webpage","title":"Inhibiteurs des alpha-glucosidases","URL":"https://pharmacomedicale.org/medicaments/par-specialites/item/inhibiteurs-des-alpha-glucosidases?utm_source=chatgpt.com","accessed":{"date-parts":[["2026",2,7]]}}}],"schema":"https://github.com/citation-style-language/schema/raw/master/csl-citation.json"} </w:instrText>
      </w:r>
      <w:r w:rsidRPr="00E71797">
        <w:fldChar w:fldCharType="separate"/>
      </w:r>
      <w:r w:rsidR="0080119A" w:rsidRPr="0080119A">
        <w:rPr>
          <w:rFonts w:ascii="Calibri" w:hAnsi="Calibri" w:cs="Calibri"/>
          <w:lang w:val="fr-FR"/>
        </w:rPr>
        <w:t>(64)</w:t>
      </w:r>
      <w:r w:rsidRPr="00E71797">
        <w:fldChar w:fldCharType="end"/>
      </w:r>
    </w:p>
    <w:p w14:paraId="232E01A5" w14:textId="77777777" w:rsidR="00664D0A" w:rsidRPr="00664D0A" w:rsidRDefault="00664D0A" w:rsidP="00B139C3">
      <w:pPr>
        <w:rPr>
          <w:sz w:val="28"/>
          <w:szCs w:val="28"/>
          <w:lang w:val="fr-FR"/>
        </w:rPr>
      </w:pPr>
      <w:r w:rsidRPr="00F96B82">
        <w:rPr>
          <w:rStyle w:val="Heading4Char"/>
          <w:lang w:val="fr-FR"/>
        </w:rPr>
        <w:t>B/Les Inhibiteurs du SGLT2</w:t>
      </w:r>
      <w:r w:rsidRPr="00664D0A">
        <w:rPr>
          <w:sz w:val="28"/>
          <w:szCs w:val="28"/>
          <w:lang w:val="fr-FR"/>
        </w:rPr>
        <w:t xml:space="preserve"> (gliflozines, ex : empagliflozine, dapagliflozine, canagliflozine)</w:t>
      </w:r>
    </w:p>
    <w:p w14:paraId="3701E10C" w14:textId="5715272B" w:rsidR="00664D0A" w:rsidRPr="00664D0A" w:rsidRDefault="00664D0A" w:rsidP="0080119A">
      <w:pPr>
        <w:rPr>
          <w:lang w:val="fr-FR"/>
        </w:rPr>
      </w:pPr>
      <w:r w:rsidRPr="00664D0A">
        <w:rPr>
          <w:lang w:val="fr-FR"/>
        </w:rPr>
        <w:t xml:space="preserve">Les inhibiteurs du SGLT2, également appelés gliflozines, sont une autre classe de médicaments qui aident à réduire la glycémie. Ils agissent en bloquant la protéine SGLT2 dans les tubules proximaux rénaux, ce qui diminue la réabsorption rénale du glucose et augmente l'excrétion urinaire de glucose. Cela entraîne une diminution de la glycémie plasmatique. Les inhibiteurs du SGLT2, tels que l'empagliflozine, la dapagliflozine et la canagliflozine, ont également été associés à d'autres effets bénéfiques, tels que la perte de </w:t>
      </w:r>
      <w:r w:rsidRPr="00664D0A">
        <w:rPr>
          <w:lang w:val="fr-FR"/>
        </w:rPr>
        <w:lastRenderedPageBreak/>
        <w:t>poids, la natriurèse et des effets protecteurs cardiovasculaires et rénaux chez les patients atteints de diabète.</w:t>
      </w:r>
      <w:r w:rsidRPr="00E71797">
        <w:fldChar w:fldCharType="begin"/>
      </w:r>
      <w:r w:rsidR="00116A61">
        <w:rPr>
          <w:lang w:val="fr-FR"/>
        </w:rPr>
        <w:instrText xml:space="preserve"> ADDIN ZOTERO_ITEM CSL_CITATION {"citationID":"DJzAC6dj","properties":{"formattedCitation":"(65)","plainCitation":"(65)","noteIndex":0},"citationItems":[{"id":"6VBx8p83/l2JqaJHN","uris":["http://zotero.org/users/local/QE2koe11/items/DMA5TA5P"],"itemData":{"id":136,"type":"article-journal","abstract":"Sodium-Glucose Cotransporter 2 inhibitors (SGLT2i), or gliflozins, are a group of antidiabetic drugs that have shown improvement in renal and cardiovascular outcomes in patients with kidney disease, with and without diabetes. In this review, we will describe the different proposed mechanisms of action of SGLT2i. Gliflozins inhibit renal glucose reabsorption by blocking the SGLT2 cotransporters in the proximal tubules and causing glucosuria. This reduces glycemia and lowers HbA1c by ~1.0%. The accompanying sodium excretion reverts the tubuloglomerular feedback and reduces intraglomerular pressure, which is central to the nephroprotective effects of SGLT2i. The caloric loss reduces weight, increases insulin sensitivity, lipid metabolism, and likely reduces lipotoxicity. Metabolism shifts toward gluconeogenesis and ketogenesis, thought to be protective for the heart and kidneys. Additionally, there is evidence of a reduction in tubular cell glucotoxicity through reduced mitochondrial dysfunction and inflammation. SGLT2i likely reduce kidney hypoxia by reducing tubular energy and oxygen demand. SGLT2i improve blood pressure through a negative sodium and water balance and possibly by inhibiting the sympathetic nervous system. These changes contribute to the improvement of cardiovascular function and are thought to be central in the cardiovascular benefits of SGLT2i. Gliflozins also reduce hepcidin levels, improving erythropoiesis and anemia. Finally, other possible mechanisms include a reduction in inflammatory markers, fibrosis, podocyte injury, and other related mechanisms. SGLT2i have shown significant and highly consistent benefits in renal and cardiovascular protection. The complexity and interconnectedness of the primary and secondary mechanisms of action make them a most interesting and exciting pharmacologic group.","container-title":"Frontiers in Medicine","DOI":"10.3389/fmed.2021.777861","ISSN":"2296-858X","journalAbbreviation":"Front Med (Lausanne)","language":"eng","page":"777861","PMID":"34988095","PMCID":"PMC8720766","source":"PubMed","title":"Sodium-Glucose Cotransporter 2 Inhibitors Mechanisms of Action: A Review","title-short":"Sodium-Glucose Cotransporter 2 Inhibitors Mechanisms of Action","volume":"8","author":[{"family":"Fonseca-Correa","given":"Jorge I."},{"family":"Correa-Rotter","given":"Ricardo"}],"issued":{"date-parts":[["2021"]]}}}],"schema":"https://github.com/citation-style-language/schema/raw/master/csl-citation.json"} </w:instrText>
      </w:r>
      <w:r w:rsidRPr="00E71797">
        <w:fldChar w:fldCharType="separate"/>
      </w:r>
      <w:r w:rsidR="0080119A" w:rsidRPr="0080119A">
        <w:rPr>
          <w:rFonts w:ascii="Calibri" w:hAnsi="Calibri" w:cs="Calibri"/>
          <w:lang w:val="fr-FR"/>
        </w:rPr>
        <w:t>(65)</w:t>
      </w:r>
      <w:r w:rsidRPr="00E71797">
        <w:fldChar w:fldCharType="end"/>
      </w:r>
    </w:p>
    <w:p w14:paraId="5E23557C" w14:textId="77777777" w:rsidR="00664D0A" w:rsidRPr="00664D0A" w:rsidRDefault="00664D0A" w:rsidP="00B139C3">
      <w:pPr>
        <w:rPr>
          <w:lang w:val="fr-FR"/>
        </w:rPr>
      </w:pPr>
      <w:r w:rsidRPr="00664D0A">
        <w:rPr>
          <w:lang w:val="fr-FR"/>
        </w:rPr>
        <w:t>B-1/Les avantages :</w:t>
      </w:r>
    </w:p>
    <w:p w14:paraId="0C9364DF" w14:textId="4C4AF4FD" w:rsidR="00664D0A" w:rsidRPr="00664D0A" w:rsidRDefault="00664D0A" w:rsidP="0080119A">
      <w:pPr>
        <w:rPr>
          <w:rStyle w:val="Emphasis"/>
          <w:rFonts w:eastAsiaTheme="majorEastAsia" w:cstheme="majorBidi"/>
          <w:b/>
          <w:bCs/>
          <w:i w:val="0"/>
          <w:iCs w:val="0"/>
          <w:szCs w:val="24"/>
          <w:lang w:val="fr-FR"/>
        </w:rPr>
      </w:pPr>
      <w:r w:rsidRPr="00664D0A">
        <w:rPr>
          <w:lang w:val="fr-FR"/>
        </w:rPr>
        <w:t>Les inhibiteurs du SGLT2 ont un impact significatif sur la réduction de l'HbA1c chez les personnes diabétiques de type 2. Ils ont aussi des effets positifs sur le poids, la pression artérielle et le profil lipidique. De plus, ils offrent des avantages au niveau cardiovasculaire et rénal pour les patients à haut risque</w:t>
      </w:r>
      <w:r w:rsidRPr="00E71797">
        <w:fldChar w:fldCharType="begin"/>
      </w:r>
      <w:r w:rsidR="00116A61">
        <w:rPr>
          <w:lang w:val="fr-FR"/>
        </w:rPr>
        <w:instrText xml:space="preserve"> ADDIN ZOTERO_ITEM CSL_CITATION {"citationID":"XfhnCuI4","properties":{"formattedCitation":"(66)","plainCitation":"(66)","noteIndex":0},"citationItems":[{"id":"6VBx8p83/OfTkgMmp","uris":["http://zotero.org/users/local/QE2koe11/items/4DEVV3NA"],"itemData":{"id":141,"type":"article-journal","abstract":"OBJECTIVE: Sodium-glucose co-transporter 2 inhibitors (SGLT2-i) are a novel drug class for the treatment of diabetes. We aimed at describing the maximal benefits and risks associated with SGLT2-i for patients with type 2 diabetes.\nDESIGN: Systematic review and meta-analysis.\nDATA SOURCES AND STUDY SELECTION: We included double-blinded, randomised controlled trials (RCTs) evaluating SGLT2-i administered in the highest approved therapeutic doses (canagliflozin 300 mg/day, dapagliflozin 10 mg/day, and empagliflozin 25 mg/day) for ≥12 weeks. Comparison groups could receive placebo or oral antidiabetic drugs (OAD) including metformin, sulphonylureas (SU), or dipeptidyl peptidase 4 inhibitors (DPP-4-i). Trials were identified through electronic databases and extensive manual searches. Primary outcomes were glycated haemoglobin A1c (HbA1c) levels, serious adverse events, death, severe hypoglycaemia, ketoacidosis and CVD. Secondary outcomes were fasting plasma glucose, body weight, blood pressure, heart rate, lipids, liver function tests, creatinine and adverse events including infections. The quality of the evidence was assessed using GRADE.\nRESULTS: Meta-analysis of 34 RCTs with 9,154 patients showed that SGLT2-i reduced HbA1c compared with placebo (mean difference -0.69%, 95% confidence interval -0.75 to -0.62%). We downgraded the evidence to 'low quality' due to variability and evidence of publication bias (P = 0.015). Canagliflozin was associated with the largest reduction in HbA1c (-0.85%, -0.99% to -0.71%). There were no differences between SGLT2-i and placebo for serious adverse events. SGLT2-i increased the risk of urinary and genital tract infections and increased serum creatinine, and exerted beneficial effects on bodyweight, blood pressure, lipids and alanine aminotransferase (moderate to low quality evidence). Analysis of 12 RCTs found a beneficial effect of SGLT2-i on HbA1c compared with OAD (-0.20%, -0.28 to -0.13%; moderate quality evidence).\nCONCLUSION: This review includes a large number of patients with type 2 diabetes and found that SGLT2-i reduces HbA1c with a notable increased risk in non-serious adverse events. The analyses may overestimate the intervention benefit due bias.","container-title":"PloS One","DOI":"10.1371/journal.pone.0166125","ISSN":"1932-6203","issue":"11","journalAbbreviation":"PLoS One","language":"eng","page":"e0166125","PMID":"27835680","PMCID":"PMC5106000","source":"PubMed","title":"Benefits and Harms of Sodium-Glucose Co-Transporter 2 Inhibitors in Patients with Type 2 Diabetes: A Systematic Review and Meta-Analysis","title-short":"Benefits and Harms of Sodium-Glucose Co-Transporter 2 Inhibitors in Patients with Type 2 Diabetes","volume":"11","author":[{"family":"Storgaard","given":"Heidi"},{"family":"Gluud","given":"Lise L."},{"family":"Bennett","given":"Cathy"},{"family":"Grøndahl","given":"Magnus F."},{"family":"Christensen","given":"Mikkel B."},{"family":"Knop","given":"Filip K."},{"family":"Vilsbøll","given":"Tina"}],"issued":{"date-parts":[["2016"]]}}}],"schema":"https://github.com/citation-style-language/schema/raw/master/csl-citation.json"} </w:instrText>
      </w:r>
      <w:r w:rsidRPr="00E71797">
        <w:fldChar w:fldCharType="separate"/>
      </w:r>
      <w:r w:rsidR="0080119A" w:rsidRPr="0080119A">
        <w:rPr>
          <w:rFonts w:ascii="Calibri" w:hAnsi="Calibri" w:cs="Calibri"/>
          <w:lang w:val="fr-FR"/>
        </w:rPr>
        <w:t>(66)</w:t>
      </w:r>
      <w:r w:rsidRPr="00E71797">
        <w:fldChar w:fldCharType="end"/>
      </w:r>
    </w:p>
    <w:p w14:paraId="0D9164EE" w14:textId="77777777" w:rsidR="00664D0A" w:rsidRPr="00664D0A" w:rsidRDefault="00664D0A" w:rsidP="00B139C3">
      <w:pPr>
        <w:rPr>
          <w:rStyle w:val="Emphasis"/>
          <w:rFonts w:eastAsiaTheme="majorEastAsia" w:cstheme="majorBidi"/>
          <w:i w:val="0"/>
          <w:iCs w:val="0"/>
          <w:szCs w:val="24"/>
          <w:lang w:val="fr-FR"/>
        </w:rPr>
      </w:pPr>
      <w:r w:rsidRPr="00664D0A">
        <w:rPr>
          <w:rStyle w:val="Emphasis"/>
          <w:rFonts w:eastAsiaTheme="majorEastAsia" w:cstheme="majorBidi"/>
          <w:i w:val="0"/>
          <w:iCs w:val="0"/>
          <w:szCs w:val="24"/>
          <w:lang w:val="fr-FR"/>
        </w:rPr>
        <w:t>B-2/Les effets secondaires :</w:t>
      </w:r>
    </w:p>
    <w:p w14:paraId="1DD9AE7E" w14:textId="5E75D225" w:rsidR="00664D0A" w:rsidRPr="00664D0A" w:rsidRDefault="00664D0A" w:rsidP="0080119A">
      <w:pPr>
        <w:rPr>
          <w:rStyle w:val="Emphasis"/>
          <w:rFonts w:eastAsiaTheme="majorEastAsia" w:cstheme="majorBidi"/>
          <w:b/>
          <w:bCs/>
          <w:i w:val="0"/>
          <w:iCs w:val="0"/>
          <w:szCs w:val="24"/>
          <w:lang w:val="fr-FR"/>
        </w:rPr>
      </w:pPr>
      <w:r w:rsidRPr="00651A23">
        <w:rPr>
          <w:rStyle w:val="Emphasis"/>
          <w:rFonts w:eastAsiaTheme="majorEastAsia" w:cstheme="majorBidi"/>
          <w:i w:val="0"/>
          <w:iCs w:val="0"/>
          <w:szCs w:val="24"/>
          <w:lang w:val="fr-FR"/>
        </w:rPr>
        <w:t>Les effets secondaires courants des inhibiteurs du SGLT2 comprennent les infections des voies urinaires et génitales. Une fréquence accrue de la miction et la déshydratation sont aussi souvent observées. Des cas d'hypotension, d'acidocétose diabétique, d'insuffisance rénale aiguë et de fractures osseuses ont également été rapportés dans certaines études</w:t>
      </w:r>
      <w:r w:rsidRPr="00664D0A">
        <w:rPr>
          <w:rStyle w:val="Emphasis"/>
          <w:rFonts w:eastAsiaTheme="majorEastAsia" w:cstheme="majorBidi"/>
          <w:b/>
          <w:bCs/>
          <w:i w:val="0"/>
          <w:iCs w:val="0"/>
          <w:szCs w:val="24"/>
          <w:lang w:val="fr-FR"/>
        </w:rPr>
        <w:t>.</w:t>
      </w:r>
      <w:r w:rsidRPr="00E71797">
        <w:rPr>
          <w:rStyle w:val="Emphasis"/>
          <w:rFonts w:eastAsiaTheme="majorEastAsia" w:cstheme="majorBidi"/>
          <w:b/>
          <w:bCs/>
          <w:i w:val="0"/>
          <w:iCs w:val="0"/>
          <w:szCs w:val="24"/>
        </w:rPr>
        <w:fldChar w:fldCharType="begin"/>
      </w:r>
      <w:r w:rsidR="00116A61">
        <w:rPr>
          <w:rStyle w:val="Emphasis"/>
          <w:rFonts w:eastAsiaTheme="majorEastAsia" w:cstheme="majorBidi"/>
          <w:b/>
          <w:bCs/>
          <w:i w:val="0"/>
          <w:iCs w:val="0"/>
          <w:szCs w:val="24"/>
          <w:lang w:val="fr-FR"/>
        </w:rPr>
        <w:instrText xml:space="preserve"> ADDIN ZOTERO_ITEM CSL_CITATION {"citationID":"FxQmFRCx","properties":{"formattedCitation":"(67)","plainCitation":"(67)","noteIndex":0},"citationItems":[{"id":"6VBx8p83/jrtMB9mp","uris":["http://zotero.org/users/local/QE2koe11/items/DS9NTVLC"],"itemData":{"id":144,"type":"article-journal","abstract":"There is a need for innovative pharmaceutical intervention in light of the increasing prevalence of metabolic disease and cardiovascular disease. The kidneys’ sodium-glucose cotransporter 2 inhibitors (SGLT2) receptors are targeted to reduce glucose reabsorption by SGLT2. Patients with type 2 diabetes mellitus (T2DM) benefit the most from reduced blood glucose levels, although this is just one of the numerous physiological consequences. To establish existing understanding and possible advantages and risks for SGLT2 inhibitors in clinical practice, this article will explore the influence of SGLT2 inhibitors on six major organ systems. In addition, this literature review will discuss the benefits and potential drawbacks of SGLT2 inhibitors on various organ systems and their potential application in therapeutic settings.","container-title":"Medicina","DOI":"10.3390/medicina59040742","ISSN":"1648-9144","issue":"4","language":"en","license":"http://creativecommons.org/licenses/by/3.0/","page":"742","publisher":"Multidisciplinary Digital Publishing Institute","source":"www.mdpi.com","title":"Sodium-Glucose Cotransporter 2 (SGLT2) Inhibitors: Harms or Unexpected Benefits?","title-short":"Sodium-Glucose Cotransporter 2 (SGLT2) Inhibitors","volume":"59","author":[{"family":"Andreea","given":"Munteanu Madalina"},{"family":"Surabhi","given":"Swarnkar"},{"family":"Razvan-Ionut","given":"Popescu"},{"family":"Lucia","given":"Ciobotaru"},{"family":"Camelia","given":"Nicolae"},{"family":"Emil","given":"Tufanoiu"},{"family":"Tiberiu","given":"Nanea Ioan"}],"issued":{"date-parts":[["2023",4]]}}}],"schema":"https://github.com/citation-style-language/schema/raw/master/csl-citation.json"} </w:instrText>
      </w:r>
      <w:r w:rsidRPr="00E71797">
        <w:rPr>
          <w:rStyle w:val="Emphasis"/>
          <w:rFonts w:eastAsiaTheme="majorEastAsia" w:cstheme="majorBidi"/>
          <w:b/>
          <w:bCs/>
          <w:i w:val="0"/>
          <w:iCs w:val="0"/>
          <w:szCs w:val="24"/>
        </w:rPr>
        <w:fldChar w:fldCharType="separate"/>
      </w:r>
      <w:r w:rsidR="0080119A" w:rsidRPr="0080119A">
        <w:rPr>
          <w:rFonts w:ascii="Calibri" w:hAnsi="Calibri" w:cs="Calibri"/>
          <w:lang w:val="fr-FR"/>
        </w:rPr>
        <w:t>(67)</w:t>
      </w:r>
      <w:r w:rsidRPr="00E71797">
        <w:rPr>
          <w:rStyle w:val="Emphasis"/>
          <w:rFonts w:eastAsiaTheme="majorEastAsia" w:cstheme="majorBidi"/>
          <w:b/>
          <w:bCs/>
          <w:i w:val="0"/>
          <w:iCs w:val="0"/>
          <w:szCs w:val="24"/>
        </w:rPr>
        <w:fldChar w:fldCharType="end"/>
      </w:r>
    </w:p>
    <w:p w14:paraId="4307DBCF" w14:textId="77777777" w:rsidR="00664D0A" w:rsidRPr="00664D0A" w:rsidRDefault="00664D0A" w:rsidP="00B139C3">
      <w:pPr>
        <w:rPr>
          <w:rStyle w:val="Emphasis"/>
          <w:rFonts w:eastAsiaTheme="majorEastAsia" w:cstheme="majorBidi"/>
          <w:i w:val="0"/>
          <w:iCs w:val="0"/>
          <w:szCs w:val="24"/>
          <w:lang w:val="fr-FR"/>
        </w:rPr>
      </w:pPr>
      <w:r w:rsidRPr="00664D0A">
        <w:rPr>
          <w:rStyle w:val="Emphasis"/>
          <w:rFonts w:eastAsiaTheme="majorEastAsia" w:cstheme="majorBidi"/>
          <w:i w:val="0"/>
          <w:iCs w:val="0"/>
          <w:szCs w:val="24"/>
          <w:lang w:val="fr-FR"/>
        </w:rPr>
        <w:t>B-3/Les contre indications :</w:t>
      </w:r>
    </w:p>
    <w:p w14:paraId="1F886B58" w14:textId="2420F98C" w:rsidR="00664D0A" w:rsidRPr="00664D0A" w:rsidRDefault="00664D0A" w:rsidP="0080119A">
      <w:pPr>
        <w:rPr>
          <w:rStyle w:val="Emphasis"/>
          <w:rFonts w:eastAsiaTheme="majorEastAsia" w:cstheme="majorBidi"/>
          <w:b/>
          <w:bCs/>
          <w:i w:val="0"/>
          <w:iCs w:val="0"/>
          <w:szCs w:val="24"/>
          <w:lang w:val="fr-FR"/>
        </w:rPr>
      </w:pPr>
      <w:r w:rsidRPr="001C2505">
        <w:rPr>
          <w:rStyle w:val="Emphasis"/>
          <w:rFonts w:eastAsiaTheme="majorEastAsia" w:cstheme="majorBidi"/>
          <w:i w:val="0"/>
          <w:iCs w:val="0"/>
          <w:szCs w:val="24"/>
          <w:lang w:val="fr-FR"/>
        </w:rPr>
        <w:t>L'utilisation des inhibiteurs du SGLT2 est déconseillée pour les personnes diabétiques de type 1. Elle est aussi contre-indiquée pour celles ayant une fonction rénale gravement altérée, en cas de déshydratation ou d'hypotension sévère. Une prudence particulière est requise pour les patients ayant des antécédents d'infections génitales récurrentes ou de troubles électrolytiques. Et il est recommandé d'interrompre le traitement avant une chirurgie majeure</w:t>
      </w:r>
      <w:r w:rsidRPr="00664D0A">
        <w:rPr>
          <w:rStyle w:val="Emphasis"/>
          <w:rFonts w:eastAsiaTheme="majorEastAsia" w:cstheme="majorBidi"/>
          <w:b/>
          <w:bCs/>
          <w:i w:val="0"/>
          <w:iCs w:val="0"/>
          <w:szCs w:val="24"/>
          <w:lang w:val="fr-FR"/>
        </w:rPr>
        <w:t>.</w:t>
      </w:r>
      <w:r w:rsidRPr="00E71797">
        <w:rPr>
          <w:rStyle w:val="Emphasis"/>
          <w:rFonts w:eastAsiaTheme="majorEastAsia" w:cstheme="majorBidi"/>
          <w:b/>
          <w:bCs/>
          <w:i w:val="0"/>
          <w:iCs w:val="0"/>
          <w:szCs w:val="24"/>
        </w:rPr>
        <w:fldChar w:fldCharType="begin"/>
      </w:r>
      <w:r w:rsidR="00116A61">
        <w:rPr>
          <w:rStyle w:val="Emphasis"/>
          <w:rFonts w:eastAsiaTheme="majorEastAsia" w:cstheme="majorBidi"/>
          <w:b/>
          <w:bCs/>
          <w:i w:val="0"/>
          <w:iCs w:val="0"/>
          <w:szCs w:val="24"/>
          <w:lang w:val="fr-FR"/>
        </w:rPr>
        <w:instrText xml:space="preserve"> ADDIN ZOTERO_ITEM CSL_CITATION {"citationID":"3gc0Hh0j","properties":{"formattedCitation":"(67)","plainCitation":"(67)","noteIndex":0},"citationItems":[{"id":"6VBx8p83/jrtMB9mp","uris":["http://zotero.org/users/local/QE2koe11/items/DS9NTVLC"],"itemData":{"id":144,"type":"article-journal","abstract":"There is a need for innovative pharmaceutical intervention in light of the increasing prevalence of metabolic disease and cardiovascular disease. The kidneys’ sodium-glucose cotransporter 2 inhibitors (SGLT2) receptors are targeted to reduce glucose reabsorption by SGLT2. Patients with type 2 diabetes mellitus (T2DM) benefit the most from reduced blood glucose levels, although this is just one of the numerous physiological consequences. To establish existing understanding and possible advantages and risks for SGLT2 inhibitors in clinical practice, this article will explore the influence of SGLT2 inhibitors on six major organ systems. In addition, this literature review will discuss the benefits and potential drawbacks of SGLT2 inhibitors on various organ systems and their potential application in therapeutic settings.","container-title":"Medicina","DOI":"10.3390/medicina59040742","ISSN":"1648-9144","issue":"4","language":"en","license":"http://creativecommons.org/licenses/by/3.0/","page":"742","publisher":"Multidisciplinary Digital Publishing Institute","source":"www.mdpi.com","title":"Sodium-Glucose Cotransporter 2 (SGLT2) Inhibitors: Harms or Unexpected Benefits?","title-short":"Sodium-Glucose Cotransporter 2 (SGLT2) Inhibitors","volume":"59","author":[{"family":"Andreea","given":"Munteanu Madalina"},{"family":"Surabhi","given":"Swarnkar"},{"family":"Razvan-Ionut","given":"Popescu"},{"family":"Lucia","given":"Ciobotaru"},{"family":"Camelia","given":"Nicolae"},{"family":"Emil","given":"Tufanoiu"},{"family":"Tiberiu","given":"Nanea Ioan"}],"issued":{"date-parts":[["2023",4]]}}}],"schema":"https://github.com/citation-style-language/schema/raw/master/csl-citation.json"} </w:instrText>
      </w:r>
      <w:r w:rsidRPr="00E71797">
        <w:rPr>
          <w:rStyle w:val="Emphasis"/>
          <w:rFonts w:eastAsiaTheme="majorEastAsia" w:cstheme="majorBidi"/>
          <w:b/>
          <w:bCs/>
          <w:i w:val="0"/>
          <w:iCs w:val="0"/>
          <w:szCs w:val="24"/>
        </w:rPr>
        <w:fldChar w:fldCharType="separate"/>
      </w:r>
      <w:r w:rsidR="0080119A" w:rsidRPr="0080119A">
        <w:rPr>
          <w:rFonts w:ascii="Calibri" w:hAnsi="Calibri" w:cs="Calibri"/>
          <w:lang w:val="fr-FR"/>
        </w:rPr>
        <w:t>(67)</w:t>
      </w:r>
      <w:r w:rsidRPr="00E71797">
        <w:rPr>
          <w:rStyle w:val="Emphasis"/>
          <w:rFonts w:eastAsiaTheme="majorEastAsia" w:cstheme="majorBidi"/>
          <w:b/>
          <w:bCs/>
          <w:i w:val="0"/>
          <w:iCs w:val="0"/>
          <w:szCs w:val="24"/>
        </w:rPr>
        <w:fldChar w:fldCharType="end"/>
      </w:r>
    </w:p>
    <w:p w14:paraId="4F8ACBF6" w14:textId="77777777" w:rsidR="00664D0A" w:rsidRPr="00F96B82" w:rsidRDefault="00664D0A" w:rsidP="00665FE5">
      <w:pPr>
        <w:pStyle w:val="Heading4"/>
        <w:rPr>
          <w:lang w:val="fr-FR"/>
        </w:rPr>
      </w:pPr>
      <w:r w:rsidRPr="00F96B82">
        <w:rPr>
          <w:lang w:val="fr-FR"/>
        </w:rPr>
        <w:t>C/</w:t>
      </w:r>
      <w:r w:rsidRPr="00F96B82">
        <w:rPr>
          <w:rFonts w:eastAsia="Times New Roman"/>
          <w:lang w:val="fr-FR"/>
        </w:rPr>
        <w:t xml:space="preserve"> les agonistes du GLP-1</w:t>
      </w:r>
    </w:p>
    <w:p w14:paraId="1ABF70AA" w14:textId="1CD0FA99" w:rsidR="00664D0A" w:rsidRPr="00664D0A" w:rsidRDefault="00664D0A" w:rsidP="0080119A">
      <w:pPr>
        <w:rPr>
          <w:rFonts w:eastAsia="Times New Roman"/>
          <w:lang w:val="fr-FR" w:eastAsia="fr-FR"/>
        </w:rPr>
      </w:pPr>
      <w:proofErr w:type="gramStart"/>
      <w:r w:rsidRPr="00664D0A">
        <w:rPr>
          <w:rFonts w:eastAsia="Times New Roman"/>
          <w:lang w:val="fr-FR" w:eastAsia="fr-FR"/>
        </w:rPr>
        <w:t>les</w:t>
      </w:r>
      <w:proofErr w:type="gramEnd"/>
      <w:r w:rsidRPr="00664D0A">
        <w:rPr>
          <w:rFonts w:eastAsia="Times New Roman"/>
          <w:lang w:val="fr-FR" w:eastAsia="fr-FR"/>
        </w:rPr>
        <w:t xml:space="preserve"> agonistes du GLP-1 constituent une classe de médicaments utilisés principalement pour aider à contrôler la glycémie (taux de sucre dans le sang) chez les personnes atteintes de diabète de type 2. Certains agonistes du GLP-1 peuvent également être utilisés dans le traitement de l’obésité.</w:t>
      </w:r>
      <w:r w:rsidRPr="00E71797">
        <w:rPr>
          <w:rFonts w:eastAsia="Times New Roman"/>
          <w:lang w:eastAsia="fr-FR"/>
        </w:rPr>
        <w:fldChar w:fldCharType="begin"/>
      </w:r>
      <w:r w:rsidR="00116A61">
        <w:rPr>
          <w:rFonts w:eastAsia="Times New Roman"/>
          <w:lang w:val="fr-FR" w:eastAsia="fr-FR"/>
        </w:rPr>
        <w:instrText xml:space="preserve"> ADDIN ZOTERO_ITEM CSL_CITATION {"citationID":"iR5q4QpY","properties":{"formattedCitation":"(68)","plainCitation":"(68)","noteIndex":0},"citationItems":[{"id":"6VBx8p83/U81JALpm","uris":["http://zotero.org/users/local/QE2koe11/items/XR7BSJH4"],"itemData":{"id":182,"type":"webpage","abstract":"If you have Type 2 diabetes or obesity, GLP-1 agonists might be a helpful part of your treatment plan. Learn more.","container-title":"Cleveland Clinic","language":"en","title":"GLP-1 Agonists","URL":"https://my.clevelandclinic.org/health/treatments/13901-glp-1-agonists","accessed":{"date-parts":[["2026",4,27]]}}}],"schema":"https://github.com/citation-style-language/schema/raw/master/csl-citation.json"} </w:instrText>
      </w:r>
      <w:r w:rsidRPr="00E71797">
        <w:rPr>
          <w:rFonts w:eastAsia="Times New Roman"/>
          <w:lang w:eastAsia="fr-FR"/>
        </w:rPr>
        <w:fldChar w:fldCharType="separate"/>
      </w:r>
      <w:r w:rsidR="0080119A" w:rsidRPr="0080119A">
        <w:rPr>
          <w:rFonts w:ascii="Calibri" w:hAnsi="Calibri" w:cs="Calibri"/>
          <w:lang w:val="fr-FR"/>
        </w:rPr>
        <w:t>(68)</w:t>
      </w:r>
      <w:r w:rsidRPr="00E71797">
        <w:rPr>
          <w:rFonts w:eastAsia="Times New Roman"/>
          <w:lang w:eastAsia="fr-FR"/>
        </w:rPr>
        <w:fldChar w:fldCharType="end"/>
      </w:r>
    </w:p>
    <w:p w14:paraId="3D51EA7F" w14:textId="326B9740" w:rsidR="00664D0A" w:rsidRPr="00664D0A" w:rsidRDefault="00664D0A" w:rsidP="0080119A">
      <w:pPr>
        <w:rPr>
          <w:rFonts w:eastAsia="Times New Roman"/>
          <w:lang w:val="fr-FR" w:eastAsia="fr-FR"/>
        </w:rPr>
      </w:pPr>
      <w:r w:rsidRPr="00664D0A">
        <w:rPr>
          <w:rFonts w:eastAsia="Times New Roman"/>
          <w:lang w:val="fr-FR" w:eastAsia="fr-FR"/>
        </w:rPr>
        <w:t>Parmi les médicaments de cette classe figurent : l’exénatide, le liraglutide, le dulaglutide et le sémaglutide.</w:t>
      </w:r>
      <w:r w:rsidRPr="00E71797">
        <w:rPr>
          <w:rFonts w:eastAsia="Times New Roman"/>
          <w:lang w:eastAsia="fr-FR"/>
        </w:rPr>
        <w:fldChar w:fldCharType="begin"/>
      </w:r>
      <w:r w:rsidR="00116A61">
        <w:rPr>
          <w:rFonts w:eastAsia="Times New Roman"/>
          <w:lang w:val="fr-FR" w:eastAsia="fr-FR"/>
        </w:rPr>
        <w:instrText xml:space="preserve"> ADDIN ZOTERO_ITEM CSL_CITATION {"citationID":"XEtrcR57","properties":{"formattedCitation":"(69)","plainCitation":"(69)","noteIndex":0},"citationItems":[{"id":"6VBx8p83/VrDeNhan","uris":["http://zotero.org/users/local/QE2koe11/items/TN6Q9TSU"],"itemData":{"id":184,"type":"chapter","abstract":"Glucagon-like peptide-1 (GLP-1) agonists are a class of medications utilized to treat type 2 diabetes mellitus (T2DM) and obesity. As a class of medications, they are among several pharmacological options for these endocrine diseases. The function of GLP-1 agonists is to lower serum glucose levels and thereby manage metabolism in affected patients. Participating clinicians gain an enhanced understanding of when to prescribe these agonists, consider specific patient populations, and seek consultations with specialists in the care of their patients. Recent recommendations regarding mixed formulations are also included in alignment with current research on this drug class. This activity will highlight the indications, mechanism of action, administration, adverse effect profile, and contraindications for these drugs. An interprofessional team of nurses, primary care clinicians, pharmacists, and endocrinologists remains pertinent to care for patients prescribed this class of medications.","container-title":"StatPearls [Internet]","language":"en","note":"PMID: 31855395","publisher":"StatPearls Publishing","source":"www.ncbi.nlm.nih.gov","title":"Glucagon-Like Peptide-1 Receptor Agonists","URL":"https://www.ncbi.nlm.nih.gov/sites/books/NBK551568/","author":[{"family":"Collins","given":"Logan"},{"family":"Costello","given":"Ryan A."}],"accessed":{"date-parts":[["2026",4,27]]},"issued":{"date-parts":[["2024",2,29]]}}}],"schema":"https://github.com/citation-style-language/schema/raw/master/csl-citation.json"} </w:instrText>
      </w:r>
      <w:r w:rsidRPr="00E71797">
        <w:rPr>
          <w:rFonts w:eastAsia="Times New Roman"/>
          <w:lang w:eastAsia="fr-FR"/>
        </w:rPr>
        <w:fldChar w:fldCharType="separate"/>
      </w:r>
      <w:r w:rsidR="0080119A" w:rsidRPr="0080119A">
        <w:rPr>
          <w:rFonts w:ascii="Calibri" w:hAnsi="Calibri" w:cs="Calibri"/>
          <w:lang w:val="fr-FR"/>
        </w:rPr>
        <w:t>(69)</w:t>
      </w:r>
      <w:r w:rsidRPr="00E71797">
        <w:rPr>
          <w:rFonts w:eastAsia="Times New Roman"/>
          <w:lang w:eastAsia="fr-FR"/>
        </w:rPr>
        <w:fldChar w:fldCharType="end"/>
      </w:r>
    </w:p>
    <w:p w14:paraId="0A9DE195" w14:textId="77777777" w:rsidR="00664D0A" w:rsidRPr="00664D0A" w:rsidRDefault="00664D0A" w:rsidP="00B139C3">
      <w:pPr>
        <w:rPr>
          <w:rFonts w:eastAsia="Times New Roman"/>
          <w:lang w:val="fr-FR" w:eastAsia="fr-FR"/>
        </w:rPr>
      </w:pPr>
      <w:r w:rsidRPr="00664D0A">
        <w:rPr>
          <w:rFonts w:eastAsia="Times New Roman"/>
          <w:lang w:val="fr-FR" w:eastAsia="fr-FR"/>
        </w:rPr>
        <w:t>Ces médicaments sont relativement récents. La Food and Drug Administration (FDA) des États-Unis a approuvé le premier agoniste du GLP-1 (l’exénatide) en 2005. Les chercheurs continuent encore d’étudier leurs autres utilisations potentielles et leurs bénéfices.</w:t>
      </w:r>
    </w:p>
    <w:p w14:paraId="65E3C3A1" w14:textId="0A391898" w:rsidR="00664D0A" w:rsidRPr="00664D0A" w:rsidRDefault="00664D0A" w:rsidP="0080119A">
      <w:pPr>
        <w:rPr>
          <w:rFonts w:eastAsia="Times New Roman"/>
          <w:lang w:val="fr-FR" w:eastAsia="fr-FR"/>
        </w:rPr>
      </w:pPr>
      <w:r w:rsidRPr="00664D0A">
        <w:rPr>
          <w:rFonts w:eastAsia="Times New Roman"/>
          <w:lang w:val="fr-FR" w:eastAsia="fr-FR"/>
        </w:rPr>
        <w:t>Les agonistes du GLP-1 seuls ne suffisent pas pour traiter le diabète de type 2 ou l’obésité. Ces deux pathologies nécessitent également d’autres stratégies thérapeutiques, telles que des changements du mode de vie et des habitudes alimentaires.</w:t>
      </w:r>
      <w:r w:rsidRPr="00E71797">
        <w:rPr>
          <w:rFonts w:eastAsia="Times New Roman"/>
          <w:lang w:eastAsia="fr-FR"/>
        </w:rPr>
        <w:fldChar w:fldCharType="begin"/>
      </w:r>
      <w:r w:rsidR="00116A61">
        <w:rPr>
          <w:rFonts w:eastAsia="Times New Roman"/>
          <w:lang w:val="fr-FR" w:eastAsia="fr-FR"/>
        </w:rPr>
        <w:instrText xml:space="preserve"> ADDIN ZOTERO_ITEM CSL_CITATION {"citationID":"E4H7Ba2P","properties":{"formattedCitation":"(68)","plainCitation":"(68)","noteIndex":0},"citationItems":[{"id":"6VBx8p83/U81JALpm","uris":["http://zotero.org/users/local/QE2koe11/items/XR7BSJH4"],"itemData":{"id":182,"type":"webpage","abstract":"If you have Type 2 diabetes or obesity, GLP-1 agonists might be a helpful part of your treatment plan. Learn more.","container-title":"Cleveland Clinic","language":"en","title":"GLP-1 Agonists","URL":"https://my.clevelandclinic.org/health/treatments/13901-glp-1-agonists","accessed":{"date-parts":[["2026",4,27]]}}}],"schema":"https://github.com/citation-style-language/schema/raw/master/csl-citation.json"} </w:instrText>
      </w:r>
      <w:r w:rsidRPr="00E71797">
        <w:rPr>
          <w:rFonts w:eastAsia="Times New Roman"/>
          <w:lang w:eastAsia="fr-FR"/>
        </w:rPr>
        <w:fldChar w:fldCharType="separate"/>
      </w:r>
      <w:r w:rsidR="0080119A" w:rsidRPr="0080119A">
        <w:rPr>
          <w:rFonts w:ascii="Calibri" w:hAnsi="Calibri" w:cs="Calibri"/>
          <w:lang w:val="fr-FR"/>
        </w:rPr>
        <w:t>(68)</w:t>
      </w:r>
      <w:r w:rsidRPr="00E71797">
        <w:rPr>
          <w:rFonts w:eastAsia="Times New Roman"/>
          <w:lang w:eastAsia="fr-FR"/>
        </w:rPr>
        <w:fldChar w:fldCharType="end"/>
      </w:r>
    </w:p>
    <w:p w14:paraId="6DD4E1A9" w14:textId="77777777" w:rsidR="00664D0A" w:rsidRPr="00664D0A" w:rsidRDefault="00664D0A" w:rsidP="00B139C3">
      <w:pPr>
        <w:rPr>
          <w:rFonts w:eastAsia="Times New Roman"/>
          <w:lang w:val="fr-FR" w:eastAsia="fr-FR"/>
        </w:rPr>
      </w:pPr>
      <w:r w:rsidRPr="00664D0A">
        <w:rPr>
          <w:rFonts w:eastAsia="Times New Roman"/>
          <w:lang w:val="fr-FR" w:eastAsia="fr-FR"/>
        </w:rPr>
        <w:t xml:space="preserve">C-1/Les </w:t>
      </w:r>
      <w:proofErr w:type="gramStart"/>
      <w:r w:rsidRPr="00664D0A">
        <w:rPr>
          <w:rFonts w:eastAsia="Times New Roman"/>
          <w:lang w:val="fr-FR" w:eastAsia="fr-FR"/>
        </w:rPr>
        <w:t>Avantages:</w:t>
      </w:r>
      <w:proofErr w:type="gramEnd"/>
    </w:p>
    <w:p w14:paraId="1AE1F8FF" w14:textId="77777777" w:rsidR="00664D0A" w:rsidRPr="00664D0A" w:rsidRDefault="00664D0A" w:rsidP="00B139C3">
      <w:pPr>
        <w:rPr>
          <w:rFonts w:eastAsia="Times New Roman"/>
          <w:lang w:val="fr-FR" w:eastAsia="fr-FR"/>
        </w:rPr>
      </w:pPr>
      <w:r w:rsidRPr="00664D0A">
        <w:rPr>
          <w:rFonts w:eastAsia="Times New Roman"/>
          <w:lang w:val="fr-FR" w:eastAsia="fr-FR"/>
        </w:rPr>
        <w:t>Le GLP-1 et le polypeptide insulinotrope dépendant du glucose (GIP), deux hormones incrétines inactivées par la dipeptidyl peptidase-4 (DPP-4), stimulent la sécrétion d’insuline après une charge orale en glucose grâce à l’effet incrétine. Chez les patients atteints de diabète de type 2, ce mécanisme peut être diminué ou absent ; cependant, des concentrations pharmacologiques de GLP-1 peuvent restaurer la sécrétion d’insuline.</w:t>
      </w:r>
    </w:p>
    <w:p w14:paraId="6A1A17FD" w14:textId="6DC51017" w:rsidR="00664D0A" w:rsidRPr="00E71797" w:rsidRDefault="00664D0A" w:rsidP="0080119A">
      <w:pPr>
        <w:rPr>
          <w:rFonts w:eastAsia="Times New Roman"/>
          <w:lang w:eastAsia="fr-FR"/>
        </w:rPr>
      </w:pPr>
      <w:r w:rsidRPr="00664D0A">
        <w:rPr>
          <w:rFonts w:eastAsia="Times New Roman"/>
          <w:lang w:val="fr-FR" w:eastAsia="fr-FR"/>
        </w:rPr>
        <w:t>Les bénéfices de cette thérapie dans le traitement du diabète de type 2 comprennent</w:t>
      </w:r>
      <w:proofErr w:type="gramStart"/>
      <w:r w:rsidRPr="00664D0A">
        <w:rPr>
          <w:rFonts w:eastAsia="Times New Roman"/>
          <w:lang w:val="fr-FR" w:eastAsia="fr-FR"/>
        </w:rPr>
        <w:t xml:space="preserve"> :un</w:t>
      </w:r>
      <w:proofErr w:type="gramEnd"/>
      <w:r w:rsidRPr="00664D0A">
        <w:rPr>
          <w:rFonts w:eastAsia="Times New Roman"/>
          <w:lang w:val="fr-FR" w:eastAsia="fr-FR"/>
        </w:rPr>
        <w:t xml:space="preserve"> ralentissement de la vidange gastrique, une inhibition de la production de glucagon par les </w:t>
      </w:r>
      <w:r w:rsidRPr="00664D0A">
        <w:rPr>
          <w:rFonts w:eastAsia="Times New Roman"/>
          <w:lang w:val="fr-FR" w:eastAsia="fr-FR"/>
        </w:rPr>
        <w:lastRenderedPageBreak/>
        <w:t xml:space="preserve">cellules </w:t>
      </w:r>
      <w:r w:rsidRPr="00E71797">
        <w:rPr>
          <w:rFonts w:eastAsia="Times New Roman"/>
          <w:lang w:eastAsia="fr-FR"/>
        </w:rPr>
        <w:t>α</w:t>
      </w:r>
      <w:r w:rsidRPr="00664D0A">
        <w:rPr>
          <w:rFonts w:eastAsia="Times New Roman"/>
          <w:lang w:val="fr-FR" w:eastAsia="fr-FR"/>
        </w:rPr>
        <w:t xml:space="preserve"> du pancréas lorsque la glycémie est élevée, une diminution de l’apoptose des cellules </w:t>
      </w:r>
      <w:r w:rsidRPr="00E71797">
        <w:rPr>
          <w:rFonts w:eastAsia="Times New Roman"/>
          <w:lang w:eastAsia="fr-FR"/>
        </w:rPr>
        <w:t>β</w:t>
      </w:r>
      <w:r w:rsidRPr="00664D0A">
        <w:rPr>
          <w:rFonts w:eastAsia="Times New Roman"/>
          <w:lang w:val="fr-FR" w:eastAsia="fr-FR"/>
        </w:rPr>
        <w:t xml:space="preserve"> pancréatiques,  et une stimulation de leur prolifération. </w:t>
      </w:r>
      <w:r w:rsidRPr="00E71797">
        <w:rPr>
          <w:rFonts w:eastAsia="Times New Roman"/>
          <w:lang w:eastAsia="fr-FR"/>
        </w:rPr>
        <w:fldChar w:fldCharType="begin"/>
      </w:r>
      <w:r w:rsidR="00116A61">
        <w:rPr>
          <w:rFonts w:eastAsia="Times New Roman"/>
          <w:lang w:val="fr-FR" w:eastAsia="fr-FR"/>
        </w:rPr>
        <w:instrText xml:space="preserve"> ADDIN ZOTERO_ITEM CSL_CITATION {"citationID":"4piXUsCl","properties":{"formattedCitation":"(69)","plainCitation":"(69)","noteIndex":0},"citationItems":[{"id":"6VBx8p83/VrDeNhan","uris":["http://zotero.org/users/local/QE2koe11/items/TN6Q9TSU"],"itemData":{"id":184,"type":"chapter","abstract":"Glucagon-like peptide-1 (GLP-1) agonists are a class of medications utilized to treat type 2 diabetes mellitus (T2DM) and obesity. As a class of medications, they are among several pharmacological options for these endocrine diseases. The function of GLP-1 agonists is to lower serum glucose levels and thereby manage metabolism in affected patients. Participating clinicians gain an enhanced understanding of when to prescribe these agonists, consider specific patient populations, and seek consultations with specialists in the care of their patients. Recent recommendations regarding mixed formulations are also included in alignment with current research on this drug class. This activity will highlight the indications, mechanism of action, administration, adverse effect profile, and contraindications for these drugs. An interprofessional team of nurses, primary care clinicians, pharmacists, and endocrinologists remains pertinent to care for patients prescribed this class of medications.","container-title":"StatPearls [Internet]","language":"en","note":"PMID: 31855395","publisher":"StatPearls Publishing","source":"www.ncbi.nlm.nih.gov","title":"Glucagon-Like Peptide-1 Receptor Agonists","URL":"https://www.ncbi.nlm.nih.gov/sites/books/NBK551568/","author":[{"family":"Collins","given":"Logan"},{"family":"Costello","given":"Ryan A."}],"accessed":{"date-parts":[["2026",4,27]]},"issued":{"date-parts":[["2024",2,29]]}}}],"schema":"https://github.com/citation-style-language/schema/raw/master/csl-citation.json"} </w:instrText>
      </w:r>
      <w:r w:rsidRPr="00E71797">
        <w:rPr>
          <w:rFonts w:eastAsia="Times New Roman"/>
          <w:lang w:eastAsia="fr-FR"/>
        </w:rPr>
        <w:fldChar w:fldCharType="separate"/>
      </w:r>
      <w:r w:rsidR="0080119A" w:rsidRPr="0080119A">
        <w:rPr>
          <w:rFonts w:ascii="Calibri" w:hAnsi="Calibri" w:cs="Calibri"/>
        </w:rPr>
        <w:t>(69)</w:t>
      </w:r>
      <w:r w:rsidRPr="00E71797">
        <w:rPr>
          <w:rFonts w:eastAsia="Times New Roman"/>
          <w:lang w:eastAsia="fr-FR"/>
        </w:rPr>
        <w:fldChar w:fldCharType="end"/>
      </w:r>
    </w:p>
    <w:p w14:paraId="06173E73" w14:textId="77777777" w:rsidR="00664D0A" w:rsidRPr="00E71797" w:rsidRDefault="00664D0A" w:rsidP="00B139C3">
      <w:r w:rsidRPr="00E71797">
        <w:rPr>
          <w:rFonts w:eastAsia="Times New Roman"/>
          <w:noProof/>
          <w:lang w:val="fr-FR" w:eastAsia="fr-FR"/>
        </w:rPr>
        <w:drawing>
          <wp:inline distT="0" distB="0" distL="0" distR="0" wp14:anchorId="4498F7CC" wp14:editId="3B6731E4">
            <wp:extent cx="2171700" cy="1602921"/>
            <wp:effectExtent l="19050" t="0" r="0" b="0"/>
            <wp:docPr id="2" name="Image 1" descr="codHx56O8q4qNzNsumJDkubRZweSjpLRusEzh0UZUzmpExTV_fgYHhlHh2BFEqranZ0CQVVr4pRmfrSOHCB85sdaaHSKw1Du4BIXRvEL3Isl5pFrbaSG8nUYm7RsFlIEFCrA6hrTWDCgS-2aLGZQ1IBZ_n0Fu5SQ-dgPBw6M1R_bhbrcJQy2-hYHJbon9lf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Hx56O8q4qNzNsumJDkubRZweSjpLRusEzh0UZUzmpExTV_fgYHhlHh2BFEqranZ0CQVVr4pRmfrSOHCB85sdaaHSKw1Du4BIXRvEL3Isl5pFrbaSG8nUYm7RsFlIEFCrA6hrTWDCgS-2aLGZQ1IBZ_n0Fu5SQ-dgPBw6M1R_bhbrcJQy2-hYHJbon9lfV.jpg"/>
                    <pic:cNvPicPr/>
                  </pic:nvPicPr>
                  <pic:blipFill>
                    <a:blip r:embed="rId24" cstate="print"/>
                    <a:stretch>
                      <a:fillRect/>
                    </a:stretch>
                  </pic:blipFill>
                  <pic:spPr>
                    <a:xfrm>
                      <a:off x="0" y="0"/>
                      <a:ext cx="2175033" cy="1605381"/>
                    </a:xfrm>
                    <a:prstGeom prst="rect">
                      <a:avLst/>
                    </a:prstGeom>
                  </pic:spPr>
                </pic:pic>
              </a:graphicData>
            </a:graphic>
          </wp:inline>
        </w:drawing>
      </w:r>
    </w:p>
    <w:p w14:paraId="17486961" w14:textId="1E2EDE77" w:rsidR="00664D0A" w:rsidRPr="001C2505" w:rsidRDefault="00664D0A" w:rsidP="001C2505">
      <w:pPr>
        <w:rPr>
          <w:color w:val="8496B0" w:themeColor="text2" w:themeTint="99"/>
          <w:sz w:val="20"/>
          <w:szCs w:val="20"/>
          <w:lang w:val="fr-FR"/>
        </w:rPr>
      </w:pPr>
      <w:bookmarkStart w:id="52" w:name="_Toc229617297"/>
      <w:r w:rsidRPr="00664D0A">
        <w:rPr>
          <w:color w:val="8496B0" w:themeColor="text2" w:themeTint="99"/>
          <w:sz w:val="20"/>
          <w:szCs w:val="20"/>
          <w:lang w:val="fr-FR"/>
        </w:rPr>
        <w:t xml:space="preserve">Figure </w:t>
      </w:r>
      <w:r w:rsidRPr="00E71797">
        <w:rPr>
          <w:color w:val="8496B0" w:themeColor="text2" w:themeTint="99"/>
          <w:sz w:val="20"/>
          <w:szCs w:val="20"/>
        </w:rPr>
        <w:fldChar w:fldCharType="begin"/>
      </w:r>
      <w:r w:rsidRPr="00664D0A">
        <w:rPr>
          <w:color w:val="8496B0" w:themeColor="text2" w:themeTint="99"/>
          <w:sz w:val="20"/>
          <w:szCs w:val="20"/>
          <w:lang w:val="fr-FR"/>
        </w:rPr>
        <w:instrText xml:space="preserve"> SEQ Figure \* ARABIC </w:instrText>
      </w:r>
      <w:r w:rsidRPr="00E71797">
        <w:rPr>
          <w:color w:val="8496B0" w:themeColor="text2" w:themeTint="99"/>
          <w:sz w:val="20"/>
          <w:szCs w:val="20"/>
        </w:rPr>
        <w:fldChar w:fldCharType="separate"/>
      </w:r>
      <w:r w:rsidR="00983108">
        <w:rPr>
          <w:noProof/>
          <w:color w:val="8496B0" w:themeColor="text2" w:themeTint="99"/>
          <w:sz w:val="20"/>
          <w:szCs w:val="20"/>
          <w:lang w:val="fr-FR"/>
        </w:rPr>
        <w:t>7</w:t>
      </w:r>
      <w:r w:rsidRPr="00E71797">
        <w:rPr>
          <w:color w:val="8496B0" w:themeColor="text2" w:themeTint="99"/>
          <w:sz w:val="20"/>
          <w:szCs w:val="20"/>
        </w:rPr>
        <w:fldChar w:fldCharType="end"/>
      </w:r>
      <w:r w:rsidRPr="00664D0A">
        <w:rPr>
          <w:color w:val="8496B0" w:themeColor="text2" w:themeTint="99"/>
          <w:sz w:val="20"/>
          <w:szCs w:val="20"/>
          <w:lang w:val="fr-FR"/>
        </w:rPr>
        <w:t xml:space="preserve">: : Le mécanisme d’action des </w:t>
      </w:r>
      <w:r w:rsidRPr="00664D0A">
        <w:rPr>
          <w:rFonts w:eastAsia="Times New Roman"/>
          <w:color w:val="8496B0" w:themeColor="text2" w:themeTint="99"/>
          <w:sz w:val="20"/>
          <w:szCs w:val="20"/>
          <w:lang w:val="fr-FR" w:eastAsia="fr-FR"/>
        </w:rPr>
        <w:t>les agonistes du GLP-1</w:t>
      </w:r>
      <w:bookmarkEnd w:id="52"/>
    </w:p>
    <w:p w14:paraId="4FFF5B1F" w14:textId="77777777" w:rsidR="00664D0A" w:rsidRPr="00664D0A" w:rsidRDefault="00664D0A" w:rsidP="00B139C3">
      <w:pPr>
        <w:rPr>
          <w:rFonts w:eastAsia="Times New Roman"/>
          <w:lang w:val="fr-FR" w:eastAsia="fr-FR"/>
        </w:rPr>
      </w:pPr>
      <w:r w:rsidRPr="00664D0A">
        <w:rPr>
          <w:rFonts w:eastAsia="Times New Roman"/>
          <w:lang w:val="fr-FR" w:eastAsia="fr-FR"/>
        </w:rPr>
        <w:t xml:space="preserve">C-2/Les effets </w:t>
      </w:r>
      <w:proofErr w:type="gramStart"/>
      <w:r w:rsidRPr="00664D0A">
        <w:rPr>
          <w:rFonts w:eastAsia="Times New Roman"/>
          <w:lang w:val="fr-FR" w:eastAsia="fr-FR"/>
        </w:rPr>
        <w:t>secondaires:</w:t>
      </w:r>
      <w:proofErr w:type="gramEnd"/>
    </w:p>
    <w:p w14:paraId="12578689" w14:textId="77777777" w:rsidR="00664D0A" w:rsidRPr="00664D0A" w:rsidRDefault="00664D0A" w:rsidP="00B139C3">
      <w:pPr>
        <w:rPr>
          <w:rFonts w:eastAsia="Times New Roman"/>
          <w:lang w:val="fr-FR" w:eastAsia="fr-FR"/>
        </w:rPr>
      </w:pPr>
      <w:r w:rsidRPr="00664D0A">
        <w:rPr>
          <w:rFonts w:eastAsia="Times New Roman"/>
          <w:lang w:val="fr-FR" w:eastAsia="fr-FR"/>
        </w:rPr>
        <w:t>Les effets secondaires les plus fréquents et les plus connus comprennent</w:t>
      </w:r>
      <w:proofErr w:type="gramStart"/>
      <w:r w:rsidRPr="00664D0A">
        <w:rPr>
          <w:rFonts w:eastAsia="Times New Roman"/>
          <w:lang w:val="fr-FR" w:eastAsia="fr-FR"/>
        </w:rPr>
        <w:t xml:space="preserve"> :nausées</w:t>
      </w:r>
      <w:proofErr w:type="gramEnd"/>
      <w:r w:rsidRPr="00664D0A">
        <w:rPr>
          <w:rFonts w:eastAsia="Times New Roman"/>
          <w:lang w:val="fr-FR" w:eastAsia="fr-FR"/>
        </w:rPr>
        <w:t xml:space="preserve">, vomissements, constipation, diarrhée. </w:t>
      </w:r>
    </w:p>
    <w:p w14:paraId="42D0FA2E" w14:textId="77777777" w:rsidR="00664D0A" w:rsidRPr="00664D0A" w:rsidRDefault="00664D0A" w:rsidP="00B139C3">
      <w:pPr>
        <w:rPr>
          <w:rFonts w:eastAsia="Times New Roman"/>
          <w:lang w:val="fr-FR" w:eastAsia="fr-FR"/>
        </w:rPr>
      </w:pPr>
      <w:r w:rsidRPr="00664D0A">
        <w:rPr>
          <w:rFonts w:eastAsia="Times New Roman"/>
          <w:lang w:val="fr-FR" w:eastAsia="fr-FR"/>
        </w:rPr>
        <w:t>Ces effets surviennent chez jusqu’à 40 % des personnes prenant des médicaments agonistes du GLP-1. Ils peuvent conduire plus d’un patient sur dix à interrompre le traitement. Certains patients attribuent la perte d’appétit liée aux nausées comme faisant partie du mécanisme initial de perte de poids.</w:t>
      </w:r>
    </w:p>
    <w:p w14:paraId="661A8A54" w14:textId="77777777" w:rsidR="00664D0A" w:rsidRPr="00664D0A" w:rsidRDefault="00664D0A" w:rsidP="00B139C3">
      <w:pPr>
        <w:rPr>
          <w:rFonts w:eastAsia="Times New Roman"/>
          <w:lang w:val="fr-FR" w:eastAsia="fr-FR"/>
        </w:rPr>
      </w:pPr>
      <w:r w:rsidRPr="00664D0A">
        <w:rPr>
          <w:rFonts w:eastAsia="Times New Roman"/>
          <w:lang w:val="fr-FR" w:eastAsia="fr-FR"/>
        </w:rPr>
        <w:t>D’autres effets secondaires peuvent également apparaître, notamment</w:t>
      </w:r>
      <w:proofErr w:type="gramStart"/>
      <w:r w:rsidRPr="00664D0A">
        <w:rPr>
          <w:rFonts w:eastAsia="Times New Roman"/>
          <w:lang w:val="fr-FR" w:eastAsia="fr-FR"/>
        </w:rPr>
        <w:t xml:space="preserve"> :tachycardie</w:t>
      </w:r>
      <w:proofErr w:type="gramEnd"/>
      <w:r w:rsidRPr="00664D0A">
        <w:rPr>
          <w:rFonts w:eastAsia="Times New Roman"/>
          <w:lang w:val="fr-FR" w:eastAsia="fr-FR"/>
        </w:rPr>
        <w:t xml:space="preserve"> légère, infections, céphalées, dyspepsie. </w:t>
      </w:r>
    </w:p>
    <w:p w14:paraId="2339ADA1" w14:textId="293F867E" w:rsidR="00664D0A" w:rsidRPr="00664D0A" w:rsidRDefault="00664D0A" w:rsidP="0080119A">
      <w:pPr>
        <w:rPr>
          <w:rFonts w:eastAsia="Times New Roman"/>
          <w:lang w:val="fr-FR" w:eastAsia="fr-FR"/>
        </w:rPr>
      </w:pPr>
      <w:r w:rsidRPr="00664D0A">
        <w:rPr>
          <w:rFonts w:eastAsia="Times New Roman"/>
          <w:lang w:val="fr-FR" w:eastAsia="fr-FR"/>
        </w:rPr>
        <w:t>Un faible risque d’épisodes mineurs d’hypoglycémie a été observé ; cependant, aucune hypoglycémie majeure n’a été décrite jusqu’à présent.</w:t>
      </w:r>
      <w:r w:rsidRPr="00E71797">
        <w:rPr>
          <w:rFonts w:eastAsia="Times New Roman"/>
          <w:lang w:eastAsia="fr-FR"/>
        </w:rPr>
        <w:fldChar w:fldCharType="begin"/>
      </w:r>
      <w:r w:rsidR="00116A61">
        <w:rPr>
          <w:rFonts w:eastAsia="Times New Roman"/>
          <w:lang w:val="fr-FR" w:eastAsia="fr-FR"/>
        </w:rPr>
        <w:instrText xml:space="preserve"> ADDIN ZOTERO_ITEM CSL_CITATION {"citationID":"uc6Jl3TH","properties":{"formattedCitation":"(70)","plainCitation":"(70)","noteIndex":0},"citationItems":[{"id":"6VBx8p83/eUugApZ9","uris":["http://zotero.org/users/local/QE2koe11/items/I4TVQFER"],"itemData":{"id":187,"type":"article-journal","abstract":"Caution is needed until the harms are better understood\n\nGlucagon-like peptide-1 (GLP-1) receptor agonists have emerged as a promising treatment for obesity and diabetes. Over the past few years, recognition has grown of their transformational potential for the more than one billion people living with obesity and over 800 million with diabetes globally.12 However, appreciation of the risks is critical to inform evidence based discussions. The potential harms associated with GLP-1 receptor agonists can be broadly categorised into those that are well known, rare events in which the causal association is weaker or uncertain, and emerging side effects or those with hypothesised links that are still being investigated.\n\nThe most common and well known side effects include nausea, vomiting, constipation, and diarrhoea, which occur in up to 40% of people taking GLP-1 drugs.3 These side effects can make more than one in 10 patients interrupt treatment.4 Patients sometimes attribute loss of appetite due to nausea as part of the mechanism for initial weight loss and are willing to …","DOI":"10.1136/bmj.r1606","language":"en","license":"Published by the BMJ Publishing Group Limited. For permission to use (where not already granted under a licence) please go to http://group.bmj.com/group/rights-licensing/permissions","publisher":"British Medical Journal Publishing Group","section":"Editorial","source":"www.bmj.com","title":"Side effects of GLP-1 receptor agonists","URL":"https://www.bmj.com/content/390/bmj.r1606.full","author":[{"family":"Manne-Goehler","given":"Jennifer"},{"family":"Franco","given":"Juan"}],"accessed":{"date-parts":[["2026",4,27]]},"issued":{"date-parts":[["2025",8,4]]}}}],"schema":"https://github.com/citation-style-language/schema/raw/master/csl-citation.json"} </w:instrText>
      </w:r>
      <w:r w:rsidRPr="00E71797">
        <w:rPr>
          <w:rFonts w:eastAsia="Times New Roman"/>
          <w:lang w:eastAsia="fr-FR"/>
        </w:rPr>
        <w:fldChar w:fldCharType="separate"/>
      </w:r>
      <w:r w:rsidR="0080119A" w:rsidRPr="0080119A">
        <w:rPr>
          <w:rFonts w:ascii="Calibri" w:hAnsi="Calibri" w:cs="Calibri"/>
          <w:lang w:val="fr-FR"/>
        </w:rPr>
        <w:t>(70)</w:t>
      </w:r>
      <w:r w:rsidRPr="00E71797">
        <w:rPr>
          <w:rFonts w:eastAsia="Times New Roman"/>
          <w:lang w:eastAsia="fr-FR"/>
        </w:rPr>
        <w:fldChar w:fldCharType="end"/>
      </w:r>
    </w:p>
    <w:p w14:paraId="76C6CFA7" w14:textId="77777777" w:rsidR="00664D0A" w:rsidRPr="00664D0A" w:rsidRDefault="00664D0A" w:rsidP="00B139C3">
      <w:pPr>
        <w:rPr>
          <w:rFonts w:eastAsia="Times New Roman"/>
          <w:lang w:val="fr-FR" w:eastAsia="fr-FR"/>
        </w:rPr>
      </w:pPr>
      <w:r w:rsidRPr="00664D0A">
        <w:rPr>
          <w:rFonts w:eastAsia="Times New Roman"/>
          <w:lang w:val="fr-FR" w:eastAsia="fr-FR"/>
        </w:rPr>
        <w:t>C-3/Les contres indications :</w:t>
      </w:r>
    </w:p>
    <w:p w14:paraId="44193586" w14:textId="77777777" w:rsidR="00664D0A" w:rsidRPr="00664D0A" w:rsidRDefault="00664D0A" w:rsidP="00B139C3">
      <w:pPr>
        <w:rPr>
          <w:rFonts w:eastAsia="Times New Roman"/>
          <w:lang w:val="fr-FR" w:eastAsia="fr-FR"/>
        </w:rPr>
      </w:pPr>
      <w:r w:rsidRPr="00664D0A">
        <w:rPr>
          <w:rFonts w:eastAsia="Times New Roman"/>
          <w:lang w:val="fr-FR" w:eastAsia="fr-FR"/>
        </w:rPr>
        <w:t>Tous les agonistes des récepteurs du GLP-1 sont contre-indiqués chez les patients présentant une hypersensibilité au médicament.</w:t>
      </w:r>
    </w:p>
    <w:p w14:paraId="16273943" w14:textId="77777777" w:rsidR="00664D0A" w:rsidRPr="00664D0A" w:rsidRDefault="00664D0A" w:rsidP="00B139C3">
      <w:pPr>
        <w:rPr>
          <w:rFonts w:eastAsia="Times New Roman"/>
          <w:lang w:val="fr-FR" w:eastAsia="fr-FR"/>
        </w:rPr>
      </w:pPr>
      <w:r w:rsidRPr="00664D0A">
        <w:rPr>
          <w:rFonts w:eastAsia="Times New Roman"/>
          <w:lang w:val="fr-FR" w:eastAsia="fr-FR"/>
        </w:rPr>
        <w:t>Il existe également un risque accru de pancréatite hémorragique ou nécrosante potentiellement fatale avec les analogues du GLP-1. Le mécanisme de cette pancréatite reste inconnu, mais il a été mis en évidence lors de la surveillance post-commercialisation. Les agonistes du GLP-1 doivent être arrêtés chez les patients ayant des antécédents de pancréatite ou développant une pancréatite au cours du traitement.</w:t>
      </w:r>
    </w:p>
    <w:p w14:paraId="79CC822C" w14:textId="77777777" w:rsidR="00664D0A" w:rsidRPr="00664D0A" w:rsidRDefault="00664D0A" w:rsidP="00B139C3">
      <w:pPr>
        <w:rPr>
          <w:rFonts w:eastAsia="Times New Roman"/>
          <w:lang w:val="fr-FR" w:eastAsia="fr-FR"/>
        </w:rPr>
      </w:pPr>
      <w:r w:rsidRPr="00664D0A">
        <w:rPr>
          <w:rFonts w:eastAsia="Times New Roman"/>
          <w:lang w:val="fr-FR" w:eastAsia="fr-FR"/>
        </w:rPr>
        <w:t>Ils sont aussi contre-indiqués chez les patients ayant des antécédents familiaux de cancer médullaire de la thyroïde ou atteints du syndrome de néoplasie endocrinienne multiple de type 2 (MEN2). Des études ont montré que le liraglutide provoque une hyperplasie des cellules C et augmente la libération de calcitonine chez les rongeurs.</w:t>
      </w:r>
    </w:p>
    <w:p w14:paraId="35AAD316" w14:textId="2274D91B" w:rsidR="00664D0A" w:rsidRPr="00664D0A" w:rsidRDefault="00664D0A" w:rsidP="0080119A">
      <w:pPr>
        <w:rPr>
          <w:rFonts w:eastAsia="Times New Roman"/>
          <w:lang w:val="fr-FR" w:eastAsia="fr-FR"/>
        </w:rPr>
      </w:pPr>
      <w:r w:rsidRPr="00664D0A">
        <w:rPr>
          <w:rFonts w:eastAsia="Times New Roman"/>
          <w:lang w:val="fr-FR" w:eastAsia="fr-FR"/>
        </w:rPr>
        <w:t>et aussi, l’exénatide ne doit pas être utilisé chez les patients atteints d’insuffisance rénale terminale.</w:t>
      </w:r>
      <w:r w:rsidRPr="00E71797">
        <w:rPr>
          <w:rFonts w:eastAsia="Times New Roman"/>
          <w:lang w:eastAsia="fr-FR"/>
        </w:rPr>
        <w:fldChar w:fldCharType="begin"/>
      </w:r>
      <w:r w:rsidR="00116A61">
        <w:rPr>
          <w:rFonts w:eastAsia="Times New Roman"/>
          <w:lang w:val="fr-FR" w:eastAsia="fr-FR"/>
        </w:rPr>
        <w:instrText xml:space="preserve"> ADDIN ZOTERO_ITEM CSL_CITATION {"citationID":"2GQuMsly","properties":{"formattedCitation":"(71)","plainCitation":"(71)","noteIndex":0},"citationItems":[{"id":"6VBx8p83/rXcVVajt","uris":["http://zotero.org/users/local/QE2koe11/items/AY6LIDEY"],"itemData":{"id":188,"type":"chapter","abstract":"Glucagon-like peptide-1 receptor agonists (GLP-1RA) are a class of medications used to treat adult type 2 diabetes and obesity. They are in the drug class of incretin mimetics. Glucagon-like peptide-1 receptor agonists (GLP-1RA, GLP-1DAs, incretin mimetics, or GLP-1 analogs) are a class of medications utilized in treating type 2 diabetes and obesity. Clinical trials show the superiority of GLP-1RA to other antihyperglycemic drugs in improving glycemic efficacy, reducing weight and blood pressure, and having a cardioprotective effect, all without the risk of hypoglycemia. These drugs have transformed the guidelines for the management of diabetes.","container-title":"StatPearls [Internet]","language":"en","note":"PMID: 34283517","publisher":"StatPearls Publishing","source":"www.ncbi.nlm.nih.gov","title":"Compare and Contrast the Glucagon-Like Peptide-1 Receptor Agonists (GLP1RAs)","URL":"https://www.ncbi.nlm.nih.gov/sites/books/NBK572151/","author":[{"family":"Latif","given":"Wafa"},{"family":"Lambrinos","given":"Katerina J."},{"family":"Patel","given":"Preeti"},{"family":"Rodriguez","given":"Rolando"}],"accessed":{"date-parts":[["2026",4,27]]},"issued":{"date-parts":[["2024",2,25]]}}}],"schema":"https://github.com/citation-style-language/schema/raw/master/csl-citation.json"} </w:instrText>
      </w:r>
      <w:r w:rsidRPr="00E71797">
        <w:rPr>
          <w:rFonts w:eastAsia="Times New Roman"/>
          <w:lang w:eastAsia="fr-FR"/>
        </w:rPr>
        <w:fldChar w:fldCharType="separate"/>
      </w:r>
      <w:r w:rsidR="0080119A" w:rsidRPr="0080119A">
        <w:rPr>
          <w:rFonts w:ascii="Calibri" w:hAnsi="Calibri" w:cs="Calibri"/>
          <w:lang w:val="fr-FR"/>
        </w:rPr>
        <w:t>(71)</w:t>
      </w:r>
      <w:r w:rsidRPr="00E71797">
        <w:rPr>
          <w:rFonts w:eastAsia="Times New Roman"/>
          <w:lang w:eastAsia="fr-FR"/>
        </w:rPr>
        <w:fldChar w:fldCharType="end"/>
      </w:r>
    </w:p>
    <w:p w14:paraId="7570CBA1" w14:textId="77777777" w:rsidR="00664D0A" w:rsidRPr="00664D0A" w:rsidRDefault="00664D0A" w:rsidP="00665FE5">
      <w:pPr>
        <w:pStyle w:val="Heading2"/>
      </w:pPr>
      <w:r w:rsidRPr="00664D0A">
        <w:t xml:space="preserve">  </w:t>
      </w:r>
      <w:bookmarkStart w:id="53" w:name="_Toc229618785"/>
      <w:r w:rsidRPr="00664D0A">
        <w:t>7-3/ L’éducation thérapeutique du patient :</w:t>
      </w:r>
      <w:bookmarkEnd w:id="53"/>
    </w:p>
    <w:p w14:paraId="0340DB20" w14:textId="7A3FD42F" w:rsidR="00664D0A" w:rsidRPr="00664D0A" w:rsidRDefault="00664D0A" w:rsidP="00E642AF">
      <w:pPr>
        <w:rPr>
          <w:lang w:val="fr-FR"/>
        </w:rPr>
      </w:pPr>
      <w:r w:rsidRPr="00664D0A">
        <w:rPr>
          <w:lang w:val="fr-FR"/>
        </w:rPr>
        <w:t xml:space="preserve">L’Éducation Thérapeutique du Patient (ETP) s’est imposée comme une composante indissociable de la prise en charge des affections chroniques de longue durée. Fruit d'une </w:t>
      </w:r>
      <w:r w:rsidRPr="00664D0A">
        <w:rPr>
          <w:lang w:val="fr-FR"/>
        </w:rPr>
        <w:lastRenderedPageBreak/>
        <w:t>collaboration entre les instances de santé publique et les acteurs de terrain, elle structure et modernise le parcours de soins. Son but fondamental n'est pas la simple délivrance d'informations médicales, mais bien l'acquisition et le maintien de compétences d'auto-soins par le patient. Cette démarche pédagogique active lui permet de gérer de façon autonome les répercussions de la maladie chro</w:t>
      </w:r>
      <w:r w:rsidR="00E642AF">
        <w:rPr>
          <w:lang w:val="fr-FR"/>
        </w:rPr>
        <w:t>nique sur sa vie quotidienne.</w:t>
      </w:r>
      <w:r w:rsidR="00E642AF">
        <w:rPr>
          <w:lang w:val="fr-FR"/>
        </w:rPr>
        <w:fldChar w:fldCharType="begin"/>
      </w:r>
      <w:r w:rsidR="00116A61">
        <w:rPr>
          <w:lang w:val="fr-FR"/>
        </w:rPr>
        <w:instrText xml:space="preserve"> ADDIN ZOTERO_ITEM CSL_CITATION {"citationID":"DZAk6Gkx","properties":{"unsorted":false,"formattedCitation":"(72)","plainCitation":"(72)","noteIndex":0},"citationItems":[{"id":"6VBx8p83/85qNydlh","uris":["http://zotero.org/users/local/xPnoPzR4/items/RMT87F6Q"],"itemData":{"id":356,"type":"webpage","title":"Éducation thérapeutique du patient: modèles, pratiques et évaluation","URL":"https://www.researchgate.net/publication/283642586_Education_therapeutique_du_patient_modeles_pratiques_et_evaluation","accessed":{"date-parts":[["2026",5,14]]}}}],"schema":"https://github.com/citation-style-language/schema/raw/master/csl-citation.json"} </w:instrText>
      </w:r>
      <w:r w:rsidR="00E642AF">
        <w:rPr>
          <w:lang w:val="fr-FR"/>
        </w:rPr>
        <w:fldChar w:fldCharType="separate"/>
      </w:r>
      <w:r w:rsidR="00E642AF" w:rsidRPr="00E642AF">
        <w:rPr>
          <w:rFonts w:ascii="Times New Roman" w:hAnsi="Times New Roman" w:cs="Times New Roman"/>
          <w:lang w:val="fr-FR"/>
        </w:rPr>
        <w:t>(72)</w:t>
      </w:r>
      <w:r w:rsidR="00E642AF">
        <w:rPr>
          <w:lang w:val="fr-FR"/>
        </w:rPr>
        <w:fldChar w:fldCharType="end"/>
      </w:r>
    </w:p>
    <w:p w14:paraId="6A230302" w14:textId="5CFCC66A" w:rsidR="00664D0A" w:rsidRPr="00664D0A" w:rsidRDefault="00664D0A" w:rsidP="00E642AF">
      <w:pPr>
        <w:rPr>
          <w:lang w:val="fr-FR"/>
        </w:rPr>
      </w:pPr>
      <w:r w:rsidRPr="00664D0A">
        <w:rPr>
          <w:lang w:val="fr-FR"/>
        </w:rPr>
        <w:t>Dans le cadre spécifique du diabète, les programmes d'ETP poursuivent des objectifs généraux clairement identifiés : l'amélioration significative de la qualité de vie et la prévention rigoureuse des complications métaboliques, qu'elles soient aiguës ou chroniques. En transformant le patient en un acteur de sa propre santé, la démarche éducative permet d'atteindre un équilibre glycémique durable tout en minimisant l'impact ps</w:t>
      </w:r>
      <w:r w:rsidR="00E642AF">
        <w:rPr>
          <w:lang w:val="fr-FR"/>
        </w:rPr>
        <w:t>ychologique de la pathologie.</w:t>
      </w:r>
      <w:r w:rsidR="00E642AF">
        <w:rPr>
          <w:lang w:val="fr-FR"/>
        </w:rPr>
        <w:fldChar w:fldCharType="begin"/>
      </w:r>
      <w:r w:rsidR="00116A61">
        <w:rPr>
          <w:lang w:val="fr-FR"/>
        </w:rPr>
        <w:instrText xml:space="preserve"> ADDIN ZOTERO_ITEM CSL_CITATION {"citationID":"kiFVj3YB","properties":{"unsorted":false,"formattedCitation":"(72,73)","plainCitation":"(72,73)","noteIndex":0},"citationItems":[{"id":"6VBx8p83/85qNydlh","uris":["http://zotero.org/users/local/xPnoPzR4/items/RMT87F6Q"],"itemData":{"id":356,"type":"webpage","title":"Éducation thérapeutique du patient: modèles, pratiques et évaluation","URL":"https://www.researchgate.net/publication/283642586_Education_therapeutique_du_patient_modeles_pratiques_et_evaluation","accessed":{"date-parts":[["2026",5,14]]}}},{"id":"6VBx8p83/7mCKyUzi","uris":["http://zotero.org/users/local/xPnoPzR4/items/KZQ2VRS6"],"itemData":{"id":360,"type":"webpage","title":"Occitanie - OSCARS : Observation et suivi cartographique des actions régionales de santé","URL":"https://www.oscarsante.org/occitanie","accessed":{"date-parts":[["2026",5,14]]}}}],"schema":"https://github.com/citation-style-language/schema/raw/master/csl-citation.json"} </w:instrText>
      </w:r>
      <w:r w:rsidR="00E642AF">
        <w:rPr>
          <w:lang w:val="fr-FR"/>
        </w:rPr>
        <w:fldChar w:fldCharType="separate"/>
      </w:r>
      <w:r w:rsidR="00E642AF" w:rsidRPr="00D73339">
        <w:rPr>
          <w:rFonts w:ascii="Times New Roman" w:hAnsi="Times New Roman" w:cs="Times New Roman"/>
          <w:lang w:val="fr-FR"/>
        </w:rPr>
        <w:t>(72,73)</w:t>
      </w:r>
      <w:r w:rsidR="00E642AF">
        <w:rPr>
          <w:lang w:val="fr-FR"/>
        </w:rPr>
        <w:fldChar w:fldCharType="end"/>
      </w:r>
    </w:p>
    <w:p w14:paraId="5C376042" w14:textId="3889A3EC" w:rsidR="00664D0A" w:rsidRPr="00664D0A" w:rsidRDefault="00664D0A" w:rsidP="00E642AF">
      <w:pPr>
        <w:rPr>
          <w:lang w:val="fr-FR"/>
        </w:rPr>
      </w:pPr>
      <w:r w:rsidRPr="00664D0A">
        <w:rPr>
          <w:lang w:val="fr-FR"/>
        </w:rPr>
        <w:t>L'efficacité de l'ETP repose sur sa capacité à s'adapter aux stades de développement et aux réalités psychosociales des patients. Chez l'enfant et l'adolescent, la maladie chronique interfère avec le processus de maturation. L'ETP revêt alors un intérêt crucial pour renforcer l'observance thérapeutique — souvent fragilisée par les bouleversements pubertaires et le refus de l'autorité — et prévenir l'apparition précoce des complications. Elle vise à déstigmatiser la maladie pour favoriser une intégration sociale et scolaire normale. Chez le patient adulte, la démarche se concentre davantage sur l'acceptation de la chronicité, la réorganisation du mode de vie professionnel ou familial, et la lutte contre les représentations négatives liées à l'aggravation de la pathologie ou à l'éche</w:t>
      </w:r>
      <w:r w:rsidR="00E642AF">
        <w:rPr>
          <w:lang w:val="fr-FR"/>
        </w:rPr>
        <w:t>c des traitements antérieurs.</w:t>
      </w:r>
      <w:r w:rsidR="00E642AF">
        <w:rPr>
          <w:lang w:val="fr-FR"/>
        </w:rPr>
        <w:fldChar w:fldCharType="begin"/>
      </w:r>
      <w:r w:rsidR="00116A61">
        <w:rPr>
          <w:lang w:val="fr-FR"/>
        </w:rPr>
        <w:instrText xml:space="preserve"> ADDIN ZOTERO_ITEM CSL_CITATION {"citationID":"ZIlsTjDB","properties":{"unsorted":false,"formattedCitation":"(73)","plainCitation":"(73)","noteIndex":0},"citationItems":[{"id":"6VBx8p83/7mCKyUzi","uris":["http://zotero.org/users/local/xPnoPzR4/items/KZQ2VRS6"],"itemData":{"id":360,"type":"webpage","title":"Occitanie - OSCARS : Observation et suivi cartographique des actions régionales de santé","URL":"https://www.oscarsante.org/occitanie","accessed":{"date-parts":[["2026",5,14]]}}}],"schema":"https://github.com/citation-style-language/schema/raw/master/csl-citation.json"} </w:instrText>
      </w:r>
      <w:r w:rsidR="00E642AF">
        <w:rPr>
          <w:lang w:val="fr-FR"/>
        </w:rPr>
        <w:fldChar w:fldCharType="separate"/>
      </w:r>
      <w:r w:rsidR="00E642AF" w:rsidRPr="00E642AF">
        <w:rPr>
          <w:rFonts w:ascii="Times New Roman" w:hAnsi="Times New Roman" w:cs="Times New Roman"/>
          <w:lang w:val="fr-FR"/>
        </w:rPr>
        <w:t>(73)</w:t>
      </w:r>
      <w:r w:rsidR="00E642AF">
        <w:rPr>
          <w:lang w:val="fr-FR"/>
        </w:rPr>
        <w:fldChar w:fldCharType="end"/>
      </w:r>
    </w:p>
    <w:p w14:paraId="5374B079" w14:textId="15F7E6AE" w:rsidR="00664D0A" w:rsidRPr="00664D0A" w:rsidRDefault="00664D0A" w:rsidP="00E642AF">
      <w:pPr>
        <w:rPr>
          <w:lang w:val="fr-FR"/>
        </w:rPr>
      </w:pPr>
      <w:r w:rsidRPr="00664D0A">
        <w:rPr>
          <w:lang w:val="fr-FR"/>
        </w:rPr>
        <w:t>L'application de l'ETP trouve son paroxysme lors de l'initiation à l'insulinothérapie, qu'il s'agisse d'un diabète de type 1 chez l'adolescent ou d'un diabète de type 2 insulino-requérant chez l'adulte. Le caractère injectable du traitement exige des compétences techniques précises (techniques d'injection, rotation des sites, adaptation des doses selon les schémas basal-bolus). De plus, l'ETP permet d'anticiper et de gérer les deux craintes majeures liées à l'insuline : la gestion du risque d'hypoglycémie et le contrôle de la prise de poids. En fournissant ces outils, l'éducation thérapeutique lève les barrières psychologiques et transforme une thérapie vécue comme une contrainte en un véritable vecteur d'</w:t>
      </w:r>
      <w:r w:rsidR="00E642AF">
        <w:rPr>
          <w:lang w:val="fr-FR"/>
        </w:rPr>
        <w:t xml:space="preserve">autonomie et de flexibilité. </w:t>
      </w:r>
      <w:r w:rsidR="00E642AF">
        <w:rPr>
          <w:lang w:val="fr-FR"/>
        </w:rPr>
        <w:fldChar w:fldCharType="begin"/>
      </w:r>
      <w:r w:rsidR="00116A61">
        <w:rPr>
          <w:lang w:val="fr-FR"/>
        </w:rPr>
        <w:instrText xml:space="preserve"> ADDIN ZOTERO_ITEM CSL_CITATION {"citationID":"JQSivwnb","properties":{"unsorted":false,"formattedCitation":"(74)","plainCitation":"(74)","noteIndex":0},"citationItems":[{"id":"6VBx8p83/zBZc9uHY","uris":["http://zotero.org/users/local/xPnoPzR4/items/4YWNIXWN"],"itemData":{"id":357,"type":"webpage","title":"Improvement of Insulin Injection Technique - Geralyn Spollett, Steven V. Edelman, Patricia Mehner, Claudia Walter, Alfred Penfornis, 2016","URL":"https://journals.sagepub.com/doi/10.1177/0145721716648017","accessed":{"date-parts":[["2026",5,14]]}}}],"schema":"https://github.com/citation-style-language/schema/raw/master/csl-citation.json"} </w:instrText>
      </w:r>
      <w:r w:rsidR="00E642AF">
        <w:rPr>
          <w:lang w:val="fr-FR"/>
        </w:rPr>
        <w:fldChar w:fldCharType="separate"/>
      </w:r>
      <w:r w:rsidR="00E642AF" w:rsidRPr="00E642AF">
        <w:rPr>
          <w:rFonts w:ascii="Times New Roman" w:hAnsi="Times New Roman" w:cs="Times New Roman"/>
          <w:lang w:val="fr-FR"/>
        </w:rPr>
        <w:t>(74)</w:t>
      </w:r>
      <w:r w:rsidR="00E642AF">
        <w:rPr>
          <w:lang w:val="fr-FR"/>
        </w:rPr>
        <w:fldChar w:fldCharType="end"/>
      </w:r>
    </w:p>
    <w:p w14:paraId="3EA2EC65" w14:textId="12D3F66F" w:rsidR="00664D0A" w:rsidRPr="00664D0A" w:rsidRDefault="00664D0A" w:rsidP="00E642AF">
      <w:pPr>
        <w:rPr>
          <w:lang w:val="fr-FR"/>
        </w:rPr>
      </w:pPr>
      <w:r w:rsidRPr="00664D0A">
        <w:rPr>
          <w:lang w:val="fr-FR"/>
        </w:rPr>
        <w:t>La mise en œuvre de l'éducation thérapeutique du patient repose sur une démarche structurée et itérative qui débute impérativement par le diagnostic éducatif, étape fondatrice permettant d'appréhender les besoins, les représentations et les projets du patient afin de personnaliser son accompagnement. Cette analyse initiale conduit à l'élaboration d'un programme personnalisé où sont définis, en concertation avec le patient, des objectifs d’apprentissage spécifiques visant l’acquisition de compétences d'auto-soins et de sécurité. S'ensuit la phase de mise en œuvre proprement dite, durant laquelle des séances d'apprentissage individuelles ou collectives sont organisées pour transmettre les savoirs théoriques et les gestes techniques, tels que la maîtrise de l’insulinothérapie et de l’autosurveillance glycémique. Enfin, le cycle s'achève par une évaluation des compétences et un suivi régulier, permettant de mesurer les progrès accomplis par le patient dans sa gestion autonome de la pathologie et d'ajuster les objectifs éducatifs en fonction de l'évolution de son état de santé</w:t>
      </w:r>
      <w:r w:rsidR="00E642AF">
        <w:rPr>
          <w:lang w:val="fr-FR"/>
        </w:rPr>
        <w:t xml:space="preserve"> et de sa qualité de vie.</w:t>
      </w:r>
      <w:r w:rsidR="00E642AF">
        <w:rPr>
          <w:lang w:val="fr-FR"/>
        </w:rPr>
        <w:fldChar w:fldCharType="begin"/>
      </w:r>
      <w:r w:rsidR="00116A61">
        <w:rPr>
          <w:lang w:val="fr-FR"/>
        </w:rPr>
        <w:instrText xml:space="preserve"> ADDIN ZOTERO_ITEM CSL_CITATION {"citationID":"YJQ8sh8s","properties":{"unsorted":false,"formattedCitation":"(72)","plainCitation":"(72)","noteIndex":0},"citationItems":[{"id":"6VBx8p83/85qNydlh","uris":["http://zotero.org/users/local/xPnoPzR4/items/RMT87F6Q"],"itemData":{"id":356,"type":"webpage","title":"Éducation thérapeutique du patient: modèles, pratiques et évaluation","URL":"https://www.researchgate.net/publication/283642586_Education_therapeutique_du_patient_modeles_pratiques_et_evaluation","accessed":{"date-parts":[["2026",5,14]]}}}],"schema":"https://github.com/citation-style-language/schema/raw/master/csl-citation.json"} </w:instrText>
      </w:r>
      <w:r w:rsidR="00E642AF">
        <w:rPr>
          <w:lang w:val="fr-FR"/>
        </w:rPr>
        <w:fldChar w:fldCharType="separate"/>
      </w:r>
      <w:r w:rsidR="00E642AF" w:rsidRPr="00E642AF">
        <w:rPr>
          <w:rFonts w:ascii="Times New Roman" w:hAnsi="Times New Roman" w:cs="Times New Roman"/>
          <w:lang w:val="fr-FR"/>
        </w:rPr>
        <w:t>(72)</w:t>
      </w:r>
      <w:r w:rsidR="00E642AF">
        <w:rPr>
          <w:lang w:val="fr-FR"/>
        </w:rPr>
        <w:fldChar w:fldCharType="end"/>
      </w:r>
    </w:p>
    <w:p w14:paraId="7A8C5CA3" w14:textId="77777777" w:rsidR="00E642AF" w:rsidRDefault="00E642AF" w:rsidP="00665FE5">
      <w:pPr>
        <w:pStyle w:val="Heading2"/>
      </w:pPr>
      <w:bookmarkStart w:id="54" w:name="_Toc229618786"/>
    </w:p>
    <w:p w14:paraId="273C9B2C" w14:textId="6D449170" w:rsidR="00664D0A" w:rsidRPr="00664D0A" w:rsidRDefault="00664D0A" w:rsidP="00665FE5">
      <w:pPr>
        <w:pStyle w:val="Heading2"/>
      </w:pPr>
      <w:r w:rsidRPr="00664D0A">
        <w:t xml:space="preserve">7-4 / Perspective </w:t>
      </w:r>
      <w:r w:rsidRPr="00664D0A">
        <w:rPr>
          <w:color w:val="1F1F1F"/>
        </w:rPr>
        <w:t>thérapeutique</w:t>
      </w:r>
      <w:r w:rsidRPr="00664D0A">
        <w:t xml:space="preserve"> du diabete type </w:t>
      </w:r>
      <w:proofErr w:type="gramStart"/>
      <w:r w:rsidRPr="00664D0A">
        <w:t>2  :</w:t>
      </w:r>
      <w:bookmarkEnd w:id="54"/>
      <w:proofErr w:type="gramEnd"/>
    </w:p>
    <w:p w14:paraId="5B19B835" w14:textId="583004BD" w:rsidR="00664D0A" w:rsidRPr="00664D0A" w:rsidRDefault="00664D0A" w:rsidP="00A04585">
      <w:pPr>
        <w:rPr>
          <w:lang w:val="fr-FR"/>
        </w:rPr>
      </w:pPr>
      <w:r w:rsidRPr="00664D0A">
        <w:rPr>
          <w:lang w:val="fr-FR"/>
        </w:rPr>
        <w:t>L'évolution fulgurante de la diabétologie contemporaine déplace le curseur d'une gestion purement glycémique vers une vision multidimensionnelle et proactive. Les perspectives thérapeutiques pour 2026 ne se limitent plus à la simple prévention des complications, mais visent désormais une optimisation métabolique globale. Ce changement de paradigme est porté par une synergie entre l'innovation numérique et les avancées biologiques.</w:t>
      </w:r>
      <w:r w:rsidR="00A04585">
        <w:rPr>
          <w:lang w:val="fr-FR"/>
        </w:rPr>
        <w:fldChar w:fldCharType="begin"/>
      </w:r>
      <w:r w:rsidR="00116A61">
        <w:rPr>
          <w:lang w:val="fr-FR"/>
        </w:rPr>
        <w:instrText xml:space="preserve"> ADDIN ZOTERO_ITEM CSL_CITATION {"citationID":"yzTDe8Fl","properties":{"unsorted":false,"formattedCitation":"(75,76)","plainCitation":"(75,76)","noteIndex":0},"citationItems":[{"id":"6VBx8p83/Q9oxpHGB","uris":["http://zotero.org/users/local/xPnoPzR4/items/WVGMQV95"],"itemData":{"id":365,"type":"webpage","title":"Paradigm Shifts in Diabetes Management: Key Highlights from the 2026 American Diabetes Association Standards of Care in Diabetes","URL":"https://www.mdpi.com/2813-9038/3/2/10","accessed":{"date-parts":[["2026",5,14]]}}},{"id":"6VBx8p83/F3x9hbcy","uris":["http://zotero.org/users/local/xPnoPzR4/items/GUQAS296"],"itemData":{"id":371,"type":"webpage","title":"Second international consensus report on gaps and opportunities for the clinical translation of precision diabetes medicine | Nature Medicine","URL":"https://www.nature.com/articles/s41591-023-02502-5","accessed":{"date-parts":[["2026",5,14]]}}}],"schema":"https://github.com/citation-style-language/schema/raw/master/csl-citation.json"} </w:instrText>
      </w:r>
      <w:r w:rsidR="00A04585">
        <w:rPr>
          <w:lang w:val="fr-FR"/>
        </w:rPr>
        <w:fldChar w:fldCharType="separate"/>
      </w:r>
      <w:r w:rsidR="00A04585" w:rsidRPr="00A04585">
        <w:rPr>
          <w:rFonts w:ascii="Times New Roman" w:hAnsi="Times New Roman" w:cs="Times New Roman"/>
          <w:lang w:val="fr-FR"/>
        </w:rPr>
        <w:t>(75,76)</w:t>
      </w:r>
      <w:r w:rsidR="00A04585">
        <w:rPr>
          <w:lang w:val="fr-FR"/>
        </w:rPr>
        <w:fldChar w:fldCharType="end"/>
      </w:r>
    </w:p>
    <w:p w14:paraId="04BC9F33" w14:textId="47266437" w:rsidR="00664D0A" w:rsidRPr="00664D0A" w:rsidRDefault="00664D0A" w:rsidP="00A04585">
      <w:pPr>
        <w:rPr>
          <w:lang w:val="fr-FR"/>
        </w:rPr>
      </w:pPr>
      <w:r w:rsidRPr="00664D0A">
        <w:rPr>
          <w:lang w:val="fr-FR"/>
        </w:rPr>
        <w:t>La stratégiede traitement du diabète de type 2 a évolué d'une simple réduction de la glycémie vers une protection systémique. Les travaux scientifiques (</w:t>
      </w:r>
      <w:proofErr w:type="gramStart"/>
      <w:r w:rsidRPr="00664D0A">
        <w:rPr>
          <w:lang w:val="fr-FR"/>
        </w:rPr>
        <w:t>4 )établissent</w:t>
      </w:r>
      <w:proofErr w:type="gramEnd"/>
      <w:r w:rsidRPr="00664D0A">
        <w:rPr>
          <w:lang w:val="fr-FR"/>
        </w:rPr>
        <w:t xml:space="preserve"> que les inhibiteurs de la SGLT2 et les agonistes du GLP-1 constituent désormais le socle de la protection organique, indépendamment de leur effet sur l'HbA1c. , la revue de Nissen et al. (2024)demontre, par des preuves cliniques de haut niveau (essais de sécurité cardiovasculaire), que ces molécules réduisent drastiquement les événements cardiaques majeurs et la progression de l'insuffisance rénale, imposant ces thérapies comme le standard de soin pour les patients à haut risqué,(le passage d'une approche g</w:t>
      </w:r>
      <w:r w:rsidR="00A04585">
        <w:rPr>
          <w:lang w:val="fr-FR"/>
        </w:rPr>
        <w:t>lucocentrée à cardio-rénale).</w:t>
      </w:r>
      <w:r w:rsidR="00A04585">
        <w:rPr>
          <w:lang w:val="fr-FR"/>
        </w:rPr>
        <w:fldChar w:fldCharType="begin"/>
      </w:r>
      <w:r w:rsidR="00116A61">
        <w:rPr>
          <w:lang w:val="fr-FR"/>
        </w:rPr>
        <w:instrText xml:space="preserve"> ADDIN ZOTERO_ITEM CSL_CITATION {"citationID":"8roEmevv","properties":{"unsorted":false,"formattedCitation":"(77)","plainCitation":"(77)","noteIndex":0},"citationItems":[{"id":"6VBx8p83/UsnrxvxV","uris":["http://zotero.org/users/local/xPnoPzR4/items/A3IS8VQ7"],"itemData":{"id":369,"type":"webpage","title":"Cardiovascular Outcomes with Tirzepatide versus Dulaglutide in Type 2 Diabetes | New England Journal of Medicine","URL":"https://www.nejm.org/doi/full/10.1056/NEJMoa2505928","accessed":{"date-parts":[["2026",5,14]]}}}],"schema":"https://github.com/citation-style-language/schema/raw/master/csl-citation.json"} </w:instrText>
      </w:r>
      <w:r w:rsidR="00A04585">
        <w:rPr>
          <w:lang w:val="fr-FR"/>
        </w:rPr>
        <w:fldChar w:fldCharType="separate"/>
      </w:r>
      <w:r w:rsidR="00A04585" w:rsidRPr="00A04585">
        <w:rPr>
          <w:rFonts w:ascii="Times New Roman" w:hAnsi="Times New Roman" w:cs="Times New Roman"/>
          <w:lang w:val="fr-FR"/>
        </w:rPr>
        <w:t>(77)</w:t>
      </w:r>
      <w:r w:rsidR="00A04585">
        <w:rPr>
          <w:lang w:val="fr-FR"/>
        </w:rPr>
        <w:fldChar w:fldCharType="end"/>
      </w:r>
    </w:p>
    <w:p w14:paraId="5334281D" w14:textId="5B5A7661" w:rsidR="00664D0A" w:rsidRPr="00664D0A" w:rsidRDefault="00664D0A" w:rsidP="00A04585">
      <w:pPr>
        <w:rPr>
          <w:lang w:val="fr-FR"/>
        </w:rPr>
      </w:pPr>
      <w:r w:rsidRPr="00664D0A">
        <w:rPr>
          <w:lang w:val="fr-FR"/>
        </w:rPr>
        <w:t xml:space="preserve">   La perspective majeure de la prise en charge repose sur une généralisation de l'approche « technologique d'abord ». Cette mutation s'articule autour de l'utilisation systématique de la mesure continue du glucose (MCG) dès l'instauration de thérapies complexes, permettant de transformer la donnée brute en un outil d'éducation thérapeutique en temps réel. La perspective est ici d'intégrer des algorithmes décisionnels qui, en analysant les excursions glycémiques quotidiennes, offrent au clinicien et au patient une capacité d'ajustement immédiate et ultra-personnalisée, réduisant ainsi drastiqueme</w:t>
      </w:r>
      <w:r w:rsidR="00A04585">
        <w:rPr>
          <w:lang w:val="fr-FR"/>
        </w:rPr>
        <w:t>nt la variabilité glycémique.</w:t>
      </w:r>
      <w:r w:rsidR="00A04585">
        <w:rPr>
          <w:lang w:val="fr-FR"/>
        </w:rPr>
        <w:fldChar w:fldCharType="begin"/>
      </w:r>
      <w:r w:rsidR="00116A61">
        <w:rPr>
          <w:lang w:val="fr-FR"/>
        </w:rPr>
        <w:instrText xml:space="preserve"> ADDIN ZOTERO_ITEM CSL_CITATION {"citationID":"s2Wei4Lp","properties":{"unsorted":false,"formattedCitation":"(75)","plainCitation":"(75)","noteIndex":0},"citationItems":[{"id":"6VBx8p83/Q9oxpHGB","uris":["http://zotero.org/users/local/xPnoPzR4/items/WVGMQV95"],"itemData":{"id":365,"type":"webpage","title":"Paradigm Shifts in Diabetes Management: Key Highlights from the 2026 American Diabetes Association Standards of Care in Diabetes","URL":"https://www.mdpi.com/2813-9038/3/2/10","accessed":{"date-parts":[["2026",5,14]]}}}],"schema":"https://github.com/citation-style-language/schema/raw/master/csl-citation.json"} </w:instrText>
      </w:r>
      <w:r w:rsidR="00A04585">
        <w:rPr>
          <w:lang w:val="fr-FR"/>
        </w:rPr>
        <w:fldChar w:fldCharType="separate"/>
      </w:r>
      <w:r w:rsidR="00A04585" w:rsidRPr="00A04585">
        <w:rPr>
          <w:rFonts w:ascii="Times New Roman" w:hAnsi="Times New Roman" w:cs="Times New Roman"/>
          <w:lang w:val="fr-FR"/>
        </w:rPr>
        <w:t>(75)</w:t>
      </w:r>
      <w:r w:rsidR="00A04585">
        <w:rPr>
          <w:lang w:val="fr-FR"/>
        </w:rPr>
        <w:fldChar w:fldCharType="end"/>
      </w:r>
    </w:p>
    <w:p w14:paraId="12F3D068" w14:textId="190370A7" w:rsidR="00664D0A" w:rsidRPr="00664D0A" w:rsidRDefault="00664D0A" w:rsidP="00A04585">
      <w:pPr>
        <w:rPr>
          <w:lang w:val="fr-FR"/>
        </w:rPr>
      </w:pPr>
      <w:r w:rsidRPr="00664D0A">
        <w:rPr>
          <w:lang w:val="fr-FR"/>
        </w:rPr>
        <w:t xml:space="preserve">En résumé, la prise en charge moderne privilégie désormais la flexibilité thérapeutique à la standardisation. Cette approche sur mesure permet de concilier la rigueur du contrôle métabolique avec les impératifs de sécurité propres à chaque profil de patient. En adaptant les cibles glycémiques aux réalités cliniques et au mode de vie, le praticien s'assure d'un traitement qui n'est plus seulement efficace biologiquement, mais également viable </w:t>
      </w:r>
      <w:r w:rsidR="00A04585">
        <w:rPr>
          <w:lang w:val="fr-FR"/>
        </w:rPr>
        <w:t xml:space="preserve">et protecteur au quotidien. </w:t>
      </w:r>
      <w:r w:rsidR="00A04585">
        <w:rPr>
          <w:lang w:val="fr-FR"/>
        </w:rPr>
        <w:fldChar w:fldCharType="begin"/>
      </w:r>
      <w:r w:rsidR="00116A61">
        <w:rPr>
          <w:lang w:val="fr-FR"/>
        </w:rPr>
        <w:instrText xml:space="preserve"> ADDIN ZOTERO_ITEM CSL_CITATION {"citationID":"kxUwULwK","properties":{"unsorted":false,"formattedCitation":"(75,78)","plainCitation":"(75,78)","noteIndex":0},"citationItems":[{"id":"6VBx8p83/Q9oxpHGB","uris":["http://zotero.org/users/local/xPnoPzR4/items/WVGMQV95"],"itemData":{"id":365,"type":"webpage","title":"Paradigm Shifts in Diabetes Management: Key Highlights from the 2026 American Diabetes Association Standards of Care in Diabetes","URL":"https://www.mdpi.com/2813-9038/3/2/10","accessed":{"date-parts":[["2026",5,14]]}}},{"id":"6VBx8p83/xzH49nFq","uris":["http://zotero.org/users/local/xPnoPzR4/items/XZA7Y572"],"itemData":{"id":362,"type":"article-journal","abstract":"The American Diabetes Association (ADA) “Standards of Care in Diabetes” includes the ADA’s current clinical practice recommendations and is intended to provide the components of diabetes care, general treatment goals and guidelines, and tools to evaluate quality of care. Members of the ADA Professional Practice Committee, an interprofessional expert committee, are responsible for updating the Standards of Care annually, or more frequently as warranted. For a detailed description of ADA standards, statements, and reports, as well as the evidence-grading system for ADA’s clinical practice recommendations and a full list of Professional Practice Committee members, please refer to Introduction and Methodology. Readers who wish to comment on the Standards of Care are invited to do so at professional.diabetes.org/SOC.","container-title":"Diabetes Care","DOI":"10.2337/dc24-S006","ISSN":"0149-5992","issue":"Supplement_1","journalAbbreviation":"Diabetes Care","page":"S111-S125","source":"Silverchair","title":"6. Glycemic Goals and Hypoglycemia: Standards of Care in Diabetes—2024","title-short":"6. Glycemic Goals and Hypoglycemia","volume":"47","author":[{"literal":"American Diabetes Association Professional Practice Committee"}],"issued":{"date-parts":[["2023",12,11]]}}}],"schema":"https://github.com/citation-style-language/schema/raw/master/csl-citation.json"} </w:instrText>
      </w:r>
      <w:r w:rsidR="00A04585">
        <w:rPr>
          <w:lang w:val="fr-FR"/>
        </w:rPr>
        <w:fldChar w:fldCharType="separate"/>
      </w:r>
      <w:r w:rsidR="00A04585" w:rsidRPr="00A04585">
        <w:rPr>
          <w:rFonts w:ascii="Times New Roman" w:hAnsi="Times New Roman" w:cs="Times New Roman"/>
          <w:lang w:val="fr-FR"/>
        </w:rPr>
        <w:t>(75,78)</w:t>
      </w:r>
      <w:r w:rsidR="00A04585">
        <w:rPr>
          <w:lang w:val="fr-FR"/>
        </w:rPr>
        <w:fldChar w:fldCharType="end"/>
      </w:r>
    </w:p>
    <w:p w14:paraId="2E8EE087" w14:textId="77777777" w:rsidR="00664D0A" w:rsidRPr="00664D0A" w:rsidRDefault="00664D0A" w:rsidP="00B139C3">
      <w:pPr>
        <w:rPr>
          <w:rFonts w:eastAsia="Times New Roman"/>
          <w:lang w:val="fr-FR" w:eastAsia="fr-FR"/>
        </w:rPr>
      </w:pPr>
    </w:p>
    <w:p w14:paraId="3A485E1B" w14:textId="77777777" w:rsidR="00664D0A" w:rsidRPr="00664D0A" w:rsidRDefault="00664D0A" w:rsidP="00B139C3">
      <w:pPr>
        <w:rPr>
          <w:rFonts w:eastAsia="Times New Roman"/>
          <w:lang w:val="fr-FR" w:eastAsia="fr-FR"/>
        </w:rPr>
      </w:pPr>
    </w:p>
    <w:p w14:paraId="054EFB18" w14:textId="77777777" w:rsidR="00664D0A" w:rsidRPr="00664D0A" w:rsidRDefault="00664D0A" w:rsidP="00B139C3">
      <w:pPr>
        <w:rPr>
          <w:rFonts w:eastAsia="Times New Roman"/>
          <w:lang w:val="fr-FR" w:eastAsia="fr-FR"/>
        </w:rPr>
      </w:pPr>
    </w:p>
    <w:p w14:paraId="42036D8F" w14:textId="77777777" w:rsidR="00664D0A" w:rsidRPr="00664D0A" w:rsidRDefault="00664D0A" w:rsidP="00B139C3">
      <w:pPr>
        <w:rPr>
          <w:rFonts w:eastAsia="Times New Roman"/>
          <w:lang w:val="fr-FR" w:eastAsia="fr-FR"/>
        </w:rPr>
      </w:pPr>
    </w:p>
    <w:p w14:paraId="188ED660" w14:textId="77777777" w:rsidR="00664D0A" w:rsidRPr="00664D0A" w:rsidRDefault="00664D0A" w:rsidP="00B139C3">
      <w:pPr>
        <w:rPr>
          <w:rFonts w:eastAsia="Times New Roman"/>
          <w:lang w:val="fr-FR" w:eastAsia="fr-FR"/>
        </w:rPr>
      </w:pPr>
    </w:p>
    <w:p w14:paraId="3AC2E908" w14:textId="77777777" w:rsidR="00664D0A" w:rsidRPr="00664D0A" w:rsidRDefault="00664D0A" w:rsidP="00B139C3">
      <w:pPr>
        <w:rPr>
          <w:rFonts w:eastAsia="Times New Roman"/>
          <w:lang w:val="fr-FR" w:eastAsia="fr-FR"/>
        </w:rPr>
      </w:pPr>
    </w:p>
    <w:p w14:paraId="6272AEAC" w14:textId="77777777" w:rsidR="00664D0A" w:rsidRPr="00664D0A" w:rsidRDefault="00664D0A" w:rsidP="00B139C3">
      <w:pPr>
        <w:rPr>
          <w:rFonts w:eastAsia="Times New Roman"/>
          <w:lang w:val="fr-FR" w:eastAsia="fr-FR"/>
        </w:rPr>
      </w:pPr>
    </w:p>
    <w:p w14:paraId="64A3E35C" w14:textId="77777777" w:rsidR="00664D0A" w:rsidRPr="00664D0A" w:rsidRDefault="00664D0A" w:rsidP="00B139C3">
      <w:pPr>
        <w:rPr>
          <w:rFonts w:eastAsia="Times New Roman"/>
          <w:lang w:val="fr-FR" w:eastAsia="fr-FR"/>
        </w:rPr>
      </w:pPr>
    </w:p>
    <w:p w14:paraId="7E562951" w14:textId="77777777" w:rsidR="00664D0A" w:rsidRPr="00664D0A" w:rsidRDefault="00664D0A" w:rsidP="00B139C3">
      <w:pPr>
        <w:rPr>
          <w:lang w:val="fr-FR"/>
        </w:rPr>
      </w:pPr>
    </w:p>
    <w:p w14:paraId="4A7C1404" w14:textId="77777777" w:rsidR="00664D0A" w:rsidRPr="00664D0A" w:rsidRDefault="00664D0A" w:rsidP="00B139C3">
      <w:pPr>
        <w:rPr>
          <w:rStyle w:val="Emphasis"/>
          <w:rFonts w:eastAsia="Times New Roman" w:cstheme="majorBidi"/>
          <w:i w:val="0"/>
          <w:iCs w:val="0"/>
          <w:szCs w:val="24"/>
          <w:lang w:val="fr-FR" w:eastAsia="fr-FR"/>
        </w:rPr>
      </w:pPr>
    </w:p>
    <w:p w14:paraId="1518C695" w14:textId="0FD2105C" w:rsidR="00664D0A" w:rsidRPr="00664D0A" w:rsidRDefault="00664D0A" w:rsidP="003766EB">
      <w:pPr>
        <w:jc w:val="center"/>
        <w:outlineLvl w:val="0"/>
        <w:rPr>
          <w:sz w:val="48"/>
          <w:szCs w:val="48"/>
          <w:lang w:val="fr-FR"/>
        </w:rPr>
      </w:pPr>
      <w:bookmarkStart w:id="55" w:name="_Toc229618787"/>
      <w:r w:rsidRPr="00664D0A">
        <w:rPr>
          <w:sz w:val="48"/>
          <w:szCs w:val="48"/>
          <w:lang w:val="fr-FR"/>
        </w:rPr>
        <w:lastRenderedPageBreak/>
        <w:t>Chapitre 02</w:t>
      </w:r>
      <w:r w:rsidR="001C2505">
        <w:rPr>
          <w:sz w:val="48"/>
          <w:szCs w:val="48"/>
          <w:lang w:val="fr-FR"/>
        </w:rPr>
        <w:t> :</w:t>
      </w:r>
      <w:r w:rsidR="003766EB">
        <w:rPr>
          <w:sz w:val="48"/>
          <w:szCs w:val="48"/>
          <w:lang w:val="fr-FR"/>
        </w:rPr>
        <w:t xml:space="preserve"> Les plantes médicinales et diabéte type 2</w:t>
      </w:r>
      <w:bookmarkEnd w:id="55"/>
    </w:p>
    <w:p w14:paraId="467C5181" w14:textId="61846795" w:rsidR="00664D0A" w:rsidRPr="001C2505" w:rsidRDefault="00664D0A" w:rsidP="001C2505">
      <w:pPr>
        <w:rPr>
          <w:rStyle w:val="Emphasis"/>
          <w:i w:val="0"/>
          <w:iCs w:val="0"/>
          <w:lang w:val="fr-FR"/>
        </w:rPr>
      </w:pPr>
      <w:r w:rsidRPr="00664D0A">
        <w:rPr>
          <w:rStyle w:val="Emphasis"/>
          <w:rFonts w:eastAsia="Times New Roman" w:cstheme="majorBidi"/>
          <w:i w:val="0"/>
          <w:iCs w:val="0"/>
          <w:szCs w:val="24"/>
          <w:lang w:val="fr-FR" w:eastAsia="fr-FR"/>
        </w:rPr>
        <w:br w:type="page"/>
      </w:r>
    </w:p>
    <w:p w14:paraId="4B96743E" w14:textId="2139186A" w:rsidR="00664D0A" w:rsidRPr="00665FE5" w:rsidRDefault="00664D0A" w:rsidP="00665FE5">
      <w:pPr>
        <w:pStyle w:val="Heading1"/>
        <w:rPr>
          <w:rFonts w:eastAsiaTheme="minorBidi"/>
        </w:rPr>
      </w:pPr>
      <w:bookmarkStart w:id="56" w:name="_Toc229618788"/>
      <w:r w:rsidRPr="00664D0A">
        <w:rPr>
          <w:rFonts w:eastAsiaTheme="minorBidi"/>
        </w:rPr>
        <w:lastRenderedPageBreak/>
        <w:t>1/Définition la phytothérapie :</w:t>
      </w:r>
      <w:bookmarkEnd w:id="56"/>
    </w:p>
    <w:p w14:paraId="65F64E48" w14:textId="77777777" w:rsidR="00664D0A" w:rsidRPr="00664D0A" w:rsidRDefault="00664D0A" w:rsidP="00B139C3">
      <w:pPr>
        <w:rPr>
          <w:lang w:val="fr-FR"/>
        </w:rPr>
      </w:pPr>
      <w:r w:rsidRPr="00664D0A">
        <w:rPr>
          <w:lang w:val="fr-FR"/>
        </w:rPr>
        <w:t>La phytothérapie est une pratique qui utilise les plantes médicinales et leurs extraits pour prévenir ou traiter diverses maladies. Elle se base sur l'utilisation des principes actifs naturels présents dans les différentes parties des plantes, comme les feuilles, les racines, les fleurs, les graines ou les écorces.</w:t>
      </w:r>
    </w:p>
    <w:p w14:paraId="3525FF3E" w14:textId="0F4649EA" w:rsidR="00664D0A" w:rsidRPr="00664D0A" w:rsidRDefault="00664D0A" w:rsidP="009C7487">
      <w:pPr>
        <w:rPr>
          <w:lang w:val="fr-FR"/>
        </w:rPr>
      </w:pPr>
      <w:r w:rsidRPr="00664D0A">
        <w:rPr>
          <w:lang w:val="fr-FR"/>
        </w:rPr>
        <w:t>Cette approche thérapeutique fait partie de la médecine traditionnelle et moderne. Dans la médecine moderne, les substances d'origine végétale sont étudiées pour démontrer leur efficacité et leur sécurité.</w:t>
      </w:r>
      <w:r w:rsidR="009C7487">
        <w:rPr>
          <w:lang w:val="fr-FR"/>
        </w:rPr>
        <w:fldChar w:fldCharType="begin"/>
      </w:r>
      <w:r w:rsidR="00116A61">
        <w:rPr>
          <w:lang w:val="fr-FR"/>
        </w:rPr>
        <w:instrText xml:space="preserve"> ADDIN ZOTERO_ITEM CSL_CITATION {"citationID":"nqkgH9Zo","properties":{"unsorted":false,"formattedCitation":"(79)","plainCitation":"(79)","noteIndex":0},"citationItems":[{"id":"6VBx8p83/t8tBLiSG","uris":["http://zotero.org/users/local/xPnoPzR4/items/42YBA5NH"],"itemData":{"id":380,"type":"article-journal","abstract":"Herbal Medicine: Connecting Traditional Knowledge with Modern Pharmacology, Rahul Nair","container-title":"Journal of Basic and Clinical Pharmacy","issue":"3","language":"en","publisher":"Pulsus Group","source":"www.jbclinpharm.org","title":"Herbal Medicine: Connecting Traditional Knowledge with Modern Pharmacology","title-short":"Herbal Medicine","URL":"https://www.jbclinpharm.org/abstract/","volume":"15","author":[{"family":"Nair","given":"Rahul"}],"accessed":{"date-parts":[["2026",5,14]]},"issued":{"date-parts":[["2024",6,21]]}}}],"schema":"https://github.com/citation-style-language/schema/raw/master/csl-citation.json"} </w:instrText>
      </w:r>
      <w:r w:rsidR="009C7487">
        <w:rPr>
          <w:lang w:val="fr-FR"/>
        </w:rPr>
        <w:fldChar w:fldCharType="separate"/>
      </w:r>
      <w:r w:rsidR="009C7487" w:rsidRPr="009C7487">
        <w:rPr>
          <w:rFonts w:ascii="Times New Roman" w:hAnsi="Times New Roman" w:cs="Times New Roman"/>
          <w:lang w:val="fr-FR"/>
        </w:rPr>
        <w:t>(79)</w:t>
      </w:r>
      <w:r w:rsidR="009C7487">
        <w:rPr>
          <w:lang w:val="fr-FR"/>
        </w:rPr>
        <w:fldChar w:fldCharType="end"/>
      </w:r>
    </w:p>
    <w:p w14:paraId="0DBDB442" w14:textId="0C30E573" w:rsidR="00664D0A" w:rsidRPr="00664D0A" w:rsidRDefault="00664D0A" w:rsidP="009C7487">
      <w:pPr>
        <w:rPr>
          <w:lang w:val="fr-FR"/>
        </w:rPr>
      </w:pPr>
      <w:r w:rsidRPr="00664D0A">
        <w:rPr>
          <w:lang w:val="fr-FR"/>
        </w:rPr>
        <w:t>Aujourd'hui, la phytothérapie est considérée comme une branche importante de la médecine complémentaire et intégrative. Elle repose sur l'utilisation de préparations végétales sous différentes formes, comme les extraits, les infusions, les poudres ou les teintures.</w:t>
      </w:r>
      <w:r w:rsidR="009C7487">
        <w:rPr>
          <w:lang w:val="fr-FR"/>
        </w:rPr>
        <w:fldChar w:fldCharType="begin"/>
      </w:r>
      <w:r w:rsidR="00116A61">
        <w:rPr>
          <w:lang w:val="fr-FR"/>
        </w:rPr>
        <w:instrText xml:space="preserve"> ADDIN ZOTERO_ITEM CSL_CITATION {"citationID":"5pdDZd5r","properties":{"unsorted":false,"formattedCitation":"(80)","plainCitation":"(80)","noteIndex":0},"citationItems":[{"id":"6VBx8p83/gc7fe9b0","uris":["http://zotero.org/users/local/xPnoPzR4/items/C58AN5J4"],"itemData":{"id":28,"type":"article-journal","abstract":"With the ever-increasing popularity and extensive usage of phytotherapy all over the globe, it has now become absolutely necessary to ensure its efficacy, toxicity and adverse effects on the basis of suitable scientific evidence, and to put proper measures in place to regulate practice of phytotherapy as well as phytotherapeutic products. Before getting into the nitty-gritty of evidence-based phytotherapy, let us quickly remind ourselves of the definition of phytotherapy. Simply, phytotherapy, the term first introduced by the French physician Henri Leclerc in 1993, is the plant-based therapy or medical practice that is offered to treat and/or prevent various human diseases.","container-title":"Trends in Phytochemical Research","ISSN":"2588-3631","issue":"3","language":"en","page":"125-126","source":"oiccpress.com","title":"Evidence-based phytotherapy: what, why and how?","title-short":"Evidence-based phytotherapy","volume":"2","author":[{"family":"Sarker","given":"Satyajit","dropping-particle":"d"},{"family":"Nahar","given":"Lutfun"}],"issued":{"date-parts":[["2018",9,1]]}}}],"schema":"https://github.com/citation-style-language/schema/raw/master/csl-citation.json"} </w:instrText>
      </w:r>
      <w:r w:rsidR="009C7487">
        <w:rPr>
          <w:lang w:val="fr-FR"/>
        </w:rPr>
        <w:fldChar w:fldCharType="separate"/>
      </w:r>
      <w:r w:rsidR="009C7487" w:rsidRPr="009C7487">
        <w:rPr>
          <w:rFonts w:ascii="Times New Roman" w:hAnsi="Times New Roman" w:cs="Times New Roman"/>
          <w:lang w:val="fr-FR"/>
        </w:rPr>
        <w:t>(80)</w:t>
      </w:r>
      <w:r w:rsidR="009C7487">
        <w:rPr>
          <w:lang w:val="fr-FR"/>
        </w:rPr>
        <w:fldChar w:fldCharType="end"/>
      </w:r>
    </w:p>
    <w:p w14:paraId="41B90D6F" w14:textId="50D7B7C2" w:rsidR="00664D0A" w:rsidRPr="00664D0A" w:rsidRDefault="00664D0A" w:rsidP="009C7487">
      <w:pPr>
        <w:rPr>
          <w:lang w:val="fr-FR"/>
        </w:rPr>
      </w:pPr>
      <w:r w:rsidRPr="00664D0A">
        <w:rPr>
          <w:lang w:val="fr-FR"/>
        </w:rPr>
        <w:t>La phytothérapie se distingue par l'utilisation de tous les composés bioactifs présents dans la plante. Ces composés peuvent agir de manière synergique. Le développement actuel de la phytothérapie s'appuie sur les données de la recherche scientifique. Les scientifiques cherchent à mieux comprendre les mécanismes d'action, les indications thérapeutiques et les limites de ces traitements.</w:t>
      </w:r>
      <w:r w:rsidR="009C7487">
        <w:rPr>
          <w:lang w:val="fr-FR"/>
        </w:rPr>
        <w:fldChar w:fldCharType="begin"/>
      </w:r>
      <w:r w:rsidR="00116A61">
        <w:rPr>
          <w:lang w:val="fr-FR"/>
        </w:rPr>
        <w:instrText xml:space="preserve"> ADDIN ZOTERO_ITEM CSL_CITATION {"citationID":"5Tl5bl8n","properties":{"unsorted":false,"formattedCitation":"(81,82)","plainCitation":"(81,82)","noteIndex":0},"citationItems":[{"id":"6VBx8p83/XU0CpMJf","uris":["http://zotero.org/users/local/xPnoPzR4/items/K4CDCQWV"],"itemData":{"id":378,"type":"webpage","abstract":"Traditional and complementary medicine (T&amp;CM) is an important and often underestimated health resource with many applications, especially in the prevention and management of lifestyle-related chronic diseases, and in meeting the health needs of ageing populations. Many countries are seeking to expand coverage of essential health services at a time when consumer expectations for care are rising, costs are soaring, and most budgets are either stagnant or being reduced. Given the unique health challenges of the 21st century, interest in T&amp;CM is undergoing a revival. Monitoring health trends is a core function of the World Health Organization (WHO) and is key to supporting countries in generating evidence-based policies and strategic plans.","language":"en","title":"WHO global report on traditional and complementary medicine 2019","URL":"https://www.who.int/publications/i/item/978924151536","accessed":{"date-parts":[["2026",5,14]]}}},{"id":"6VBx8p83/TQtH3xTV","uris":["http://zotero.org/users/local/xPnoPzR4/items/DZCUF4JB"],"itemData":{"id":31,"type":"webpage","title":"Phytotherapy | Herbal Medicine &amp; Natural Remedies | Britannica","URL":"https://www.britannica.com/science/phytotherapy?utm_source=chatgpt.com","accessed":{"date-parts":[["2026",3,9]]}}}],"schema":"https://github.com/citation-style-language/schema/raw/master/csl-citation.json"} </w:instrText>
      </w:r>
      <w:r w:rsidR="009C7487">
        <w:rPr>
          <w:lang w:val="fr-FR"/>
        </w:rPr>
        <w:fldChar w:fldCharType="separate"/>
      </w:r>
      <w:r w:rsidR="009C7487" w:rsidRPr="009C7487">
        <w:rPr>
          <w:rFonts w:ascii="Times New Roman" w:hAnsi="Times New Roman" w:cs="Times New Roman"/>
          <w:lang w:val="fr-FR"/>
        </w:rPr>
        <w:t>(81,82)</w:t>
      </w:r>
      <w:r w:rsidR="009C7487">
        <w:rPr>
          <w:lang w:val="fr-FR"/>
        </w:rPr>
        <w:fldChar w:fldCharType="end"/>
      </w:r>
    </w:p>
    <w:p w14:paraId="4345E4B6" w14:textId="5A2FAC56" w:rsidR="00664D0A" w:rsidRPr="00665FE5" w:rsidRDefault="00664D0A" w:rsidP="00665FE5">
      <w:pPr>
        <w:pStyle w:val="Heading1"/>
        <w:rPr>
          <w:rFonts w:eastAsiaTheme="minorBidi"/>
        </w:rPr>
      </w:pPr>
      <w:bookmarkStart w:id="57" w:name="_Toc229618789"/>
      <w:r w:rsidRPr="00664D0A">
        <w:rPr>
          <w:rFonts w:eastAsiaTheme="minorBidi"/>
        </w:rPr>
        <w:t xml:space="preserve">2/Historique de la </w:t>
      </w:r>
      <w:proofErr w:type="gramStart"/>
      <w:r w:rsidRPr="00664D0A">
        <w:rPr>
          <w:rFonts w:eastAsiaTheme="minorBidi"/>
        </w:rPr>
        <w:t>phytothérapie:</w:t>
      </w:r>
      <w:bookmarkEnd w:id="57"/>
      <w:proofErr w:type="gramEnd"/>
    </w:p>
    <w:p w14:paraId="6B63F59A" w14:textId="0F13B992" w:rsidR="00664D0A" w:rsidRPr="00664D0A" w:rsidRDefault="00664D0A" w:rsidP="009C7487">
      <w:pPr>
        <w:rPr>
          <w:lang w:val="fr-FR"/>
        </w:rPr>
      </w:pPr>
      <w:r w:rsidRPr="00664D0A">
        <w:rPr>
          <w:lang w:val="fr-FR"/>
        </w:rPr>
        <w:t>L'usage des végétaux à des fins thérapeutiques est une pratique médicinale très ancienne. Depuis la préhistoire, les humains ont utilisé les ressources végétales de leur environnement pour traiter diverses affections, en s'appuyant sur des observations et un savoir transmis de génération en génération. Cela a permis de développer un ensemble de connaissances médicales basées sur les propriétés curatives de nombreuses espèces végétales. Aujourd'hui, les plantes médicinales sont encore une source importante pour les systèmes de santé dans le monde entier.</w:t>
      </w:r>
      <w:r w:rsidR="009C7487">
        <w:rPr>
          <w:lang w:val="fr-FR"/>
        </w:rPr>
        <w:fldChar w:fldCharType="begin"/>
      </w:r>
      <w:r w:rsidR="00116A61">
        <w:rPr>
          <w:lang w:val="fr-FR"/>
        </w:rPr>
        <w:instrText xml:space="preserve"> ADDIN ZOTERO_ITEM CSL_CITATION {"citationID":"b7vUMNWH","properties":{"unsorted":false,"formattedCitation":"(83)","plainCitation":"(83)","noteIndex":0},"citationItems":[{"id":"6VBx8p83/ZwS4ZqYA","uris":["http://zotero.org/users/local/xPnoPzR4/items/3QWKIF6T"],"itemData":{"id":37,"type":"article-journal","abstract":"Human societies have been in close contact with their environments since the beginning of their formation and used the ingredients of the environment to obtain food and medicine. Awareness and application of plants to prepare food and medicine have been realized through trial and error, and gradually human became able to meet his needs from his surroundings. Information about medicinal plants has long been transmitted gradually and from generation to generation, a human knowledge has gradually become complete with the formation of civilizations and the provision of more facilities. Medicinal plants are used as a medical resource in almost all cultures. Ensuring the safety, quality and effectiveness of medicinal plants and herbal drugs very recently became a key issue in industrialized and developing countries. By standardizing and evaluating the health of active plant-derived compounds, herbal drugs can help the emergence of a new era of the healthcare system to treat human diseases in the future. Awareness of traditional knowledge and medicinal plants can play a key role in the exploitation and discovery of natural plant resources. In order to maintain this knowledge, comprehensive approach and collaboration are needed to maintain historical records on medicinal plants and use these resources in favour of human beings, before they are destroyed forever. Therefore, this review was conducted to investigate and describe the process of using medicinal plants throughout history. This review focuses on the recent various important challenges in quality evaluation of medicinal plants in the authenticity, efficacy, toxicity and consistency.","container-title":"Journal of Herbmed Pharmacology","DOI":"10.15171/jhp.2018.01","ISSN":"2345-5004","issue":"1","journalAbbreviation":"J Herbmed Pharmacol","language":"en","page":"1-7","publisher":"Shahrekord University of Medical Sciences","source":"www.herbmedpharmacol.com","title":"Medicinal plants: Past history and future perspective","title-short":"Medicinal plants","volume":"7","author":[{"family":"Jamshidi-Kia","given":"Fatemeh"},{"family":"Lorigooini","given":"Zahra"},{"family":"Amini-Khoei","given":"Hossein"}],"issued":{"date-parts":[["2017",12,29]]}}}],"schema":"https://github.com/citation-style-language/schema/raw/master/csl-citation.json"} </w:instrText>
      </w:r>
      <w:r w:rsidR="009C7487">
        <w:rPr>
          <w:lang w:val="fr-FR"/>
        </w:rPr>
        <w:fldChar w:fldCharType="separate"/>
      </w:r>
      <w:r w:rsidR="009C7487" w:rsidRPr="009C7487">
        <w:rPr>
          <w:rFonts w:ascii="Times New Roman" w:hAnsi="Times New Roman" w:cs="Times New Roman"/>
          <w:lang w:val="fr-FR"/>
        </w:rPr>
        <w:t>(83)</w:t>
      </w:r>
      <w:r w:rsidR="009C7487">
        <w:rPr>
          <w:lang w:val="fr-FR"/>
        </w:rPr>
        <w:fldChar w:fldCharType="end"/>
      </w:r>
    </w:p>
    <w:p w14:paraId="74D20CD4" w14:textId="1D506C24" w:rsidR="00664D0A" w:rsidRPr="00664D0A" w:rsidRDefault="00664D0A" w:rsidP="009C7487">
      <w:pPr>
        <w:rPr>
          <w:lang w:val="fr-FR"/>
        </w:rPr>
      </w:pPr>
      <w:r w:rsidRPr="00664D0A">
        <w:rPr>
          <w:lang w:val="fr-FR"/>
        </w:rPr>
        <w:t>En effet, dans les grandes civilisations antiques, la phytothérapie occupait une place importante dans les pratiques de soins. Par exemple, dans l'Egypte ancienne, de nombreuses plantes étaient utilisées pour traiter diverses pathologies, comme indiqué dans des textes tels que le Papyrus d'Ebers. La médecine traditionnelle chinoise et l'approche ayurvédique indienne ont également développé des pharmacopées riches, basées sur les végétaux. Ces systèmes thérapeutiques ont structuré l'application médicinale des plantes et ont influencé les pratiques sanitaires à l'échelle mondiale.</w:t>
      </w:r>
      <w:r w:rsidR="009C7487">
        <w:rPr>
          <w:lang w:val="fr-FR"/>
        </w:rPr>
        <w:fldChar w:fldCharType="begin"/>
      </w:r>
      <w:r w:rsidR="00116A61">
        <w:rPr>
          <w:lang w:val="fr-FR"/>
        </w:rPr>
        <w:instrText xml:space="preserve"> ADDIN ZOTERO_ITEM CSL_CITATION {"citationID":"CgInHBjz","properties":{"unsorted":false,"formattedCitation":"(84)","plainCitation":"(84)","noteIndex":0},"citationItems":[{"id":"6VBx8p83/1SpPrR6h","uris":["http://zotero.org/users/local/xPnoPzR4/items/2NDFZWXP"],"itemData":{"id":39,"type":"webpage","title":"Frontiers | The growing use of herbal medicines: issues relating to adverse reactions and challenges in monitoring safety","URL":"https://www.frontiersin.org/journals/pharmacology/articles/10.3389/fphar.2013.00177/full","accessed":{"date-parts":[["2026",3,10]]}}}],"schema":"https://github.com/citation-style-language/schema/raw/master/csl-citation.json"} </w:instrText>
      </w:r>
      <w:r w:rsidR="009C7487">
        <w:rPr>
          <w:lang w:val="fr-FR"/>
        </w:rPr>
        <w:fldChar w:fldCharType="separate"/>
      </w:r>
      <w:r w:rsidR="009C7487" w:rsidRPr="009C7487">
        <w:rPr>
          <w:rFonts w:ascii="Times New Roman" w:hAnsi="Times New Roman" w:cs="Times New Roman"/>
          <w:lang w:val="fr-FR"/>
        </w:rPr>
        <w:t>(84)</w:t>
      </w:r>
      <w:r w:rsidR="009C7487">
        <w:rPr>
          <w:lang w:val="fr-FR"/>
        </w:rPr>
        <w:fldChar w:fldCharType="end"/>
      </w:r>
    </w:p>
    <w:p w14:paraId="394312D5" w14:textId="77777777" w:rsidR="00664D0A" w:rsidRPr="00664D0A" w:rsidRDefault="00664D0A" w:rsidP="00B139C3">
      <w:pPr>
        <w:rPr>
          <w:lang w:val="fr-FR"/>
        </w:rPr>
      </w:pPr>
      <w:r w:rsidRPr="00664D0A">
        <w:rPr>
          <w:lang w:val="fr-FR"/>
        </w:rPr>
        <w:t xml:space="preserve">Au cours de l'Antiquité gréco-romaine, la phytothérapie a connu un essor notable. Des médecins tels qu'Hippocrate </w:t>
      </w:r>
      <w:proofErr w:type="gramStart"/>
      <w:r w:rsidRPr="00664D0A">
        <w:rPr>
          <w:lang w:val="fr-FR"/>
        </w:rPr>
        <w:t>ont</w:t>
      </w:r>
      <w:proofErr w:type="gramEnd"/>
      <w:r w:rsidRPr="00664D0A">
        <w:rPr>
          <w:lang w:val="fr-FR"/>
        </w:rPr>
        <w:t xml:space="preserve"> contribué à son développement. Discorde a répertorié un grand nombre de végétaux utilisés dans le soin. Plus tard, les érudits de la médecine arabe et persane, notamment Avicenne, ont enrichi ce savoir en intégrant les connaissances grecques, persanes et orientales dans leurs ouvrages</w:t>
      </w:r>
    </w:p>
    <w:p w14:paraId="5D364BEB" w14:textId="4DAF573A" w:rsidR="00664D0A" w:rsidRPr="00664D0A" w:rsidRDefault="00664D0A" w:rsidP="009C7487">
      <w:pPr>
        <w:rPr>
          <w:lang w:val="fr-FR"/>
        </w:rPr>
      </w:pPr>
      <w:r w:rsidRPr="00664D0A">
        <w:rPr>
          <w:lang w:val="fr-FR"/>
        </w:rPr>
        <w:t xml:space="preserve">À partir de la Renaissance, l'étude des plantes médicinales a été progressivement intégrée aux disciplines de la pharmacologie et de la pharmacognosie. Les avancées de la chimie ont permis l'isolation de principes actifs d'origine végétale, tels que la morphine, la quinine ou la digitaline. Cela a ouvert la voie au développement de nombreux médicaments modernes. </w:t>
      </w:r>
      <w:r w:rsidR="009C7487">
        <w:rPr>
          <w:lang w:val="fr-FR"/>
        </w:rPr>
        <w:fldChar w:fldCharType="begin"/>
      </w:r>
      <w:r w:rsidR="00116A61">
        <w:rPr>
          <w:lang w:val="fr-FR"/>
        </w:rPr>
        <w:instrText xml:space="preserve"> ADDIN ZOTERO_ITEM CSL_CITATION {"citationID":"Iyk8WqAp","properties":{"unsorted":false,"formattedCitation":"(85)","plainCitation":"(85)","noteIndex":0},"citationItems":[{"id":"6VBx8p83/50ZFLBG3","uris":["http://zotero.org/users/local/xPnoPzR4/items/YKWMK6S6"],"itemData":{"id":40,"type":"article-journal","abstract":"Phytotherapy is the science that deals with the treatment and prevention of diseases through medicinal plants and herbal products. The use of herbs as medicine is the oldest form of healthcare known to humanity and has been used in all cultures throughout history. It is known that even today over 80% of the world population depends on herbal medicines. The quality of herbal medicines is believed to be directly related to its active principles, but herbal medicines can be variable in their composition. Therefore, it is necessary to use an extract that is well defined in its chemical composition and in the quantity of specific active principles; and actually, to obtain constant efficacy and safety, standardized medicinal plant extracts are being used. Clinically confirmed efficacy and best tolerability and safety of standardized or quantified medicinal plant extracts are the key for a successful phytotherapic approach.","container-title":"Journal of the Siena Academy of Sciences","DOI":"10.4081/jsas.2018.8529","ISSN":"2279-8811","issue":"1","language":"en","license":"Copyright (c) 2019 Elisabetta Miraldi, Giulia Baini","source":"www.pagepressjournals.org","title":"MEDICINAL PLANTS AND HEALTH IN HUMAN HISTORY: FROM EMPIRICAL USE TO MODERN PHYTOTHERAPY","title-short":"MEDICINAL PLANTS AND HEALTH IN HUMAN HISTORY","URL":"https://www.pagepressjournals.org/jsas/article/view/8529","volume":"10","author":[{"family":"Miraldi","given":"Elisabetta"},{"family":"Baini","given":"Giulia"}],"accessed":{"date-parts":[["2026",3,10]]},"issued":{"date-parts":[["2018"]]}}}],"schema":"https://github.com/citation-style-language/schema/raw/master/csl-citation.json"} </w:instrText>
      </w:r>
      <w:r w:rsidR="009C7487">
        <w:rPr>
          <w:lang w:val="fr-FR"/>
        </w:rPr>
        <w:fldChar w:fldCharType="separate"/>
      </w:r>
      <w:r w:rsidR="009C7487" w:rsidRPr="009C7487">
        <w:rPr>
          <w:rFonts w:ascii="Times New Roman" w:hAnsi="Times New Roman" w:cs="Times New Roman"/>
          <w:lang w:val="fr-FR"/>
        </w:rPr>
        <w:t>(85)</w:t>
      </w:r>
      <w:r w:rsidR="009C7487">
        <w:rPr>
          <w:lang w:val="fr-FR"/>
        </w:rPr>
        <w:fldChar w:fldCharType="end"/>
      </w:r>
    </w:p>
    <w:p w14:paraId="070B6EB6" w14:textId="75FDA442" w:rsidR="00664D0A" w:rsidRPr="00664D0A" w:rsidRDefault="00664D0A" w:rsidP="009C7487">
      <w:pPr>
        <w:rPr>
          <w:lang w:val="fr-FR"/>
        </w:rPr>
      </w:pPr>
      <w:r w:rsidRPr="00664D0A">
        <w:rPr>
          <w:lang w:val="fr-FR"/>
        </w:rPr>
        <w:lastRenderedPageBreak/>
        <w:t>L’histoire de la metformine remonte au Moyen Âge, période au cours de laquelle la Galegaofficinalis (lilas français) était employée de manière empirique. Cette plante était alors associée à une atténuation de certains signes du « diabète sucré », notamment la polydipsie. Une étape décisive vers une compréhension scientifique a été franchie en 1918, lorsque Georges Tanret est parvenu à en isoler le principe actif, la galégine. Si ce résultat a conforté l’hypothèse d’un effet hypoglycémiant, la toxicité notable de la molécule à l’état pur en limitait la transposition clinique, ce qui a conduit à rechercher des composés présentant un profil de sécurité plus favorable.</w:t>
      </w:r>
      <w:r w:rsidR="009C7487">
        <w:rPr>
          <w:lang w:val="fr-FR"/>
        </w:rPr>
        <w:fldChar w:fldCharType="begin"/>
      </w:r>
      <w:r w:rsidR="00116A61">
        <w:rPr>
          <w:lang w:val="fr-FR"/>
        </w:rPr>
        <w:instrText xml:space="preserve"> ADDIN ZOTERO_ITEM CSL_CITATION {"citationID":"wuYpXsFc","properties":{"unsorted":false,"formattedCitation":"(86)","plainCitation":"(86)","noteIndex":0},"citationItems":[{"id":"6VBx8p83/xs3AfvpC","uris":["http://zotero.org/users/local/xPnoPzR4/items/ZKRV4GFH"],"itemData":{"id":42,"type":"webpage","title":"Historical review of medicinal plants’ usage - PMC","URL":"https://pmc.ncbi.nlm.nih.gov/articles/PMC3358962/","accessed":{"date-parts":[["2026",3,10]]}}}],"schema":"https://github.com/citation-style-language/schema/raw/master/csl-citation.json"} </w:instrText>
      </w:r>
      <w:r w:rsidR="009C7487">
        <w:rPr>
          <w:lang w:val="fr-FR"/>
        </w:rPr>
        <w:fldChar w:fldCharType="separate"/>
      </w:r>
      <w:r w:rsidR="009C7487" w:rsidRPr="009C7487">
        <w:rPr>
          <w:rFonts w:ascii="Times New Roman" w:hAnsi="Times New Roman" w:cs="Times New Roman"/>
          <w:lang w:val="fr-FR"/>
        </w:rPr>
        <w:t>(86)</w:t>
      </w:r>
      <w:r w:rsidR="009C7487">
        <w:rPr>
          <w:lang w:val="fr-FR"/>
        </w:rPr>
        <w:fldChar w:fldCharType="end"/>
      </w:r>
    </w:p>
    <w:p w14:paraId="5CA2E4A7" w14:textId="34F6D812" w:rsidR="00664D0A" w:rsidRPr="00664D0A" w:rsidRDefault="00664D0A" w:rsidP="009C7487">
      <w:pPr>
        <w:rPr>
          <w:lang w:val="fr-FR"/>
        </w:rPr>
      </w:pPr>
      <w:r w:rsidRPr="00664D0A">
        <w:rPr>
          <w:lang w:val="fr-FR"/>
        </w:rPr>
        <w:t>Dans cette perspective, les travaux se sont réorientés vers la synthèse de dérivés supposés moins toxiques, aboutissant à l’émergence des biguanides à partir de 1922. Il a toutefois fallu attendre 1957 pour que le clinicien Jean Sterne mette de nouveau en évidence l’intérêt du diméthylbiguanide, qu’il désignera sous le nom de « Glucophage ». À l’heure actuelle, la metformine est largement considérée comme le traitement de première intention du diabète de type 2, illustrant l’apport durable de l’exploration des métabolites d’origine végétale à la mise au point de thérapeutiques contemporaines.</w:t>
      </w:r>
      <w:r w:rsidR="009C7487">
        <w:rPr>
          <w:lang w:val="fr-FR"/>
        </w:rPr>
        <w:fldChar w:fldCharType="begin"/>
      </w:r>
      <w:r w:rsidR="00116A61">
        <w:rPr>
          <w:lang w:val="fr-FR"/>
        </w:rPr>
        <w:instrText xml:space="preserve"> ADDIN ZOTERO_ITEM CSL_CITATION {"citationID":"RCiyoC4O","properties":{"unsorted":false,"formattedCitation":"(84)","plainCitation":"(84)","noteIndex":0},"citationItems":[{"id":"6VBx8p83/1SpPrR6h","uris":["http://zotero.org/users/local/xPnoPzR4/items/2NDFZWXP"],"itemData":{"id":39,"type":"webpage","title":"Frontiers | The growing use of herbal medicines: issues relating to adverse reactions and challenges in monitoring safety","URL":"https://www.frontiersin.org/journals/pharmacology/articles/10.3389/fphar.2013.00177/full","accessed":{"date-parts":[["2026",3,10]]}}}],"schema":"https://github.com/citation-style-language/schema/raw/master/csl-citation.json"} </w:instrText>
      </w:r>
      <w:r w:rsidR="009C7487">
        <w:rPr>
          <w:lang w:val="fr-FR"/>
        </w:rPr>
        <w:fldChar w:fldCharType="separate"/>
      </w:r>
      <w:r w:rsidR="009C7487" w:rsidRPr="009C7487">
        <w:rPr>
          <w:rFonts w:ascii="Times New Roman" w:hAnsi="Times New Roman" w:cs="Times New Roman"/>
          <w:lang w:val="fr-FR"/>
        </w:rPr>
        <w:t>(84)</w:t>
      </w:r>
      <w:r w:rsidR="009C7487">
        <w:rPr>
          <w:lang w:val="fr-FR"/>
        </w:rPr>
        <w:fldChar w:fldCharType="end"/>
      </w:r>
    </w:p>
    <w:p w14:paraId="702ABEC5" w14:textId="77777777" w:rsidR="00664D0A" w:rsidRPr="00664D0A" w:rsidRDefault="00664D0A" w:rsidP="00B139C3">
      <w:pPr>
        <w:rPr>
          <w:lang w:val="fr-FR"/>
        </w:rPr>
      </w:pPr>
      <w:r w:rsidRPr="00664D0A">
        <w:rPr>
          <w:lang w:val="fr-FR"/>
        </w:rPr>
        <w:t>Actuellement, la phytothérapie fait l'objet de recherches scientifiques approfondies visant à évaluer l'efficacité, la sécurité et les mécanismes d'action des composés bioactifs végétaux. Une proportion significative de la population mondiale utilise encore les plantes médicinales comme première ligne de soins. Les recherches actuelles visent à combiner les savoirs ancestraux avec les méthodologies scientifiques contemporaines pour élaborer de nouvelles stratégies thérapeutiques basées sur le potentiel végétal. Les plantes médicinales demeurent une source précieuse pour les systèmes de santé dans le monde entier.</w:t>
      </w:r>
    </w:p>
    <w:p w14:paraId="32E57F2F" w14:textId="29DB2914" w:rsidR="00664D0A" w:rsidRPr="00664D0A" w:rsidRDefault="008758B6" w:rsidP="00665FE5">
      <w:pPr>
        <w:pStyle w:val="Heading1"/>
        <w:rPr>
          <w:rFonts w:eastAsia="Calibri"/>
        </w:rPr>
      </w:pPr>
      <w:bookmarkStart w:id="58" w:name="_Toc229618790"/>
      <w:r>
        <w:rPr>
          <w:rFonts w:eastAsia="Calibri"/>
        </w:rPr>
        <w:t>3/</w:t>
      </w:r>
      <w:r w:rsidR="00664D0A" w:rsidRPr="00664D0A">
        <w:rPr>
          <w:rFonts w:eastAsia="Calibri"/>
        </w:rPr>
        <w:t>Le positionnement de OMS :</w:t>
      </w:r>
      <w:bookmarkEnd w:id="58"/>
    </w:p>
    <w:p w14:paraId="294CEC0B" w14:textId="34B15D80" w:rsidR="00664D0A" w:rsidRPr="00664D0A" w:rsidRDefault="00664D0A" w:rsidP="009C7487">
      <w:pPr>
        <w:rPr>
          <w:rFonts w:eastAsia="Times New Roman"/>
          <w:lang w:val="fr-FR"/>
        </w:rPr>
      </w:pPr>
      <w:r w:rsidRPr="00664D0A">
        <w:rPr>
          <w:rFonts w:eastAsia="Times New Roman"/>
          <w:lang w:val="fr-FR"/>
        </w:rPr>
        <w:t>L’Organisation mondiale de la Santé (OMS) joue un rôle prépondérant dans l’encadrement de la phytothérapie à l'échelle globale. Son action se structure autour de trois piliers</w:t>
      </w:r>
      <w:r w:rsidR="009C7487">
        <w:rPr>
          <w:rFonts w:eastAsia="Times New Roman"/>
          <w:lang w:val="fr-FR"/>
        </w:rPr>
        <w:fldChar w:fldCharType="begin"/>
      </w:r>
      <w:r w:rsidR="00116A61">
        <w:rPr>
          <w:rFonts w:eastAsia="Times New Roman"/>
          <w:lang w:val="fr-FR"/>
        </w:rPr>
        <w:instrText xml:space="preserve"> ADDIN ZOTERO_ITEM CSL_CITATION {"citationID":"PQYZLCOt","properties":{"unsorted":false,"formattedCitation":"(87)","plainCitation":"(87)","noteIndex":0},"citationItems":[{"id":"6VBx8p83/OSpDivAK","uris":["http://zotero.org/users/local/xPnoPzR4/items/VRC24ALE"],"itemData":{"id":63,"type":"webpage","abstract":"The guidelines focus on the current major debates on safety and efficacy of traditional medicine, and are intended to raise and answer some challenging questions concerning the evidence base. They also clarify certain commonly used but unclear definitions.","language":"en","title":"General guidelines for methodologies on research and evaluation of traditional medicine","URL":"https://www.who.int/publications/i/item/9789241506090","accessed":{"date-parts":[["2026",4,29]]}}}],"schema":"https://github.com/citation-style-language/schema/raw/master/csl-citation.json"} </w:instrText>
      </w:r>
      <w:r w:rsidR="009C7487">
        <w:rPr>
          <w:rFonts w:eastAsia="Times New Roman"/>
          <w:lang w:val="fr-FR"/>
        </w:rPr>
        <w:fldChar w:fldCharType="separate"/>
      </w:r>
      <w:r w:rsidR="009C7487" w:rsidRPr="009C7487">
        <w:rPr>
          <w:rFonts w:ascii="Times New Roman" w:hAnsi="Times New Roman" w:cs="Times New Roman"/>
          <w:lang w:val="fr-FR"/>
        </w:rPr>
        <w:t>(87)</w:t>
      </w:r>
      <w:r w:rsidR="009C7487">
        <w:rPr>
          <w:rFonts w:eastAsia="Times New Roman"/>
          <w:lang w:val="fr-FR"/>
        </w:rPr>
        <w:fldChar w:fldCharType="end"/>
      </w:r>
      <w:r w:rsidRPr="00664D0A">
        <w:rPr>
          <w:rFonts w:eastAsia="Times New Roman"/>
          <w:lang w:val="fr-FR"/>
        </w:rPr>
        <w:t xml:space="preserve"> fondamentaux : </w:t>
      </w:r>
    </w:p>
    <w:p w14:paraId="07081DCB" w14:textId="77777777" w:rsidR="00664D0A" w:rsidRPr="00664D0A" w:rsidRDefault="00664D0A" w:rsidP="001C2505">
      <w:pPr>
        <w:pStyle w:val="Heading2"/>
        <w:rPr>
          <w:rFonts w:eastAsia="Times New Roman"/>
        </w:rPr>
      </w:pPr>
      <w:bookmarkStart w:id="59" w:name="_Toc229618791"/>
      <w:r w:rsidRPr="00664D0A">
        <w:rPr>
          <w:rFonts w:eastAsia="Times New Roman"/>
        </w:rPr>
        <w:t>3-1. Politique sur la médecine traditionnelle</w:t>
      </w:r>
      <w:bookmarkEnd w:id="59"/>
    </w:p>
    <w:p w14:paraId="5D6BA646" w14:textId="77777777" w:rsidR="00664D0A" w:rsidRPr="00664D0A" w:rsidRDefault="00664D0A" w:rsidP="00B139C3">
      <w:pPr>
        <w:rPr>
          <w:rFonts w:eastAsia="Times New Roman"/>
          <w:lang w:val="fr-FR"/>
        </w:rPr>
      </w:pPr>
      <w:r w:rsidRPr="00664D0A">
        <w:rPr>
          <w:rFonts w:eastAsia="Times New Roman"/>
          <w:lang w:val="fr-FR"/>
        </w:rPr>
        <w:t>Depuis 2002, l’OMS encourage activement les pays membres à :</w:t>
      </w:r>
    </w:p>
    <w:p w14:paraId="05D6A7BF" w14:textId="77777777" w:rsidR="00664D0A" w:rsidRPr="00664D0A" w:rsidRDefault="00664D0A" w:rsidP="00B139C3">
      <w:pPr>
        <w:rPr>
          <w:rFonts w:eastAsia="Times New Roman"/>
          <w:lang w:val="fr-FR"/>
        </w:rPr>
      </w:pPr>
      <w:r w:rsidRPr="00664D0A">
        <w:rPr>
          <w:rFonts w:eastAsia="Times New Roman"/>
          <w:lang w:val="fr-FR"/>
        </w:rPr>
        <w:t>Reconnaître la médecine traditionnelle dans leurs politiques nationales de santé.</w:t>
      </w:r>
    </w:p>
    <w:p w14:paraId="16EDF579" w14:textId="77777777" w:rsidR="00664D0A" w:rsidRPr="00664D0A" w:rsidRDefault="00664D0A" w:rsidP="00B139C3">
      <w:pPr>
        <w:rPr>
          <w:rFonts w:eastAsia="Times New Roman"/>
          <w:lang w:val="fr-FR"/>
        </w:rPr>
      </w:pPr>
      <w:r w:rsidRPr="00664D0A">
        <w:rPr>
          <w:rFonts w:eastAsia="Times New Roman"/>
          <w:lang w:val="fr-FR"/>
        </w:rPr>
        <w:t>Réglementer les pratiques, assurer la formation, ainsi que la surveillance de la qualité, de l'efficacité et de la sécurité des plantes médicinales.</w:t>
      </w:r>
    </w:p>
    <w:p w14:paraId="41EEE771" w14:textId="14827D76" w:rsidR="00664D0A" w:rsidRPr="00664D0A" w:rsidRDefault="00664D0A" w:rsidP="009C7487">
      <w:pPr>
        <w:rPr>
          <w:rFonts w:eastAsia="Times New Roman"/>
          <w:lang w:val="fr-FR"/>
        </w:rPr>
      </w:pPr>
      <w:r w:rsidRPr="00664D0A">
        <w:rPr>
          <w:rFonts w:eastAsia="Times New Roman"/>
          <w:lang w:val="fr-FR"/>
        </w:rPr>
        <w:t>Cette approche permet de capitaliser sur le potentiel thérapeutique des plantes tout en garantissant un encadrement sécurisé. L'objectif est de favoriser une utilisation rationnelle à travers des politiques publiques qui transforment l'usage artisanal en une pratique médicalement enca</w:t>
      </w:r>
      <w:r w:rsidR="009C7487">
        <w:rPr>
          <w:rFonts w:eastAsia="Times New Roman"/>
          <w:lang w:val="fr-FR"/>
        </w:rPr>
        <w:t xml:space="preserve">drée </w:t>
      </w:r>
      <w:r w:rsidR="009C7487">
        <w:rPr>
          <w:rFonts w:eastAsia="Times New Roman"/>
          <w:lang w:val="fr-FR"/>
        </w:rPr>
        <w:fldChar w:fldCharType="begin"/>
      </w:r>
      <w:r w:rsidR="00116A61">
        <w:rPr>
          <w:rFonts w:eastAsia="Times New Roman"/>
          <w:lang w:val="fr-FR"/>
        </w:rPr>
        <w:instrText xml:space="preserve"> ADDIN ZOTERO_ITEM CSL_CITATION {"citationID":"c5o0yg1p","properties":{"unsorted":false,"formattedCitation":"(88)","plainCitation":"(88)","noteIndex":0},"citationItems":[{"id":"6VBx8p83/DtWXakTL","uris":["http://zotero.org/users/local/xPnoPzR4/items/BCKR46IA"],"itemData":{"id":65,"type":"webpage","abstract":"Publicaciones de la Organización Mundial de la Salud","language":"en","title":"WHO monographs on selected medicinal plants","URL":"https://www.who.int/publications/i/item/9241545178","accessed":{"date-parts":[["2026",4,29]]}}}],"schema":"https://github.com/citation-style-language/schema/raw/master/csl-citation.json"} </w:instrText>
      </w:r>
      <w:r w:rsidR="009C7487">
        <w:rPr>
          <w:rFonts w:eastAsia="Times New Roman"/>
          <w:lang w:val="fr-FR"/>
        </w:rPr>
        <w:fldChar w:fldCharType="separate"/>
      </w:r>
      <w:r w:rsidR="009C7487" w:rsidRPr="009C7487">
        <w:rPr>
          <w:rFonts w:ascii="Times New Roman" w:hAnsi="Times New Roman" w:cs="Times New Roman"/>
          <w:lang w:val="fr-FR"/>
        </w:rPr>
        <w:t>(88)</w:t>
      </w:r>
      <w:r w:rsidR="009C7487">
        <w:rPr>
          <w:rFonts w:eastAsia="Times New Roman"/>
          <w:lang w:val="fr-FR"/>
        </w:rPr>
        <w:fldChar w:fldCharType="end"/>
      </w:r>
    </w:p>
    <w:p w14:paraId="0531B4A5" w14:textId="77777777" w:rsidR="00664D0A" w:rsidRPr="00664D0A" w:rsidRDefault="00664D0A" w:rsidP="001C2505">
      <w:pPr>
        <w:pStyle w:val="Heading2"/>
        <w:rPr>
          <w:rFonts w:eastAsia="Times New Roman"/>
        </w:rPr>
      </w:pPr>
      <w:bookmarkStart w:id="60" w:name="_Toc229618792"/>
      <w:r w:rsidRPr="00664D0A">
        <w:rPr>
          <w:rFonts w:eastAsia="Times New Roman"/>
        </w:rPr>
        <w:t>1-2. Monographies et contrôle de qualité</w:t>
      </w:r>
      <w:bookmarkEnd w:id="60"/>
    </w:p>
    <w:p w14:paraId="5EEBC235" w14:textId="77777777" w:rsidR="00664D0A" w:rsidRPr="00664D0A" w:rsidRDefault="00664D0A" w:rsidP="00B139C3">
      <w:pPr>
        <w:rPr>
          <w:rFonts w:eastAsia="Times New Roman"/>
          <w:lang w:val="fr-FR"/>
        </w:rPr>
      </w:pPr>
      <w:r w:rsidRPr="00664D0A">
        <w:rPr>
          <w:rFonts w:eastAsia="Times New Roman"/>
          <w:lang w:val="fr-FR"/>
        </w:rPr>
        <w:t>L’OMS a publié une série de monographies techniques pour des plantes spécifiques, dont les objectifs principaux sont de :</w:t>
      </w:r>
    </w:p>
    <w:p w14:paraId="158641CD" w14:textId="77777777" w:rsidR="00664D0A" w:rsidRPr="00664D0A" w:rsidRDefault="00664D0A" w:rsidP="00B139C3">
      <w:pPr>
        <w:rPr>
          <w:rFonts w:eastAsia="Times New Roman"/>
          <w:lang w:val="fr-FR"/>
        </w:rPr>
      </w:pPr>
      <w:r w:rsidRPr="00664D0A">
        <w:rPr>
          <w:rFonts w:eastAsia="Times New Roman"/>
          <w:lang w:val="fr-FR"/>
        </w:rPr>
        <w:t>Standardiser les méthodes de culture, de récolte, d'extraction et de formulation.</w:t>
      </w:r>
    </w:p>
    <w:p w14:paraId="5A970114" w14:textId="77777777" w:rsidR="00664D0A" w:rsidRPr="00664D0A" w:rsidRDefault="00664D0A" w:rsidP="00B139C3">
      <w:pPr>
        <w:rPr>
          <w:rFonts w:eastAsia="Times New Roman"/>
          <w:lang w:val="fr-FR"/>
        </w:rPr>
      </w:pPr>
      <w:r w:rsidRPr="00664D0A">
        <w:rPr>
          <w:rFonts w:eastAsia="Times New Roman"/>
          <w:lang w:val="fr-FR"/>
        </w:rPr>
        <w:lastRenderedPageBreak/>
        <w:t>Garantir la pureté, la stabilité, le dosage précis et l’innocuité des produits finis.</w:t>
      </w:r>
    </w:p>
    <w:p w14:paraId="6E115187" w14:textId="23DE7B34" w:rsidR="00664D0A" w:rsidRPr="00664D0A" w:rsidRDefault="00664D0A" w:rsidP="009C7487">
      <w:pPr>
        <w:rPr>
          <w:rFonts w:eastAsia="Times New Roman"/>
          <w:lang w:val="fr-FR"/>
        </w:rPr>
      </w:pPr>
      <w:r w:rsidRPr="00664D0A">
        <w:rPr>
          <w:rFonts w:eastAsia="Times New Roman"/>
          <w:lang w:val="fr-FR"/>
        </w:rPr>
        <w:t xml:space="preserve"> La crédibilité de la phytothérapie moderne repose sur cette standardisation rigoureuse. En établissant des critères de référence pour l'identification botanique et la pureté chimique (limites de métaux lourds et pesticides), ces monographies permettent aux autorités de s'assurer que les extraits, notamment les métabolites primaires et les polypeptides, respectent des normes strictes. Cela transforme la plante médicinale en un produit de santé dont la composition est enfin</w:t>
      </w:r>
      <w:r w:rsidR="009C7487">
        <w:rPr>
          <w:rFonts w:eastAsia="Times New Roman"/>
          <w:lang w:val="fr-FR"/>
        </w:rPr>
        <w:t xml:space="preserve"> vérifiable et reproductible </w:t>
      </w:r>
      <w:r w:rsidR="009C7487">
        <w:rPr>
          <w:rFonts w:eastAsia="Times New Roman"/>
          <w:lang w:val="fr-FR"/>
        </w:rPr>
        <w:fldChar w:fldCharType="begin"/>
      </w:r>
      <w:r w:rsidR="00116A61">
        <w:rPr>
          <w:rFonts w:eastAsia="Times New Roman"/>
          <w:lang w:val="fr-FR"/>
        </w:rPr>
        <w:instrText xml:space="preserve"> ADDIN ZOTERO_ITEM CSL_CITATION {"citationID":"hGBcHJDe","properties":{"unsorted":false,"formattedCitation":"(88)","plainCitation":"(88)","noteIndex":0},"citationItems":[{"id":"6VBx8p83/DtWXakTL","uris":["http://zotero.org/users/local/xPnoPzR4/items/BCKR46IA"],"itemData":{"id":65,"type":"webpage","abstract":"Publicaciones de la Organización Mundial de la Salud","language":"en","title":"WHO monographs on selected medicinal plants","URL":"https://www.who.int/publications/i/item/9241545178","accessed":{"date-parts":[["2026",4,29]]}}}],"schema":"https://github.com/citation-style-language/schema/raw/master/csl-citation.json"} </w:instrText>
      </w:r>
      <w:r w:rsidR="009C7487">
        <w:rPr>
          <w:rFonts w:eastAsia="Times New Roman"/>
          <w:lang w:val="fr-FR"/>
        </w:rPr>
        <w:fldChar w:fldCharType="separate"/>
      </w:r>
      <w:r w:rsidR="009C7487" w:rsidRPr="009C7487">
        <w:rPr>
          <w:rFonts w:ascii="Times New Roman" w:hAnsi="Times New Roman" w:cs="Times New Roman"/>
          <w:lang w:val="fr-FR"/>
        </w:rPr>
        <w:t>(88)</w:t>
      </w:r>
      <w:r w:rsidR="009C7487">
        <w:rPr>
          <w:rFonts w:eastAsia="Times New Roman"/>
          <w:lang w:val="fr-FR"/>
        </w:rPr>
        <w:fldChar w:fldCharType="end"/>
      </w:r>
    </w:p>
    <w:p w14:paraId="29718C26" w14:textId="77777777" w:rsidR="00664D0A" w:rsidRPr="00664D0A" w:rsidRDefault="00664D0A" w:rsidP="001C2505">
      <w:pPr>
        <w:pStyle w:val="Heading2"/>
        <w:rPr>
          <w:rFonts w:eastAsia="Times New Roman"/>
        </w:rPr>
      </w:pPr>
      <w:bookmarkStart w:id="61" w:name="_Toc229618793"/>
      <w:r w:rsidRPr="00664D0A">
        <w:rPr>
          <w:rFonts w:eastAsia="Times New Roman"/>
        </w:rPr>
        <w:t>1-3. Guidelines méthodologiques pour la recherche</w:t>
      </w:r>
      <w:bookmarkEnd w:id="61"/>
    </w:p>
    <w:p w14:paraId="041A5B0F" w14:textId="2520FCEF" w:rsidR="00664D0A" w:rsidRPr="00664D0A" w:rsidRDefault="00664D0A" w:rsidP="00B139C3">
      <w:pPr>
        <w:rPr>
          <w:rFonts w:eastAsia="Times New Roman"/>
          <w:lang w:val="fr-FR"/>
        </w:rPr>
      </w:pPr>
      <w:r w:rsidRPr="00664D0A">
        <w:rPr>
          <w:rFonts w:eastAsia="Times New Roman"/>
          <w:lang w:val="fr-FR"/>
        </w:rPr>
        <w:t xml:space="preserve">Afin de valider scientifiquement les traitements, </w:t>
      </w:r>
      <w:proofErr w:type="gramStart"/>
      <w:r w:rsidRPr="00664D0A">
        <w:rPr>
          <w:rFonts w:eastAsia="Times New Roman"/>
          <w:lang w:val="fr-FR"/>
        </w:rPr>
        <w:t>elle  propose</w:t>
      </w:r>
      <w:proofErr w:type="gramEnd"/>
      <w:r w:rsidRPr="00664D0A">
        <w:rPr>
          <w:rFonts w:eastAsia="Times New Roman"/>
          <w:lang w:val="fr-FR"/>
        </w:rPr>
        <w:t xml:space="preserve"> des lignes directrices strictes pour :</w:t>
      </w:r>
    </w:p>
    <w:p w14:paraId="02240C58" w14:textId="77777777" w:rsidR="00664D0A" w:rsidRPr="00664D0A" w:rsidRDefault="00664D0A" w:rsidP="00B139C3">
      <w:pPr>
        <w:rPr>
          <w:rFonts w:eastAsia="Times New Roman"/>
          <w:lang w:val="fr-FR"/>
        </w:rPr>
      </w:pPr>
      <w:r w:rsidRPr="00664D0A">
        <w:rPr>
          <w:rFonts w:eastAsia="Times New Roman"/>
          <w:lang w:val="fr-FR"/>
        </w:rPr>
        <w:t>Réaliser des essais cliniques adaptés aux spécificités des plantes médicinales.</w:t>
      </w:r>
    </w:p>
    <w:p w14:paraId="3BFA40CB" w14:textId="77777777" w:rsidR="00664D0A" w:rsidRPr="00664D0A" w:rsidRDefault="00664D0A" w:rsidP="00B139C3">
      <w:pPr>
        <w:rPr>
          <w:rFonts w:eastAsia="Times New Roman"/>
          <w:lang w:val="fr-FR"/>
        </w:rPr>
      </w:pPr>
      <w:r w:rsidRPr="00664D0A">
        <w:rPr>
          <w:rFonts w:eastAsia="Times New Roman"/>
          <w:lang w:val="fr-FR"/>
        </w:rPr>
        <w:t>Évaluer rigoureusement leur efficacité thérapeutique et leur innocuité.</w:t>
      </w:r>
    </w:p>
    <w:p w14:paraId="0A9487C4" w14:textId="77777777" w:rsidR="00664D0A" w:rsidRPr="00664D0A" w:rsidRDefault="00664D0A" w:rsidP="00B139C3">
      <w:pPr>
        <w:rPr>
          <w:rFonts w:eastAsia="Times New Roman"/>
          <w:lang w:val="fr-FR"/>
        </w:rPr>
      </w:pPr>
      <w:r w:rsidRPr="00664D0A">
        <w:rPr>
          <w:rFonts w:eastAsia="Times New Roman"/>
          <w:lang w:val="fr-FR"/>
        </w:rPr>
        <w:t>Ces directives exigent que la phytothérapie se soumette aux mêmes exigences de rigueur que la pharmacologie conventionnelle. Ce cadre permet de distinguer clairement les usages ancestraux des preuves cliniques avérées, garantissant ainsi que seules les thérapies ayant démontré un bénéfice réel soient intégrées dans les protocoles de soins modernes (1)</w:t>
      </w:r>
    </w:p>
    <w:p w14:paraId="7F29106A" w14:textId="417947B1" w:rsidR="00664D0A" w:rsidRPr="00664D0A" w:rsidRDefault="008758B6" w:rsidP="00665FE5">
      <w:pPr>
        <w:pStyle w:val="Heading1"/>
      </w:pPr>
      <w:bookmarkStart w:id="62" w:name="_Toc229618794"/>
      <w:r>
        <w:t>4/</w:t>
      </w:r>
      <w:r w:rsidR="00664D0A" w:rsidRPr="00664D0A">
        <w:t xml:space="preserve">L'éthique en </w:t>
      </w:r>
      <w:proofErr w:type="gramStart"/>
      <w:r w:rsidR="00664D0A" w:rsidRPr="00664D0A">
        <w:t>phytothérapie:</w:t>
      </w:r>
      <w:bookmarkEnd w:id="62"/>
      <w:proofErr w:type="gramEnd"/>
    </w:p>
    <w:p w14:paraId="6567A4C6" w14:textId="2CB2351A" w:rsidR="00664D0A" w:rsidRPr="00664D0A" w:rsidRDefault="00664D0A" w:rsidP="00D73339">
      <w:pPr>
        <w:rPr>
          <w:lang w:val="fr-FR"/>
        </w:rPr>
      </w:pPr>
      <w:r w:rsidRPr="00664D0A">
        <w:rPr>
          <w:lang w:val="fr-FR"/>
        </w:rPr>
        <w:t xml:space="preserve">   Au-delà des cadres réglementaires, la phytothérapie s'inscrit dans une dimension bioéthique où la protection du patient et l'intégrité de la science convergent. Cette approche déontologique impose d'abord une responsabilité absolue quant à la sécurité et à l'intégrité du produit   </w:t>
      </w:r>
      <w:r w:rsidRPr="00664D0A">
        <w:rPr>
          <w:rFonts w:eastAsia="Times New Roman"/>
          <w:lang w:val="fr-FR"/>
        </w:rPr>
        <w:t xml:space="preserve">et refuse toute approximation dans le dosage, considérant que la variabilité biologique de la plante ne doit jamais compromettre la sécurité du patient ni l'équilibre de sa prise en charge globale </w:t>
      </w:r>
      <w:r w:rsidR="00D73339">
        <w:rPr>
          <w:rFonts w:eastAsia="Times New Roman"/>
          <w:lang w:val="fr-FR"/>
        </w:rPr>
        <w:fldChar w:fldCharType="begin"/>
      </w:r>
      <w:r w:rsidR="00116A61">
        <w:rPr>
          <w:rFonts w:eastAsia="Times New Roman"/>
          <w:lang w:val="fr-FR"/>
        </w:rPr>
        <w:instrText xml:space="preserve"> ADDIN ZOTERO_ITEM CSL_CITATION {"citationID":"URTMVmbL","properties":{"unsorted":false,"formattedCitation":"(89)","plainCitation":"(89)","noteIndex":0},"citationItems":[{"id":"6VBx8p83/khyXg6jM","uris":["http://zotero.org/users/local/xPnoPzR4/items/KG8UUNYX"],"itemData":{"id":382,"type":"webpage","title":"The growing use of herbal medicines: issues relating to adverse reactions and challenges in monitoring safety - PMC","URL":"https://pmc.ncbi.nlm.nih.gov/articles/PMC3887317/","accessed":{"date-parts":[["2026",5,14]]}}}],"schema":"https://github.com/citation-style-language/schema/raw/master/csl-citation.json"} </w:instrText>
      </w:r>
      <w:r w:rsidR="00D73339">
        <w:rPr>
          <w:rFonts w:eastAsia="Times New Roman"/>
          <w:lang w:val="fr-FR"/>
        </w:rPr>
        <w:fldChar w:fldCharType="separate"/>
      </w:r>
      <w:r w:rsidR="00D73339" w:rsidRPr="00D73339">
        <w:rPr>
          <w:rFonts w:ascii="Times New Roman" w:hAnsi="Times New Roman" w:cs="Times New Roman"/>
          <w:lang w:val="fr-FR"/>
        </w:rPr>
        <w:t>(89)</w:t>
      </w:r>
      <w:r w:rsidR="00D73339">
        <w:rPr>
          <w:rFonts w:eastAsia="Times New Roman"/>
          <w:lang w:val="fr-FR"/>
        </w:rPr>
        <w:fldChar w:fldCharType="end"/>
      </w:r>
      <w:r w:rsidRPr="00664D0A">
        <w:rPr>
          <w:lang w:val="fr-FR"/>
        </w:rPr>
        <w:t>. Ce premier pilier de non-malfaisance se prolonge naturellement par une éthique de la preuve, exigeant que chaque allégation thérapeutique repose sur une rigueur scientifique validée par une méthodologie de recherche robuste et de</w:t>
      </w:r>
      <w:r w:rsidR="00D73339">
        <w:rPr>
          <w:lang w:val="fr-FR"/>
        </w:rPr>
        <w:t xml:space="preserve">s essais cliniques rigoureux </w:t>
      </w:r>
      <w:r w:rsidR="00D73339">
        <w:rPr>
          <w:lang w:val="fr-FR"/>
        </w:rPr>
        <w:fldChar w:fldCharType="begin"/>
      </w:r>
      <w:r w:rsidR="00116A61">
        <w:rPr>
          <w:lang w:val="fr-FR"/>
        </w:rPr>
        <w:instrText xml:space="preserve"> ADDIN ZOTERO_ITEM CSL_CITATION {"citationID":"eN0Twxd3","properties":{"unsorted":false,"formattedCitation":"(90)","plainCitation":"(90)","noteIndex":0},"citationItems":[{"id":"6VBx8p83/ZpOlTW8W","uris":["http://zotero.org/users/local/xPnoPzR4/items/JY7KAAXX"],"itemData":{"id":383,"type":"article-journal","abstract":"BACKGROUND: The pharmacology, toxicology and pharmacokinetics of bioactive preparations derived from natural sources has become a flourishing field of research. However, researching complex extracts and natural products faces numerous challenges. More broadly in recent years the critique of pharmacological research, and specifically its design, the methods used and reporting has intensified.\nAIMS: This consensus document provides a perspective on what constitutes best practice in pharmacological research on bioactive preparations derived from natural sources, providing a perspective of what the leading specialist journals in the field consider as the core characteristics of good research.\nAPPROACH ('METHODS'): The editors-in-chief of seven journals developed this best practice statement in an iterative process. A first draft of the guidelines (prepared by MH) was then discussed and amended by the other editors.\nOUTCOMES: Core to this contribution is a table which provides detailed advice including simple points like a use of appropriate controls and the full taxonomic validity of the material under investigation (see also below), to the relevance of the model for the question being researched (e.g., can specific in silico or in vitro models really address the species anti-inflammatory activity?). Therefore, obviously, researchers must pay detailed attention to reporting and discussing such studies. This information must be discussed critically (as much as it is possible based on the published papers) in terms of their scientific quality and validity. While these points are obvious, as editors, we are aware that they are often not properly implemented.\nCONCLUSION: We call for an approach which incorporates a careful design, meticulous execution and a detailed reporting of studies focusing on the pharmacology/bioactivity of bioactive preparations. Clearly testable research questions must be developed and investigated experimentally. As the founder of pharmacology Claude Bernard put it already in 1865: '…. either the experimenter's hypothesis will be disproved or it will be proved by experiment. When experiment disproves its preconceived ideas, the experimenter must discard or modify it.'","container-title":"Journal of Ethnopharmacology","DOI":"10.1016/j.jep.2019.112230","ISSN":"1872-7573","journalAbbreviation":"J Ethnopharmacol","language":"eng","page":"112230","PMID":"31526860","source":"PubMed","title":"Best practice in research - Overcoming common challenges in phytopharmacological research","volume":"246","author":[{"family":"Heinrich","given":"Michael"},{"family":"Appendino","given":"Giovanni"},{"family":"Efferth","given":"Thomas"},{"family":"Fürst","given":"Robert"},{"family":"Izzo","given":"Angelo A."},{"family":"Kayser","given":"Oliver"},{"family":"Pezzuto","given":"John M."},{"family":"Viljoen","given":"Alvaro"}],"issued":{"date-parts":[["2020",1,10]]}}}],"schema":"https://github.com/citation-style-language/schema/raw/master/csl-citation.json"} </w:instrText>
      </w:r>
      <w:r w:rsidR="00D73339">
        <w:rPr>
          <w:lang w:val="fr-FR"/>
        </w:rPr>
        <w:fldChar w:fldCharType="separate"/>
      </w:r>
      <w:r w:rsidR="00D73339" w:rsidRPr="00D73339">
        <w:rPr>
          <w:rFonts w:ascii="Times New Roman" w:hAnsi="Times New Roman" w:cs="Times New Roman"/>
          <w:lang w:val="fr-FR"/>
        </w:rPr>
        <w:t>(90)</w:t>
      </w:r>
      <w:r w:rsidR="00D73339">
        <w:rPr>
          <w:lang w:val="fr-FR"/>
        </w:rPr>
        <w:fldChar w:fldCharType="end"/>
      </w:r>
      <w:r w:rsidRPr="00664D0A">
        <w:rPr>
          <w:lang w:val="fr-FR"/>
        </w:rPr>
        <w:t xml:space="preserve">. En refusant l'empirisme non vérifié, le chercheur protège l'individu contre tout risque de « perte de chance », garantissant que l'usage des plantes soit un complément médicalement fondé et non une alternative infondée aux traitements conventionnels. </w:t>
      </w:r>
    </w:p>
    <w:p w14:paraId="542919EB" w14:textId="1C71252D" w:rsidR="00664D0A" w:rsidRPr="00664D0A" w:rsidRDefault="00664D0A" w:rsidP="00D73339">
      <w:pPr>
        <w:rPr>
          <w:lang w:val="fr-FR"/>
        </w:rPr>
      </w:pPr>
      <w:r w:rsidRPr="00664D0A">
        <w:rPr>
          <w:lang w:val="fr-FR"/>
        </w:rPr>
        <w:t xml:space="preserve">   Parallèlement à cette exigence clinique, la bioéthique moderne intègre désormais les principes de bio-équité et d'éco-responsabilité, transformant le rapport au patrimoine végétal en un engagement de justice sociale. La pratique de la phytothérapie doit ainsi s'aligner sur les protocoles internationaux, tels que celui de Nagoya, afin d'interdire l'exploitation sauvage des ressources et d'assurer un partage équitable des bénéfices issus de la recherche biotechnologique avec</w:t>
      </w:r>
      <w:r w:rsidR="00D73339">
        <w:rPr>
          <w:lang w:val="fr-FR"/>
        </w:rPr>
        <w:t xml:space="preserve"> les populations </w:t>
      </w:r>
      <w:proofErr w:type="gramStart"/>
      <w:r w:rsidR="00D73339">
        <w:rPr>
          <w:lang w:val="fr-FR"/>
        </w:rPr>
        <w:t xml:space="preserve">autochtones </w:t>
      </w:r>
      <w:r w:rsidRPr="00664D0A">
        <w:rPr>
          <w:lang w:val="fr-FR"/>
        </w:rPr>
        <w:t>.</w:t>
      </w:r>
      <w:proofErr w:type="gramEnd"/>
      <w:r w:rsidRPr="00664D0A">
        <w:rPr>
          <w:lang w:val="fr-FR"/>
        </w:rPr>
        <w:t xml:space="preserve"> Cette vision éthique globale assure que le développement des thérapies naturelles d'aujourd'hui ne sacrifie pas les ressources essentielles des générations futures, harmonisant ainsi les vertus de la nature avec les impérati</w:t>
      </w:r>
      <w:r w:rsidR="00D73339">
        <w:rPr>
          <w:lang w:val="fr-FR"/>
        </w:rPr>
        <w:t>fs de la médecine contemporaine .</w:t>
      </w:r>
      <w:r w:rsidR="00D73339">
        <w:rPr>
          <w:lang w:val="fr-FR"/>
        </w:rPr>
        <w:fldChar w:fldCharType="begin"/>
      </w:r>
      <w:r w:rsidR="00116A61">
        <w:rPr>
          <w:lang w:val="fr-FR"/>
        </w:rPr>
        <w:instrText xml:space="preserve"> ADDIN ZOTERO_ITEM CSL_CITATION {"citationID":"qq4kUvug","properties":{"unsorted":false,"formattedCitation":"(91,92)","plainCitation":"(91,92)","noteIndex":0},"citationItems":[{"id":"6VBx8p83/Z9QLwgcU","uris":["http://zotero.org/users/local/xPnoPzR4/items/N72GBB75"],"itemData":{"id":386,"type":"article-journal","abstract":"Past studies have shown that climate simulations have substantial warm and dry biases during the summer in the conterminous United States (CONUS), particularly in the central Great Plains (CGP). These biases have critical implications for the interpretation of climate change projections, but the complex overlap of multiple land-atmosphere feedback processes make them difficult to explain (and therefore correct). Even though surface soil moisture (SM) is often cited as a key control variable in these processes, there are still knowledge gaps about its specific role. Here, we use recently developed remotely sensed SM products to analyse the link between spatial patterns of summertime SM, precipitation and air temperature biases over CONUS in 20 different CMIP5 simulations. We identify three main types of bias combinations: (i) a dry/warm bias over the CGP region, with a significant inter-model correlation between SM and air temperature biases (R = -0.65), (ii) a wet/cold bias in NW CONUS, and (iii) a dry/cold bias in SW CONUS. Combined with irrigation patterns, these results suggest that land-atmosphere feedbacks over the CGP are not only local but have a regional dimension, and demonstrate the added-value of large-scale SM observations for resolving the full feed-back loop between precipitation and temperature.","container-title":"Scientific Reports","DOI":"10.1038/s41598-018-38309-5","ISSN":"2045-2322","issue":"1","journalAbbreviation":"Sci Rep","language":"eng","page":"1657","PMID":"30733521","PMCID":"PMC6367487","source":"PubMed","title":"Satellite-based soil moisture provides missing link between summertime precipitation and surface temperature biases in CMIP5 simulations over conterminous United States","volume":"9","author":[{"family":"Al-Yaari","given":"A."},{"family":"Ducharne","given":"A."},{"family":"Cheruy","given":"F."},{"family":"Crow","given":"W. T."},{"family":"Wigneron","given":"J.-P."}],"issued":{"date-parts":[["2019",2,7]]}}},{"id":"6VBx8p83/B8yOCis1","uris":["http://zotero.org/users/local/xPnoPzR4/items/8ERHL4HQ"],"itemData":{"id":389,"type":"chapter","abstract":"This chapter intends to provide a brief overview of the basic ethical principles that are applicable to natural health products (NHPs), including herbal medicines. Beneficence, nonmalfeasance (nonmaleficence), and patient autonomy are important pillars of biomedical ethics that also apply to the realm of natural medicines (Kemper and Cohen 2004). The data about herbal medicine utilization, pharmacology, safety, and efficacy are discussed, as well as conditions in which herbal medicines may be used as primary versus adjunct treatment. Issues of NHP–drug interactions are reviewed, as they may be synergistic or antagonistic and must be considered whenever concomitant use of products occurs. Gaps in knowledge are identified, and recommendations are suggested to further explore the issues related to NHP–drug interactions.","call-number":"NBK92754","container-title":"Herbal Medicine: Biomolecular and Clinical Aspects","edition":"2nd","ISBN":"978-1-4398-0713-2","language":"eng","license":"Copyright © 2011 by Taylor and Francis Group, LLC.","note":"PMID: 22593923","publisher":"CRC Press/Taylor &amp; Francis","publisher-place":"Boca Raton (FL)","source":"PubMed","title":"Ethics of Using Herbal Medicine as Primary or Adjunct Treatment and Issues of Drug-Herb Interaction","URL":"http://www.ncbi.nlm.nih.gov/books/NBK92754/","author":[{"family":"Girard","given":"Lauren"},{"family":"Vohra","given":"Sunita"}],"editor":[{"family":"Benzie","given":"Iris F. F."},{"family":"Wachtel-Galor","given":"Sissi"}],"accessed":{"date-parts":[["2026",5,14]]},"issued":{"date-parts":[["2011"]]}}}],"schema":"https://github.com/citation-style-language/schema/raw/master/csl-citation.json"} </w:instrText>
      </w:r>
      <w:r w:rsidR="00D73339">
        <w:rPr>
          <w:lang w:val="fr-FR"/>
        </w:rPr>
        <w:fldChar w:fldCharType="separate"/>
      </w:r>
      <w:r w:rsidR="00D73339" w:rsidRPr="00D73339">
        <w:rPr>
          <w:rFonts w:ascii="Times New Roman" w:hAnsi="Times New Roman" w:cs="Times New Roman"/>
          <w:lang w:val="fr-FR"/>
        </w:rPr>
        <w:t>(91,92)</w:t>
      </w:r>
      <w:r w:rsidR="00D73339">
        <w:rPr>
          <w:lang w:val="fr-FR"/>
        </w:rPr>
        <w:fldChar w:fldCharType="end"/>
      </w:r>
      <w:r w:rsidR="00D73339" w:rsidRPr="00664D0A">
        <w:rPr>
          <w:lang w:val="fr-FR"/>
        </w:rPr>
        <w:t xml:space="preserve"> </w:t>
      </w:r>
    </w:p>
    <w:p w14:paraId="47D42BFB" w14:textId="5B743A78" w:rsidR="00664D0A" w:rsidRPr="00664D0A" w:rsidRDefault="008758B6" w:rsidP="00665FE5">
      <w:pPr>
        <w:pStyle w:val="Heading1"/>
      </w:pPr>
      <w:bookmarkStart w:id="63" w:name="_Toc229618795"/>
      <w:r>
        <w:lastRenderedPageBreak/>
        <w:t>5/</w:t>
      </w:r>
      <w:r w:rsidR="00664D0A" w:rsidRPr="00664D0A">
        <w:t xml:space="preserve">Les données de la littérature en </w:t>
      </w:r>
      <w:proofErr w:type="gramStart"/>
      <w:r w:rsidR="00664D0A" w:rsidRPr="00664D0A">
        <w:t>Algérie:</w:t>
      </w:r>
      <w:bookmarkEnd w:id="63"/>
      <w:proofErr w:type="gramEnd"/>
    </w:p>
    <w:p w14:paraId="31A80D55" w14:textId="1682EB01" w:rsidR="00664D0A" w:rsidRPr="00664D0A" w:rsidRDefault="00664D0A" w:rsidP="00D73339">
      <w:pPr>
        <w:rPr>
          <w:lang w:val="fr-FR"/>
        </w:rPr>
      </w:pPr>
      <w:r w:rsidRPr="00664D0A">
        <w:rPr>
          <w:lang w:val="fr-FR"/>
        </w:rPr>
        <w:t>L'Algérie a un héritage floristique très ancientgrâce à sa situation géographique, son relief, sa grande variété de climats et de solsoù l'usage thérapeutique des plantes occupe une place centrale au sein de la culture populaire. Le pays a aussi une grande variété de paysages, ce qui signifie qu'il abrite une grande diversité de vie sauvage qui n'a pas encore été suffisamment étudiée par les scientifiques. Il est donc important de mener davantage de recherches pour étudier ces plantes, découvrir leurs propriétés médicinales et les utiliser pour améliorer la santé</w:t>
      </w:r>
      <w:r w:rsidR="00D73339">
        <w:rPr>
          <w:lang w:val="fr-FR"/>
        </w:rPr>
        <w:t xml:space="preserve"> .</w:t>
      </w:r>
      <w:r w:rsidR="00D73339">
        <w:rPr>
          <w:lang w:val="fr-FR"/>
        </w:rPr>
        <w:fldChar w:fldCharType="begin"/>
      </w:r>
      <w:r w:rsidR="00116A61">
        <w:rPr>
          <w:lang w:val="fr-FR"/>
        </w:rPr>
        <w:instrText xml:space="preserve"> ADDIN ZOTERO_ITEM CSL_CITATION {"citationID":"e5I1kdOh","properties":{"unsorted":false,"formattedCitation":"(93,94)","plainCitation":"(93,94)","noteIndex":0},"citationItems":[{"id":"6VBx8p83/4NXU7Nmd","uris":["http://zotero.org/users/local/xPnoPzR4/items/IDB459X5"],"itemData":{"id":392,"type":"article-journal","abstract":"Background and aims – Trees represent an important component of many ecosystems of the world. The knowledge of their diversity and geographic distribution is of great theoretical and practical importance. This paper aims to provide the first comprehensive checklist of native tree taxa in Algeria. Material and methods – The checklist was based on the analysis of published data and has been improved with own field observations. Statistical analysis has been performed on the taxonomic richness, life forms, and chorological spectra in terms of diversity, endemism, habitats, and distribution of the tree flora in Algeria. The conservation status following IUCN and the protection status at national level have been presented.Key results – The checklist comprises 120 native tree taxa currently known in Algeria, including 106 species, one hybrid species, and 13 subspecies, belonging to 63 genera and 35 families. The four most species-rich families are Rosaceae (13 spp.), Fabaceae (12 spp.), Salicaceae (9 spp.), and Tamaricaceae (9 spp.). The richest genus is Tamarix (9 spp.), followed by Quercus (7 taxa in 6 spp.). We found that trees are more often single-stemmed (45%), and are small or medium-sized. Mediterranean element is dominant (46%), followed by Saharo-arabic (17%), wide distribution element (15%), and European elements (12%). Furthermore, 11% of all tree taxa are endemics or subendemics. The highest number of taxa (71%) is found in the Tellian area, whereas the lowest number (36%) occurs in the Saharan area. Only nine taxa are considered to be threatened or near threatened, while 36 taxa are yet not assessed. This analysis highlights 33 taxa with patrimonial value, both endemics and range-restricted. Out of these taxa, only 18 are protected by national legislation. Conclusion – This work shows that a relatively rich tree flora is found in Algeria. It aims to be used as a tool for managing tree species diversity. Some of the tree taxa need appropriate measures for their in situ conservation, a challenging but worth pursuing target.","container-title":"Plant Ecology and Evolution","DOI":"10.5091/plecevo.2021.1868","ISSN":"2032-3921, 2032-3913","issue":"3","journalAbbreviation":"Pl. Ecol. Evol.","license":"http://creativecommons.org/licenses/by/4.0","page":"405-418","source":"DOI.org (Crossref)","title":"Checklist of the native tree flora of Algeria: diversity, distribution, and conservation","title-short":"Checklist of the native tree flora of Algeria","volume":"154","author":[{"family":"Meddour","given":"Rachid"},{"family":"Sahar","given":"Ouahiba"},{"family":"Médail","given":"Frédéric"}],"issued":{"date-parts":[["2021",11,23]]}}},{"id":"6VBx8p83/PkEye7vP","uris":["http://zotero.org/users/local/xPnoPzR4/items/US7NT4X6"],"itemData":{"id":394,"type":"article-journal","abstract":"ETHNOPHARMACOLOGICAL RELEVANCE: Plants are traditionally used in Algeria to treat many disorders, including diabetes mellitus. Knowledge of the plants that are used may provide insight on their properties, for further exploration. This study reviewed all the available published and unpublished reports concerning the use of herbal medicines in the treatment of diabetes in Algeria.\nAIM OF THE STUDY: To describe the plants used in Algeria to treat diabetes, as reported in the literature.\nMATERIAL AND METHODS: Systematic review of ethnobotanical papers published in the medical literature, from literature databases (Pubmed, Web of Science), as well as Google, for English, French and Arabic -language publication, and a manual search of local libraries and bookshops, as well as the university repository of PhD and master's theses. The reference lists of the papers retrieved were also examined for further papers.\nRESULTS: Many plants are cited in the ethnobotanical surveys, but only very few pharmacological studies were found. In the ethnobotanical surveys, 171 plants were reported, from 58 families of which the most often cited were Asteraceae, Lamiaceae and Apiaceae. The plants with the best evidence of use and activity are: Anabasis articulata (Forssk.) Moq., Trigonella foenum-graecum L., Centaurium erythraea Rafn, Artemisia herba-alba Asso, Marrubium vulgare L., Agathophora alopecuroides (Delile) Fenzl ex Bunge, Anabasis articulata (Forssk.) Moq., Hammada elegans (Bunge) Botsch., Helianthemum kahiricum Delile, Salsola baryosma (Schult.) Dandy, Salsola vermiculata L., Olea europaea L.\nCONCLUSION: Traditional herbal medicines are still very much used in Algeria to control diabetes. However they are generally poorly characterized and none have been properly tested in man. There is a need for systematic evaluation of the more commonly used plants to confirm their antidiabetic activity, identify possible mechanimss of action, and recommend best use.","container-title":"Journal of Ethnopharmacology","DOI":"10.1016/j.jep.2019.111841","ISSN":"1872-7573","journalAbbreviation":"J Ethnopharmacol","language":"eng","page":"111841","PMID":"30959140","source":"PubMed","title":"A review of Algerian medicinal plants used in the treatment of diabetes","volume":"238","author":[{"family":"Hamza","given":"Nawel"},{"family":"Berke","given":"Bénédicte"},{"family":"Umar","given":"Anwar"},{"family":"Cheze","given":"Catherine"},{"family":"Gin","given":"Henri"},{"family":"Moore","given":"Nicholas"}],"issued":{"date-parts":[["2019",6,28]]}}}],"schema":"https://github.com/citation-style-language/schema/raw/master/csl-citation.json"} </w:instrText>
      </w:r>
      <w:r w:rsidR="00D73339">
        <w:rPr>
          <w:lang w:val="fr-FR"/>
        </w:rPr>
        <w:fldChar w:fldCharType="separate"/>
      </w:r>
      <w:r w:rsidR="00D73339" w:rsidRPr="00D73339">
        <w:rPr>
          <w:rFonts w:ascii="Times New Roman" w:hAnsi="Times New Roman" w:cs="Times New Roman"/>
          <w:lang w:val="fr-FR"/>
        </w:rPr>
        <w:t>(93,94)</w:t>
      </w:r>
      <w:r w:rsidR="00D73339">
        <w:rPr>
          <w:lang w:val="fr-FR"/>
        </w:rPr>
        <w:fldChar w:fldCharType="end"/>
      </w:r>
    </w:p>
    <w:p w14:paraId="044191FC" w14:textId="5ED4E962" w:rsidR="00665FE5" w:rsidRPr="00664D0A" w:rsidRDefault="00664D0A" w:rsidP="00D73339">
      <w:pPr>
        <w:rPr>
          <w:lang w:val="fr-FR"/>
        </w:rPr>
      </w:pPr>
      <w:r w:rsidRPr="00664D0A">
        <w:rPr>
          <w:lang w:val="fr-FR"/>
        </w:rPr>
        <w:t xml:space="preserve"> Des nombreuses investigations ethnobotaniques et ethno-pharmacologiques ont été menées sur le territoire national pour identifier spécifiquement les espèces à visée hypoglycémiante. Ces travaux mettent en exergue le rôle prédominant de la pharmacopée traditionnelle dans la gestion du diabète sucré. La synthèse des principales études menées à travers différentes régions du pays est présen</w:t>
      </w:r>
      <w:r w:rsidR="00D73339">
        <w:rPr>
          <w:lang w:val="fr-FR"/>
        </w:rPr>
        <w:t>tée dans le tableau suivant .</w:t>
      </w:r>
      <w:r w:rsidR="00D73339">
        <w:rPr>
          <w:lang w:val="fr-FR"/>
        </w:rPr>
        <w:fldChar w:fldCharType="begin"/>
      </w:r>
      <w:r w:rsidR="00116A61">
        <w:rPr>
          <w:lang w:val="fr-FR"/>
        </w:rPr>
        <w:instrText xml:space="preserve"> ADDIN ZOTERO_ITEM CSL_CITATION {"citationID":"aIsMFsEA","properties":{"unsorted":false,"formattedCitation":"(95)","plainCitation":"(95)","noteIndex":0},"citationItems":[{"id":"6VBx8p83/LBn53a4X","uris":["http://zotero.org/users/local/xPnoPzR4/items/XKNK8HN8"],"itemData":{"id":396,"type":"article-journal","abstract":"ETHNOPHARMACOLOGICAL RELEVANCE: The main aim of this study was to identify, catalogue and document the large number of wild medicinal plants used in the M'Sila region (northern Algeria) for the treatment of several human pathologies. Another more ambitious aim is to contribute to overcoming the limits of an orally transmitted pharmacopoeia, attempting to exploit the large ethnopharmacology patrimony of the region for further pharmacological purposes.\nMATERIALS AND METHODS: Our field study was carried out over a period of three years (2008-2010). During this period, herbalists were interviewed using semi-structured questionnaires investigating the herbalist as a holder of information (gender, age and educational level) and about wild medicinal plants (local name, uses and part used). In addition, the relative importance value of the species was determined and informant consensus factor (ICF) was calculated for the medicinal plants included in the study.\nRESULTS: A total of 83 herbalists were interviewed; men dominate the practice of traditional medicine in the region. About 41% of them are between 31 and 40 years, and about a third (34%) are illiterate. The traditional herbal knowledge is passed from generation to generation in the verbal form, a writing tradition being almost totally absent. The interviewed herbalists identified and recorded 58 plants species and 50 genera belonging to 27 plant families. Lamiaceae and Asteraceae were the most represented plant families. The aerial parts were the most commonly used plant part, while infusion and decoction were the most common method of traditional drug preparation.\nCONCLUSIONS: The survey provides a veritable source of information on the herbalists and wild medicinal plants. Plants which are used in different parts of the world for the treatment of similar diseases may be deemed to be effective in pharmacological terms. These medicinal plants may be incorporated into the healthcare delivery system of the country.","container-title":"Journal of Ethnopharmacology","DOI":"10.1016/j.jep.2013.03.082","ISSN":"1872-7573","issue":"2","journalAbbreviation":"J Ethnopharmacol","language":"eng","page":"395-402","PMID":"23643544","source":"PubMed","title":"Herbalists and wild medicinal plants in M'Sila (North Algeria): an ethnopharmacology survey","title-short":"Herbalists and wild medicinal plants in M'Sila (North Algeria)","volume":"148","author":[{"family":"Boudjelal","given":"Amel"},{"family":"Henchiri","given":"Cherifa"},{"family":"Sari","given":"Madani"},{"family":"Sarri","given":"Djamel"},{"family":"Hendel","given":"Noui"},{"family":"Benkhaled","given":"Abderrahim"},{"family":"Ruberto","given":"Giuseppe"}],"issued":{"date-parts":[["2013",7,9]]}}}],"schema":"https://github.com/citation-style-language/schema/raw/master/csl-citation.json"} </w:instrText>
      </w:r>
      <w:r w:rsidR="00D73339">
        <w:rPr>
          <w:lang w:val="fr-FR"/>
        </w:rPr>
        <w:fldChar w:fldCharType="separate"/>
      </w:r>
      <w:r w:rsidR="00D73339" w:rsidRPr="00D73339">
        <w:rPr>
          <w:rFonts w:ascii="Times New Roman" w:hAnsi="Times New Roman" w:cs="Times New Roman"/>
          <w:lang w:val="fr-FR"/>
        </w:rPr>
        <w:t>(95)</w:t>
      </w:r>
      <w:r w:rsidR="00D73339">
        <w:rPr>
          <w:lang w:val="fr-FR"/>
        </w:rPr>
        <w:fldChar w:fldCharType="end"/>
      </w:r>
    </w:p>
    <w:p w14:paraId="7436908C" w14:textId="53CFB8A2" w:rsidR="00665FE5" w:rsidRDefault="00665FE5" w:rsidP="00665FE5">
      <w:pPr>
        <w:pStyle w:val="Caption"/>
        <w:keepNext/>
      </w:pPr>
      <w:bookmarkStart w:id="64" w:name="_Toc229617369"/>
      <w:r>
        <w:t xml:space="preserve">Tableau </w:t>
      </w:r>
      <w:r>
        <w:fldChar w:fldCharType="begin"/>
      </w:r>
      <w:r>
        <w:instrText xml:space="preserve"> SEQ Tableau \* ARABIC </w:instrText>
      </w:r>
      <w:r>
        <w:fldChar w:fldCharType="separate"/>
      </w:r>
      <w:r w:rsidR="00983108">
        <w:rPr>
          <w:noProof/>
        </w:rPr>
        <w:t>8</w:t>
      </w:r>
      <w:r>
        <w:fldChar w:fldCharType="end"/>
      </w:r>
      <w:r>
        <w:t xml:space="preserve"> </w:t>
      </w:r>
      <w:r w:rsidRPr="00FB22AB">
        <w:t>Etudes ethnobotaniques dans certaines régions de l’Algérie (Benmansour_Larbaoui)</w:t>
      </w:r>
      <w:bookmarkEnd w:id="64"/>
    </w:p>
    <w:tbl>
      <w:tblPr>
        <w:tblStyle w:val="PlainTable51"/>
        <w:tblW w:w="10154" w:type="dxa"/>
        <w:tblLook w:val="04A0" w:firstRow="1" w:lastRow="0" w:firstColumn="1" w:lastColumn="0" w:noHBand="0" w:noVBand="1"/>
      </w:tblPr>
      <w:tblGrid>
        <w:gridCol w:w="1203"/>
        <w:gridCol w:w="1762"/>
        <w:gridCol w:w="4500"/>
        <w:gridCol w:w="2689"/>
      </w:tblGrid>
      <w:tr w:rsidR="00664D0A" w:rsidRPr="00116A61" w14:paraId="416B7AE5" w14:textId="77777777" w:rsidTr="00B91DCD">
        <w:trPr>
          <w:cnfStyle w:val="100000000000" w:firstRow="1" w:lastRow="0" w:firstColumn="0" w:lastColumn="0" w:oddVBand="0" w:evenVBand="0" w:oddHBand="0" w:evenHBand="0" w:firstRowFirstColumn="0" w:firstRowLastColumn="0" w:lastRowFirstColumn="0" w:lastRowLastColumn="0"/>
          <w:trHeight w:val="710"/>
        </w:trPr>
        <w:tc>
          <w:tcPr>
            <w:cnfStyle w:val="001000000100" w:firstRow="0" w:lastRow="0" w:firstColumn="1" w:lastColumn="0" w:oddVBand="0" w:evenVBand="0" w:oddHBand="0" w:evenHBand="0" w:firstRowFirstColumn="1" w:firstRowLastColumn="0" w:lastRowFirstColumn="0" w:lastRowLastColumn="0"/>
            <w:tcW w:w="1203" w:type="dxa"/>
            <w:hideMark/>
          </w:tcPr>
          <w:p w14:paraId="10080233" w14:textId="77777777" w:rsidR="00664D0A" w:rsidRPr="00D73339" w:rsidRDefault="00664D0A" w:rsidP="00B139C3">
            <w:pPr>
              <w:rPr>
                <w:rFonts w:eastAsia="Times New Roman"/>
                <w:color w:val="1F1F1F"/>
                <w:lang w:val="fr-FR"/>
              </w:rPr>
            </w:pPr>
            <w:r w:rsidRPr="00D73339">
              <w:rPr>
                <w:rFonts w:eastAsia="Times New Roman"/>
                <w:color w:val="1F1F1F"/>
                <w:bdr w:val="none" w:sz="0" w:space="0" w:color="auto" w:frame="1"/>
                <w:lang w:val="fr-FR"/>
              </w:rPr>
              <w:t>Régions</w:t>
            </w:r>
          </w:p>
        </w:tc>
        <w:tc>
          <w:tcPr>
            <w:tcW w:w="1762" w:type="dxa"/>
            <w:hideMark/>
          </w:tcPr>
          <w:p w14:paraId="1E491CCC" w14:textId="77777777" w:rsidR="00664D0A" w:rsidRPr="00D73339" w:rsidRDefault="00664D0A" w:rsidP="00B139C3">
            <w:pPr>
              <w:cnfStyle w:val="100000000000" w:firstRow="1"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Nombre d’espèces</w:t>
            </w:r>
          </w:p>
        </w:tc>
        <w:tc>
          <w:tcPr>
            <w:tcW w:w="4500" w:type="dxa"/>
            <w:hideMark/>
          </w:tcPr>
          <w:p w14:paraId="75E26F69" w14:textId="77777777" w:rsidR="00664D0A" w:rsidRPr="0080119A" w:rsidRDefault="00664D0A" w:rsidP="00B139C3">
            <w:pPr>
              <w:cnfStyle w:val="100000000000" w:firstRow="1" w:lastRow="0" w:firstColumn="0" w:lastColumn="0" w:oddVBand="0" w:evenVBand="0" w:oddHBand="0" w:evenHBand="0" w:firstRowFirstColumn="0" w:firstRowLastColumn="0" w:lastRowFirstColumn="0" w:lastRowLastColumn="0"/>
              <w:rPr>
                <w:rFonts w:eastAsia="Times New Roman"/>
                <w:color w:val="1F1F1F"/>
                <w:lang w:val="fr-FR"/>
              </w:rPr>
            </w:pPr>
            <w:r w:rsidRPr="0080119A">
              <w:rPr>
                <w:rFonts w:eastAsia="Times New Roman"/>
                <w:color w:val="1F1F1F"/>
                <w:bdr w:val="none" w:sz="0" w:space="0" w:color="auto" w:frame="1"/>
                <w:lang w:val="fr-FR"/>
              </w:rPr>
              <w:t>Plantes médicinales les plus citées</w:t>
            </w:r>
          </w:p>
        </w:tc>
        <w:tc>
          <w:tcPr>
            <w:tcW w:w="2689" w:type="dxa"/>
            <w:hideMark/>
          </w:tcPr>
          <w:p w14:paraId="0AD8FCEB" w14:textId="77777777" w:rsidR="00664D0A" w:rsidRPr="00D73339" w:rsidRDefault="00664D0A" w:rsidP="00B139C3">
            <w:pPr>
              <w:cnfStyle w:val="100000000000" w:firstRow="1"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Références</w:t>
            </w:r>
          </w:p>
        </w:tc>
      </w:tr>
      <w:tr w:rsidR="00664D0A" w:rsidRPr="00116A61" w14:paraId="7F3074D8" w14:textId="77777777" w:rsidTr="00B91DCD">
        <w:trPr>
          <w:cnfStyle w:val="000000100000" w:firstRow="0" w:lastRow="0" w:firstColumn="0" w:lastColumn="0" w:oddVBand="0" w:evenVBand="0" w:oddHBand="1" w:evenHBand="0" w:firstRowFirstColumn="0" w:firstRowLastColumn="0" w:lastRowFirstColumn="0" w:lastRowLastColumn="0"/>
          <w:trHeight w:val="1201"/>
        </w:trPr>
        <w:tc>
          <w:tcPr>
            <w:cnfStyle w:val="001000000000" w:firstRow="0" w:lastRow="0" w:firstColumn="1" w:lastColumn="0" w:oddVBand="0" w:evenVBand="0" w:oddHBand="0" w:evenHBand="0" w:firstRowFirstColumn="0" w:firstRowLastColumn="0" w:lastRowFirstColumn="0" w:lastRowLastColumn="0"/>
            <w:tcW w:w="1203" w:type="dxa"/>
            <w:hideMark/>
          </w:tcPr>
          <w:p w14:paraId="53566D85" w14:textId="77777777" w:rsidR="00664D0A" w:rsidRPr="00D73339" w:rsidRDefault="00664D0A" w:rsidP="00B139C3">
            <w:pPr>
              <w:rPr>
                <w:rFonts w:eastAsia="Times New Roman"/>
                <w:color w:val="1F1F1F"/>
                <w:lang w:val="fr-FR"/>
              </w:rPr>
            </w:pPr>
            <w:r w:rsidRPr="00D73339">
              <w:rPr>
                <w:rFonts w:eastAsia="Times New Roman"/>
                <w:color w:val="1F1F1F"/>
                <w:bdr w:val="none" w:sz="0" w:space="0" w:color="auto" w:frame="1"/>
                <w:lang w:val="fr-FR"/>
              </w:rPr>
              <w:t>Tlemcen</w:t>
            </w:r>
          </w:p>
        </w:tc>
        <w:tc>
          <w:tcPr>
            <w:tcW w:w="1762" w:type="dxa"/>
            <w:hideMark/>
          </w:tcPr>
          <w:p w14:paraId="35B46859"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60 espèces (32 familles)</w:t>
            </w:r>
          </w:p>
        </w:tc>
        <w:tc>
          <w:tcPr>
            <w:tcW w:w="4500" w:type="dxa"/>
            <w:hideMark/>
          </w:tcPr>
          <w:p w14:paraId="651400C9"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Trigonellafoenum-graecum, Rosmarinusofficinalis, Citrulluscolocynthis</w:t>
            </w:r>
          </w:p>
        </w:tc>
        <w:tc>
          <w:tcPr>
            <w:tcW w:w="2689" w:type="dxa"/>
            <w:hideMark/>
          </w:tcPr>
          <w:p w14:paraId="4B6F12C9"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(Azzi, 2013)</w:t>
            </w:r>
          </w:p>
        </w:tc>
      </w:tr>
      <w:tr w:rsidR="00664D0A" w:rsidRPr="00116A61" w14:paraId="2D37E7BD" w14:textId="77777777" w:rsidTr="00B91DCD">
        <w:trPr>
          <w:trHeight w:val="1028"/>
        </w:trPr>
        <w:tc>
          <w:tcPr>
            <w:cnfStyle w:val="001000000000" w:firstRow="0" w:lastRow="0" w:firstColumn="1" w:lastColumn="0" w:oddVBand="0" w:evenVBand="0" w:oddHBand="0" w:evenHBand="0" w:firstRowFirstColumn="0" w:firstRowLastColumn="0" w:lastRowFirstColumn="0" w:lastRowLastColumn="0"/>
            <w:tcW w:w="1203" w:type="dxa"/>
            <w:hideMark/>
          </w:tcPr>
          <w:p w14:paraId="00FF7BC8" w14:textId="77777777" w:rsidR="00664D0A" w:rsidRPr="00D73339" w:rsidRDefault="00664D0A" w:rsidP="00B139C3">
            <w:pPr>
              <w:rPr>
                <w:rFonts w:eastAsia="Times New Roman"/>
                <w:color w:val="1F1F1F"/>
                <w:lang w:val="fr-FR"/>
              </w:rPr>
            </w:pPr>
            <w:r w:rsidRPr="00D73339">
              <w:rPr>
                <w:rFonts w:eastAsia="Times New Roman"/>
                <w:color w:val="1F1F1F"/>
                <w:bdr w:val="none" w:sz="0" w:space="0" w:color="auto" w:frame="1"/>
                <w:lang w:val="fr-FR"/>
              </w:rPr>
              <w:t>Ghardaïa</w:t>
            </w:r>
          </w:p>
        </w:tc>
        <w:tc>
          <w:tcPr>
            <w:tcW w:w="1762" w:type="dxa"/>
            <w:hideMark/>
          </w:tcPr>
          <w:p w14:paraId="643C5E21" w14:textId="77777777" w:rsidR="00664D0A" w:rsidRPr="00D73339"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33 espèces (19 familles)</w:t>
            </w:r>
          </w:p>
        </w:tc>
        <w:tc>
          <w:tcPr>
            <w:tcW w:w="4500" w:type="dxa"/>
            <w:hideMark/>
          </w:tcPr>
          <w:p w14:paraId="7AF3F3D9" w14:textId="77777777" w:rsidR="00664D0A" w:rsidRPr="00F568F0"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F568F0">
              <w:rPr>
                <w:rFonts w:eastAsia="Times New Roman"/>
                <w:color w:val="1F1F1F"/>
                <w:bdr w:val="none" w:sz="0" w:space="0" w:color="auto" w:frame="1"/>
                <w:lang w:val="fr-FR"/>
              </w:rPr>
              <w:t>Artemisia herba-alba Asso, Salviaofficinalis L., Carum carvi L.</w:t>
            </w:r>
          </w:p>
        </w:tc>
        <w:tc>
          <w:tcPr>
            <w:tcW w:w="2689" w:type="dxa"/>
            <w:hideMark/>
          </w:tcPr>
          <w:p w14:paraId="7BDECBA8" w14:textId="77777777" w:rsidR="00664D0A" w:rsidRPr="00D73339"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(Kemassi et al., 2014)</w:t>
            </w:r>
          </w:p>
        </w:tc>
      </w:tr>
      <w:tr w:rsidR="00664D0A" w:rsidRPr="00116A61" w14:paraId="270EE189" w14:textId="77777777" w:rsidTr="00B91DCD">
        <w:trPr>
          <w:cnfStyle w:val="000000100000" w:firstRow="0" w:lastRow="0" w:firstColumn="0" w:lastColumn="0" w:oddVBand="0" w:evenVBand="0" w:oddHBand="1" w:evenHBand="0" w:firstRowFirstColumn="0" w:firstRowLastColumn="0" w:lastRowFirstColumn="0" w:lastRowLastColumn="0"/>
          <w:trHeight w:val="1028"/>
        </w:trPr>
        <w:tc>
          <w:tcPr>
            <w:cnfStyle w:val="001000000000" w:firstRow="0" w:lastRow="0" w:firstColumn="1" w:lastColumn="0" w:oddVBand="0" w:evenVBand="0" w:oddHBand="0" w:evenHBand="0" w:firstRowFirstColumn="0" w:firstRowLastColumn="0" w:lastRowFirstColumn="0" w:lastRowLastColumn="0"/>
            <w:tcW w:w="1203" w:type="dxa"/>
            <w:hideMark/>
          </w:tcPr>
          <w:p w14:paraId="54C2134D" w14:textId="77777777" w:rsidR="00664D0A" w:rsidRPr="00D73339" w:rsidRDefault="00664D0A" w:rsidP="00B139C3">
            <w:pPr>
              <w:rPr>
                <w:rFonts w:eastAsia="Times New Roman"/>
                <w:color w:val="1F1F1F"/>
                <w:lang w:val="fr-FR"/>
              </w:rPr>
            </w:pPr>
            <w:r w:rsidRPr="00D73339">
              <w:rPr>
                <w:rFonts w:eastAsia="Times New Roman"/>
                <w:color w:val="1F1F1F"/>
                <w:bdr w:val="none" w:sz="0" w:space="0" w:color="auto" w:frame="1"/>
                <w:lang w:val="fr-FR"/>
              </w:rPr>
              <w:t>Souk Ahras</w:t>
            </w:r>
          </w:p>
        </w:tc>
        <w:tc>
          <w:tcPr>
            <w:tcW w:w="1762" w:type="dxa"/>
            <w:hideMark/>
          </w:tcPr>
          <w:p w14:paraId="346B626A"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28 espèces (19 familles)</w:t>
            </w:r>
          </w:p>
        </w:tc>
        <w:tc>
          <w:tcPr>
            <w:tcW w:w="4500" w:type="dxa"/>
            <w:hideMark/>
          </w:tcPr>
          <w:p w14:paraId="16AB5680"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Morus nigra L., Olea europea L., Eucalyptus globulusLabill</w:t>
            </w:r>
          </w:p>
        </w:tc>
        <w:tc>
          <w:tcPr>
            <w:tcW w:w="2689" w:type="dxa"/>
            <w:hideMark/>
          </w:tcPr>
          <w:p w14:paraId="462225BF"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(Bouzabata, 2013)</w:t>
            </w:r>
          </w:p>
        </w:tc>
      </w:tr>
      <w:tr w:rsidR="00664D0A" w:rsidRPr="00116A61" w14:paraId="1AFDBFA4" w14:textId="77777777" w:rsidTr="00B91DCD">
        <w:trPr>
          <w:trHeight w:val="1046"/>
        </w:trPr>
        <w:tc>
          <w:tcPr>
            <w:cnfStyle w:val="001000000000" w:firstRow="0" w:lastRow="0" w:firstColumn="1" w:lastColumn="0" w:oddVBand="0" w:evenVBand="0" w:oddHBand="0" w:evenHBand="0" w:firstRowFirstColumn="0" w:firstRowLastColumn="0" w:lastRowFirstColumn="0" w:lastRowLastColumn="0"/>
            <w:tcW w:w="1203" w:type="dxa"/>
            <w:hideMark/>
          </w:tcPr>
          <w:p w14:paraId="00EF13C0" w14:textId="77777777" w:rsidR="00664D0A" w:rsidRPr="00D73339" w:rsidRDefault="00664D0A" w:rsidP="00B139C3">
            <w:pPr>
              <w:rPr>
                <w:rFonts w:eastAsia="Times New Roman"/>
                <w:color w:val="1F1F1F"/>
                <w:lang w:val="fr-FR"/>
              </w:rPr>
            </w:pPr>
            <w:r w:rsidRPr="00D73339">
              <w:rPr>
                <w:rFonts w:eastAsia="Times New Roman"/>
                <w:color w:val="1F1F1F"/>
                <w:bdr w:val="none" w:sz="0" w:space="0" w:color="auto" w:frame="1"/>
                <w:lang w:val="fr-FR"/>
              </w:rPr>
              <w:t>Bordj Bou Arréridj</w:t>
            </w:r>
          </w:p>
        </w:tc>
        <w:tc>
          <w:tcPr>
            <w:tcW w:w="1762" w:type="dxa"/>
            <w:hideMark/>
          </w:tcPr>
          <w:p w14:paraId="6ED54B18" w14:textId="77777777" w:rsidR="00664D0A" w:rsidRPr="00D73339"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24 espèces (16 familles)</w:t>
            </w:r>
          </w:p>
        </w:tc>
        <w:tc>
          <w:tcPr>
            <w:tcW w:w="4500" w:type="dxa"/>
            <w:hideMark/>
          </w:tcPr>
          <w:p w14:paraId="07AEC738" w14:textId="77777777" w:rsidR="00664D0A" w:rsidRPr="00F568F0"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F568F0">
              <w:rPr>
                <w:rFonts w:eastAsia="Times New Roman"/>
                <w:color w:val="1F1F1F"/>
                <w:bdr w:val="none" w:sz="0" w:space="0" w:color="auto" w:frame="1"/>
                <w:lang w:val="fr-FR"/>
              </w:rPr>
              <w:t>Artemisia herba-alba, Trigonellafoenum-graecum L.</w:t>
            </w:r>
          </w:p>
        </w:tc>
        <w:tc>
          <w:tcPr>
            <w:tcW w:w="2689" w:type="dxa"/>
            <w:hideMark/>
          </w:tcPr>
          <w:p w14:paraId="571D52C9" w14:textId="77777777" w:rsidR="00664D0A" w:rsidRPr="00D73339"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(Lalami et Mahsas, 2021)</w:t>
            </w:r>
          </w:p>
        </w:tc>
      </w:tr>
      <w:tr w:rsidR="00664D0A" w:rsidRPr="00116A61" w14:paraId="59BDADB3" w14:textId="77777777" w:rsidTr="00B91DCD">
        <w:trPr>
          <w:cnfStyle w:val="000000100000" w:firstRow="0" w:lastRow="0" w:firstColumn="0" w:lastColumn="0" w:oddVBand="0" w:evenVBand="0" w:oddHBand="1" w:evenHBand="0" w:firstRowFirstColumn="0" w:firstRowLastColumn="0" w:lastRowFirstColumn="0" w:lastRowLastColumn="0"/>
          <w:trHeight w:val="1532"/>
        </w:trPr>
        <w:tc>
          <w:tcPr>
            <w:cnfStyle w:val="001000000000" w:firstRow="0" w:lastRow="0" w:firstColumn="1" w:lastColumn="0" w:oddVBand="0" w:evenVBand="0" w:oddHBand="0" w:evenHBand="0" w:firstRowFirstColumn="0" w:firstRowLastColumn="0" w:lastRowFirstColumn="0" w:lastRowLastColumn="0"/>
            <w:tcW w:w="1203" w:type="dxa"/>
            <w:hideMark/>
          </w:tcPr>
          <w:p w14:paraId="13ADA928" w14:textId="77777777" w:rsidR="00664D0A" w:rsidRPr="00D73339" w:rsidRDefault="00664D0A" w:rsidP="00B139C3">
            <w:pPr>
              <w:rPr>
                <w:rFonts w:eastAsia="Times New Roman"/>
                <w:color w:val="1F1F1F"/>
                <w:lang w:val="fr-FR"/>
              </w:rPr>
            </w:pPr>
            <w:r w:rsidRPr="00D73339">
              <w:rPr>
                <w:rFonts w:eastAsia="Times New Roman"/>
                <w:color w:val="1F1F1F"/>
                <w:bdr w:val="none" w:sz="0" w:space="0" w:color="auto" w:frame="1"/>
                <w:lang w:val="fr-FR"/>
              </w:rPr>
              <w:t>Ouargla</w:t>
            </w:r>
          </w:p>
        </w:tc>
        <w:tc>
          <w:tcPr>
            <w:tcW w:w="1762" w:type="dxa"/>
            <w:hideMark/>
          </w:tcPr>
          <w:p w14:paraId="083F2E50"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37 espèces (dont 27 de terrain)</w:t>
            </w:r>
          </w:p>
        </w:tc>
        <w:tc>
          <w:tcPr>
            <w:tcW w:w="4500" w:type="dxa"/>
            <w:hideMark/>
          </w:tcPr>
          <w:p w14:paraId="7AE0712D"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Astéracées, Poacées, Chénopodiacées, Labiées</w:t>
            </w:r>
          </w:p>
        </w:tc>
        <w:tc>
          <w:tcPr>
            <w:tcW w:w="2689" w:type="dxa"/>
            <w:hideMark/>
          </w:tcPr>
          <w:p w14:paraId="0F62BB72" w14:textId="77777777" w:rsidR="00664D0A" w:rsidRPr="00F568F0"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F568F0">
              <w:rPr>
                <w:rFonts w:eastAsia="Times New Roman"/>
                <w:color w:val="1F1F1F"/>
                <w:bdr w:val="none" w:sz="0" w:space="0" w:color="auto" w:frame="1"/>
                <w:lang w:val="fr-FR"/>
              </w:rPr>
              <w:t>(Ould El Hadj et al., 2003)</w:t>
            </w:r>
          </w:p>
        </w:tc>
      </w:tr>
      <w:tr w:rsidR="00664D0A" w:rsidRPr="00116A61" w14:paraId="2FAF17CF" w14:textId="77777777" w:rsidTr="00B91DCD">
        <w:trPr>
          <w:trHeight w:val="1551"/>
        </w:trPr>
        <w:tc>
          <w:tcPr>
            <w:cnfStyle w:val="001000000000" w:firstRow="0" w:lastRow="0" w:firstColumn="1" w:lastColumn="0" w:oddVBand="0" w:evenVBand="0" w:oddHBand="0" w:evenHBand="0" w:firstRowFirstColumn="0" w:firstRowLastColumn="0" w:lastRowFirstColumn="0" w:lastRowLastColumn="0"/>
            <w:tcW w:w="1203" w:type="dxa"/>
            <w:hideMark/>
          </w:tcPr>
          <w:p w14:paraId="5CBD8916" w14:textId="77777777" w:rsidR="00664D0A" w:rsidRPr="0080119A" w:rsidRDefault="00664D0A" w:rsidP="00B139C3">
            <w:pPr>
              <w:rPr>
                <w:rFonts w:eastAsia="Times New Roman"/>
                <w:color w:val="1F1F1F"/>
                <w:lang w:val="fr-FR"/>
              </w:rPr>
            </w:pPr>
            <w:r w:rsidRPr="0080119A">
              <w:rPr>
                <w:rFonts w:eastAsia="Times New Roman"/>
                <w:color w:val="1F1F1F"/>
                <w:bdr w:val="none" w:sz="0" w:space="0" w:color="auto" w:frame="1"/>
                <w:lang w:val="fr-FR"/>
              </w:rPr>
              <w:t>P.N. de Djebel Aissa (Ain Sefra)</w:t>
            </w:r>
          </w:p>
        </w:tc>
        <w:tc>
          <w:tcPr>
            <w:tcW w:w="1762" w:type="dxa"/>
            <w:hideMark/>
          </w:tcPr>
          <w:p w14:paraId="6E4101C2" w14:textId="77777777" w:rsidR="00664D0A" w:rsidRPr="00D73339"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41 espèces (20 familles)</w:t>
            </w:r>
          </w:p>
        </w:tc>
        <w:tc>
          <w:tcPr>
            <w:tcW w:w="4500" w:type="dxa"/>
            <w:hideMark/>
          </w:tcPr>
          <w:p w14:paraId="4EED577A" w14:textId="77777777" w:rsidR="00664D0A" w:rsidRPr="00D73339"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Lamiacées (9), Astéracées (6), Oléacées (3), Fabacées (3)</w:t>
            </w:r>
          </w:p>
        </w:tc>
        <w:tc>
          <w:tcPr>
            <w:tcW w:w="2689" w:type="dxa"/>
            <w:hideMark/>
          </w:tcPr>
          <w:p w14:paraId="0241C1A9" w14:textId="77777777" w:rsidR="00664D0A" w:rsidRPr="00D73339"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(Hadjadj et al., 2019)</w:t>
            </w:r>
          </w:p>
        </w:tc>
      </w:tr>
      <w:tr w:rsidR="00664D0A" w:rsidRPr="00116A61" w14:paraId="7BE472A7" w14:textId="77777777" w:rsidTr="00B91DCD">
        <w:trPr>
          <w:cnfStyle w:val="000000100000" w:firstRow="0" w:lastRow="0" w:firstColumn="0" w:lastColumn="0" w:oddVBand="0" w:evenVBand="0" w:oddHBand="1" w:evenHBand="0" w:firstRowFirstColumn="0" w:firstRowLastColumn="0" w:lastRowFirstColumn="0" w:lastRowLastColumn="0"/>
          <w:trHeight w:val="1028"/>
        </w:trPr>
        <w:tc>
          <w:tcPr>
            <w:cnfStyle w:val="001000000000" w:firstRow="0" w:lastRow="0" w:firstColumn="1" w:lastColumn="0" w:oddVBand="0" w:evenVBand="0" w:oddHBand="0" w:evenHBand="0" w:firstRowFirstColumn="0" w:firstRowLastColumn="0" w:lastRowFirstColumn="0" w:lastRowLastColumn="0"/>
            <w:tcW w:w="1203" w:type="dxa"/>
            <w:hideMark/>
          </w:tcPr>
          <w:p w14:paraId="6B312881" w14:textId="77777777" w:rsidR="00664D0A" w:rsidRPr="00D73339" w:rsidRDefault="00664D0A" w:rsidP="00B139C3">
            <w:pPr>
              <w:rPr>
                <w:rFonts w:eastAsia="Times New Roman"/>
                <w:color w:val="1F1F1F"/>
                <w:lang w:val="fr-FR"/>
              </w:rPr>
            </w:pPr>
            <w:r w:rsidRPr="00D73339">
              <w:rPr>
                <w:rFonts w:eastAsia="Times New Roman"/>
                <w:color w:val="1F1F1F"/>
                <w:bdr w:val="none" w:sz="0" w:space="0" w:color="auto" w:frame="1"/>
                <w:lang w:val="fr-FR"/>
              </w:rPr>
              <w:t>Annaba</w:t>
            </w:r>
          </w:p>
        </w:tc>
        <w:tc>
          <w:tcPr>
            <w:tcW w:w="1762" w:type="dxa"/>
            <w:hideMark/>
          </w:tcPr>
          <w:p w14:paraId="57EBD892"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26 espèces</w:t>
            </w:r>
          </w:p>
        </w:tc>
        <w:tc>
          <w:tcPr>
            <w:tcW w:w="4500" w:type="dxa"/>
            <w:hideMark/>
          </w:tcPr>
          <w:p w14:paraId="0DE02EAF"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 xml:space="preserve">Thymus munbyanussubsp. </w:t>
            </w:r>
            <w:proofErr w:type="gramStart"/>
            <w:r w:rsidRPr="00D73339">
              <w:rPr>
                <w:rFonts w:eastAsia="Times New Roman"/>
                <w:color w:val="1F1F1F"/>
                <w:bdr w:val="none" w:sz="0" w:space="0" w:color="auto" w:frame="1"/>
                <w:lang w:val="fr-FR"/>
              </w:rPr>
              <w:t>coloratus</w:t>
            </w:r>
            <w:proofErr w:type="gramEnd"/>
            <w:r w:rsidRPr="00D73339">
              <w:rPr>
                <w:rFonts w:eastAsia="Times New Roman"/>
                <w:color w:val="1F1F1F"/>
                <w:bdr w:val="none" w:sz="0" w:space="0" w:color="auto" w:frame="1"/>
                <w:lang w:val="fr-FR"/>
              </w:rPr>
              <w:t>, Olea europaea L.</w:t>
            </w:r>
          </w:p>
        </w:tc>
        <w:tc>
          <w:tcPr>
            <w:tcW w:w="2689" w:type="dxa"/>
            <w:hideMark/>
          </w:tcPr>
          <w:p w14:paraId="6C6BBAA6"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(Hamel et al., 2018)</w:t>
            </w:r>
          </w:p>
        </w:tc>
      </w:tr>
      <w:tr w:rsidR="00664D0A" w:rsidRPr="00116A61" w14:paraId="45071CBE" w14:textId="77777777" w:rsidTr="00B91DCD">
        <w:trPr>
          <w:trHeight w:val="710"/>
        </w:trPr>
        <w:tc>
          <w:tcPr>
            <w:cnfStyle w:val="001000000000" w:firstRow="0" w:lastRow="0" w:firstColumn="1" w:lastColumn="0" w:oddVBand="0" w:evenVBand="0" w:oddHBand="0" w:evenHBand="0" w:firstRowFirstColumn="0" w:firstRowLastColumn="0" w:lastRowFirstColumn="0" w:lastRowLastColumn="0"/>
            <w:tcW w:w="1203" w:type="dxa"/>
            <w:hideMark/>
          </w:tcPr>
          <w:p w14:paraId="060F76B8" w14:textId="77777777" w:rsidR="00664D0A" w:rsidRPr="00D73339" w:rsidRDefault="00664D0A" w:rsidP="00B139C3">
            <w:pPr>
              <w:rPr>
                <w:rFonts w:eastAsia="Times New Roman"/>
                <w:color w:val="1F1F1F"/>
                <w:lang w:val="fr-FR"/>
              </w:rPr>
            </w:pPr>
            <w:r w:rsidRPr="00D73339">
              <w:rPr>
                <w:rFonts w:eastAsia="Times New Roman"/>
                <w:color w:val="1F1F1F"/>
                <w:bdr w:val="none" w:sz="0" w:space="0" w:color="auto" w:frame="1"/>
                <w:lang w:val="fr-FR"/>
              </w:rPr>
              <w:lastRenderedPageBreak/>
              <w:t>Aurès</w:t>
            </w:r>
          </w:p>
        </w:tc>
        <w:tc>
          <w:tcPr>
            <w:tcW w:w="1762" w:type="dxa"/>
            <w:hideMark/>
          </w:tcPr>
          <w:p w14:paraId="1A4A22AC" w14:textId="77777777" w:rsidR="00664D0A" w:rsidRPr="00D73339"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167 espèces (59 familles)</w:t>
            </w:r>
          </w:p>
        </w:tc>
        <w:tc>
          <w:tcPr>
            <w:tcW w:w="4500" w:type="dxa"/>
            <w:hideMark/>
          </w:tcPr>
          <w:p w14:paraId="2920F24F" w14:textId="77777777" w:rsidR="00664D0A" w:rsidRPr="00D73339"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Rosmarinusofficinalis, Artemisia herba-alba, Menthaspicata, Thymus vulgaris</w:t>
            </w:r>
          </w:p>
        </w:tc>
        <w:tc>
          <w:tcPr>
            <w:tcW w:w="2689" w:type="dxa"/>
            <w:hideMark/>
          </w:tcPr>
          <w:p w14:paraId="6FFC81A9" w14:textId="77777777" w:rsidR="00664D0A" w:rsidRPr="00D73339" w:rsidRDefault="00664D0A" w:rsidP="00B139C3">
            <w:pPr>
              <w:cnfStyle w:val="000000000000" w:firstRow="0" w:lastRow="0" w:firstColumn="0" w:lastColumn="0" w:oddVBand="0" w:evenVBand="0" w:oddHBand="0"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(Adouane, 2016)</w:t>
            </w:r>
          </w:p>
        </w:tc>
      </w:tr>
      <w:tr w:rsidR="00664D0A" w:rsidRPr="00116A61" w14:paraId="091B9B21" w14:textId="77777777" w:rsidTr="00B91DCD">
        <w:trPr>
          <w:cnfStyle w:val="000000100000" w:firstRow="0" w:lastRow="0" w:firstColumn="0" w:lastColumn="0" w:oddVBand="0" w:evenVBand="0" w:oddHBand="1" w:evenHBand="0" w:firstRowFirstColumn="0" w:firstRowLastColumn="0" w:lastRowFirstColumn="0" w:lastRowLastColumn="0"/>
          <w:trHeight w:val="1028"/>
        </w:trPr>
        <w:tc>
          <w:tcPr>
            <w:cnfStyle w:val="001000000000" w:firstRow="0" w:lastRow="0" w:firstColumn="1" w:lastColumn="0" w:oddVBand="0" w:evenVBand="0" w:oddHBand="0" w:evenHBand="0" w:firstRowFirstColumn="0" w:firstRowLastColumn="0" w:lastRowFirstColumn="0" w:lastRowLastColumn="0"/>
            <w:tcW w:w="1203" w:type="dxa"/>
            <w:hideMark/>
          </w:tcPr>
          <w:p w14:paraId="3CE671AD" w14:textId="77777777" w:rsidR="00664D0A" w:rsidRPr="00D73339" w:rsidRDefault="00664D0A" w:rsidP="00B139C3">
            <w:pPr>
              <w:rPr>
                <w:rFonts w:eastAsia="Times New Roman"/>
                <w:color w:val="1F1F1F"/>
                <w:lang w:val="fr-FR"/>
              </w:rPr>
            </w:pPr>
            <w:r w:rsidRPr="00D73339">
              <w:rPr>
                <w:rFonts w:eastAsia="Times New Roman"/>
                <w:color w:val="1F1F1F"/>
                <w:bdr w:val="none" w:sz="0" w:space="0" w:color="auto" w:frame="1"/>
                <w:lang w:val="fr-FR"/>
              </w:rPr>
              <w:t>M’sila</w:t>
            </w:r>
          </w:p>
        </w:tc>
        <w:tc>
          <w:tcPr>
            <w:tcW w:w="1762" w:type="dxa"/>
            <w:hideMark/>
          </w:tcPr>
          <w:p w14:paraId="6FA3CCB7"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56 espèces (29 familles)</w:t>
            </w:r>
          </w:p>
        </w:tc>
        <w:tc>
          <w:tcPr>
            <w:tcW w:w="4500" w:type="dxa"/>
            <w:hideMark/>
          </w:tcPr>
          <w:p w14:paraId="79F184A2"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Lamiaceae, Asteraceae, Apiaceae, Cupressaceae</w:t>
            </w:r>
          </w:p>
        </w:tc>
        <w:tc>
          <w:tcPr>
            <w:tcW w:w="2689" w:type="dxa"/>
            <w:hideMark/>
          </w:tcPr>
          <w:p w14:paraId="417A3A4E" w14:textId="77777777" w:rsidR="00664D0A" w:rsidRPr="00D73339" w:rsidRDefault="00664D0A" w:rsidP="00B139C3">
            <w:pPr>
              <w:cnfStyle w:val="000000100000" w:firstRow="0" w:lastRow="0" w:firstColumn="0" w:lastColumn="0" w:oddVBand="0" w:evenVBand="0" w:oddHBand="1" w:evenHBand="0" w:firstRowFirstColumn="0" w:firstRowLastColumn="0" w:lastRowFirstColumn="0" w:lastRowLastColumn="0"/>
              <w:rPr>
                <w:rFonts w:eastAsia="Times New Roman"/>
                <w:color w:val="1F1F1F"/>
                <w:lang w:val="fr-FR"/>
              </w:rPr>
            </w:pPr>
            <w:r w:rsidRPr="00D73339">
              <w:rPr>
                <w:rFonts w:eastAsia="Times New Roman"/>
                <w:color w:val="1F1F1F"/>
                <w:bdr w:val="none" w:sz="0" w:space="0" w:color="auto" w:frame="1"/>
                <w:lang w:val="fr-FR"/>
              </w:rPr>
              <w:t>(Ibn Sina et Bounab, 2017)</w:t>
            </w:r>
          </w:p>
        </w:tc>
      </w:tr>
    </w:tbl>
    <w:p w14:paraId="031AFDD6" w14:textId="3BCC6DAF" w:rsidR="00664D0A" w:rsidRPr="00664D0A" w:rsidRDefault="00664D0A" w:rsidP="00D73339">
      <w:pPr>
        <w:rPr>
          <w:rFonts w:eastAsia="Calibri"/>
          <w:sz w:val="32"/>
          <w:szCs w:val="32"/>
          <w:u w:val="single"/>
          <w:lang w:val="fr-FR"/>
        </w:rPr>
      </w:pPr>
      <w:r w:rsidRPr="00664D0A">
        <w:rPr>
          <w:rFonts w:eastAsia="Calibri"/>
          <w:lang w:val="fr-FR"/>
        </w:rPr>
        <w:t xml:space="preserve"> Il est par conséquent primordial de poursuivre les recherches afin d'évaluer rigoureusement la sécurité, l'efficacité et les interactions potentielles de ces végétaux avec les traitements établis contre le diabète, démarche qui permettrait une intégration éclairée de ces pratiques au sein des</w:t>
      </w:r>
      <w:r w:rsidR="00D73339">
        <w:rPr>
          <w:rFonts w:eastAsia="Calibri"/>
          <w:lang w:val="fr-FR"/>
        </w:rPr>
        <w:t xml:space="preserve"> soins de santé actuelle </w:t>
      </w:r>
      <w:r w:rsidR="00D73339">
        <w:rPr>
          <w:rFonts w:eastAsia="Calibri"/>
          <w:lang w:val="fr-FR"/>
        </w:rPr>
        <w:fldChar w:fldCharType="begin"/>
      </w:r>
      <w:r w:rsidR="00116A61">
        <w:rPr>
          <w:rFonts w:eastAsia="Calibri"/>
          <w:lang w:val="fr-FR"/>
        </w:rPr>
        <w:instrText xml:space="preserve"> ADDIN ZOTERO_ITEM CSL_CITATION {"citationID":"0wpGFJQP","properties":{"unsorted":false,"formattedCitation":"(96)","plainCitation":"(96)","noteIndex":0},"citationItems":[{"id":"6VBx8p83/ZfZiE7yi","uris":["http://zotero.org/users/local/xPnoPzR4/items/ZVPFJ3GF"],"itemData":{"id":398,"type":"article-journal","abstract":"The use of herbal medicinal products and supplements has increased tremendously over the past three decades with not less than 80% of people worldwide relying on them for some part of primary healthcare. Although therapies involving these agents have shown promising potential with the efficacy of a good number of herbal products clearly established, many of them remain untested and their use are either poorly monitored or not even monitored at all. The consequence of this is an inadequate knowledge of their mode of action, potential adverse reactions, contraindications, and interactions with existing orthodox pharmaceuticals and functional foods to promote both safe and rational use of these agents. Since safety continues to be a major issue with the use of herbal remedies, it becomes imperative, therefore, that relevant regulatory authorities put in place appropriate measures to protect public health by ensuring that all herbal medicines are safe and of suitable quality. This review discusses toxicity-related issues and major safety concerns arising from the use of herbal medicinal products and also highlights some important challenges associated with effective monitoring of their safety.","container-title":"Frontiers in Pharmacology","DOI":"10.3389/fphar.2013.00177","ISSN":"1663-9812","journalAbbreviation":"Front Pharmacol","page":"177","PMID":"24454289","PMCID":"PMC3887317","source":"PubMed Central","title":"The growing use of herbal medicines: issues relating to adverse reactions and challenges in monitoring safety","title-short":"The growing use of herbal medicines","volume":"4","author":[{"family":"Ekor","given":"Martins"}],"issued":{"date-parts":[["2014",1,10]]}}}],"schema":"https://github.com/citation-style-language/schema/raw/master/csl-citation.json"} </w:instrText>
      </w:r>
      <w:r w:rsidR="00D73339">
        <w:rPr>
          <w:rFonts w:eastAsia="Calibri"/>
          <w:lang w:val="fr-FR"/>
        </w:rPr>
        <w:fldChar w:fldCharType="separate"/>
      </w:r>
      <w:r w:rsidR="00D73339" w:rsidRPr="00D73339">
        <w:rPr>
          <w:rFonts w:ascii="Times New Roman" w:hAnsi="Times New Roman" w:cs="Times New Roman"/>
          <w:lang w:val="fr-FR"/>
        </w:rPr>
        <w:t>(96)</w:t>
      </w:r>
      <w:r w:rsidR="00D73339">
        <w:rPr>
          <w:rFonts w:eastAsia="Calibri"/>
          <w:lang w:val="fr-FR"/>
        </w:rPr>
        <w:fldChar w:fldCharType="end"/>
      </w:r>
    </w:p>
    <w:p w14:paraId="3D889ABD" w14:textId="77777777" w:rsidR="00664D0A" w:rsidRPr="00664D0A" w:rsidRDefault="00664D0A" w:rsidP="00665FE5">
      <w:pPr>
        <w:pStyle w:val="Heading1"/>
      </w:pPr>
      <w:bookmarkStart w:id="65" w:name="_Toc229618796"/>
      <w:r w:rsidRPr="00664D0A">
        <w:t>6/Les types de la phytothérapie :</w:t>
      </w:r>
      <w:bookmarkEnd w:id="65"/>
    </w:p>
    <w:p w14:paraId="3CA50DA5" w14:textId="77777777" w:rsidR="00664D0A" w:rsidRPr="00664D0A" w:rsidRDefault="00664D0A" w:rsidP="00665FE5">
      <w:pPr>
        <w:pStyle w:val="Heading2"/>
      </w:pPr>
      <w:bookmarkStart w:id="66" w:name="_Toc229618797"/>
      <w:r w:rsidRPr="00664D0A">
        <w:t xml:space="preserve">6-1/ La phytothérapie </w:t>
      </w:r>
      <w:proofErr w:type="gramStart"/>
      <w:r w:rsidRPr="00664D0A">
        <w:t>traditionnelle:</w:t>
      </w:r>
      <w:bookmarkEnd w:id="66"/>
      <w:proofErr w:type="gramEnd"/>
    </w:p>
    <w:p w14:paraId="23093A46" w14:textId="67E75ECF" w:rsidR="00664D0A" w:rsidRPr="00664D0A" w:rsidRDefault="00664D0A" w:rsidP="00D73339">
      <w:pPr>
        <w:rPr>
          <w:lang w:val="fr-FR"/>
        </w:rPr>
      </w:pPr>
      <w:r w:rsidRPr="00664D0A">
        <w:rPr>
          <w:lang w:val="fr-FR"/>
        </w:rPr>
        <w:t>La phytothérapie traditionnelle demeure une ressource essentielle pour les communautés rurales, où l’accès aux soins modernes est limité. Les pratiques ancestrales reposent sur une transmission orale et sur l’utilisation empirique des plantes médicinales, qui continuent de fournir des solutions thérapeutiques efficaces.</w:t>
      </w:r>
      <w:r w:rsidRPr="00E71797">
        <w:fldChar w:fldCharType="begin"/>
      </w:r>
      <w:r w:rsidR="00116A61">
        <w:rPr>
          <w:lang w:val="fr-FR"/>
        </w:rPr>
        <w:instrText xml:space="preserve"> ADDIN ZOTERO_ITEM CSL_CITATION {"citationID":"enG0pFDi","properties":{"formattedCitation":"(97)","plainCitation":"(97)","noteIndex":0},"citationItems":[{"id":"6VBx8p83/EYdUttCG","uris":["http://zotero.org/users/local/QE2koe11/items/LBRVNKXG"],"itemData":{"id":150,"type":"article-journal","abstract":"BackgroundThe World Health Organization (WHO) reports that a significant portion of the global population relies on traditional herbal medicine (THM) due to limited access to safe and high-quality modern medical care. In developing countries, it is difficult to guarantee the safety and quality of THM due to weak enforcement of the legal and regulatory framework. Hence, the study attempted to evaluate the country’s legislative and regulatory framework by comparing it with developed and developing countries that have well-established systems and identify gaps for future roadmaps in the THM landscape.MethodsA cross-sectional study and archival review were performed from November 2021 to March 2022 G.C. to contrast the legislative and regulatory framework for THM regulation with other selected countries like Africa, India, and China. A total of 237 regulatory personnel participated in the study. Data were collected through an archive assessment, self-administrative questionnaires, and literature searches. Secondary data were extracted from the archival review, and the findings were summarized and presented in tabular and text formats. The quantitative data were analyzed using Statistical Package for the Social Sciences (SPSS) software version 26, with outputs presented in text, table, and figure form.ResultsThe archival review of the study found that Ethiopia’s THM legislative and regulatory framework is still in a developmental phase, particularly when compared with countries that have more established systems. A cross-sectional study indicated that approximately 79.7% of participants were aware of THM-related content in the current legislation. However, 82.3% reported they had not received any formal training on THM regulations. For future roadmaps, 73.8% of respondents believed the government showed a commitment to supporting THM regulation, though 51.9% of participants noted limited knowledge and awareness of THM practices and product regulations. In terms of quality, safety, efficacy, rational use, and storage conditions, 49.8% of respondents rated regulatory implementation practice as not satisfactory. In this study, most study participants raised concerns about the performance of quality control parameters. Among regulatory experts, weak performance was identified in the practical implementation of THM regulatory activities, with 70.2% of weak performance observed at the federal level and 41.7% at the regional level. Key barriers to effective regulation included a lack of research on herbal medicines (90.3%) and insufficient regulatory mechanisms (87.8%). Additional challenges for regulatory offices included traditional healers’ reluctance to engage with scientific communities (56.5%), inadequate inspections (55.3%), and limited data on the safety, quality, and efficacy of certain medicinal plants (54.4%).ConclusionOverall, the Ethiopian Food and Drug Authority (EFDA) is significantly strengthening the legislative and regulatory framework for traditional herbal medicines (THM), although full implementation is still forthcoming. This study highlights the need for comprehensive policy development, improved training initiatives, and reinforced regulatory systems to effectively monitor and regulate THM practices. For future roadmaps, collaboration among traditional healers, regulatory bodies, and scientific communities, along with supporting evidence-based research, could further enhance THM regulation in Ethiopia. These collaborative endeavors are critical for promoting the safety and quality of products derived from herbal medicines.","container-title":"Frontiers in Pharmacology","DOI":"10.3389/fphar.2025.1475297","ISSN":"1663-9812","journalAbbreviation":"Front. Pharmacol.","language":"English","publisher":"Frontiers","source":"Frontiers","title":"Traditional herbal medicine legislative and regulatory framework: a cross-sectional quantitative study and archival review perspectives","title-short":"Traditional herbal medicine legislative and regulatory framework","URL":"https://www.frontiersin.org/journals/pharmacology/articles/10.3389/fphar.2025.1475297/full","volume":"16","author":[{"family":"Dubale","given":"Sileshi"},{"family":"Usure","given":"Rashed Edris"},{"family":"Mekasha","given":"Yesuneh Tefera"},{"family":"Hasen","given":"Gemmechu"},{"family":"Hafiz","given":"Firdos"},{"family":"Kebebe","given":"Dereje"},{"family":"Suleman","given":"Sultan"}],"accessed":{"date-parts":[["2026",4,10]]},"issued":{"date-parts":[["2025",1,30]]}}}],"schema":"https://github.com/citation-style-language/schema/raw/master/csl-citation.json"} </w:instrText>
      </w:r>
      <w:r w:rsidRPr="00E71797">
        <w:fldChar w:fldCharType="separate"/>
      </w:r>
      <w:r w:rsidR="00D73339" w:rsidRPr="00D73339">
        <w:rPr>
          <w:rFonts w:ascii="Calibri" w:hAnsi="Calibri" w:cs="Calibri"/>
          <w:lang w:val="fr-FR"/>
        </w:rPr>
        <w:t>(97)</w:t>
      </w:r>
      <w:r w:rsidRPr="00E71797">
        <w:fldChar w:fldCharType="end"/>
      </w:r>
    </w:p>
    <w:p w14:paraId="340D6646" w14:textId="77777777" w:rsidR="00664D0A" w:rsidRPr="00664D0A" w:rsidRDefault="00664D0A" w:rsidP="00B139C3">
      <w:pPr>
        <w:rPr>
          <w:lang w:val="fr-FR"/>
        </w:rPr>
      </w:pPr>
      <w:r w:rsidRPr="00664D0A">
        <w:rPr>
          <w:lang w:val="fr-FR"/>
        </w:rPr>
        <w:t>Elle était longtemps marginalisée, est aujourd’hui reconnue comme une source précieuse de molécules bioactives. Son intégration dans la médecine moderne repose sur la validation scientifique des usages ancestraux et sur la standardisation des extraits végétaux.</w:t>
      </w:r>
    </w:p>
    <w:p w14:paraId="438E996C" w14:textId="2D51E46C" w:rsidR="00664D0A" w:rsidRPr="00664D0A" w:rsidRDefault="00664D0A" w:rsidP="00D73339">
      <w:pPr>
        <w:rPr>
          <w:lang w:val="fr-FR"/>
        </w:rPr>
      </w:pPr>
      <w:r w:rsidRPr="00664D0A">
        <w:rPr>
          <w:lang w:val="fr-FR"/>
        </w:rPr>
        <w:t>Selon l’OMS, près de 80 % de la population mondiale dépend encore des médecines traditionnelles à base de plantes. Cette Reliance témoigne de l’importance culturelle et sanitaire de la phytothérapie traditionnelle, mais souligne aussi la nécessité d’un encadrement réglementaire pour garantir qualité et sécurité.</w:t>
      </w:r>
      <w:r w:rsidRPr="00E71797">
        <w:fldChar w:fldCharType="begin"/>
      </w:r>
      <w:r w:rsidR="00116A61">
        <w:rPr>
          <w:lang w:val="fr-FR"/>
        </w:rPr>
        <w:instrText xml:space="preserve"> ADDIN ZOTERO_ITEM CSL_CITATION {"citationID":"8OSytC56","properties":{"formattedCitation":"(98)","plainCitation":"(98)","noteIndex":0},"citationItems":[{"id":"6VBx8p83/SexFvQkg","uris":["http://zotero.org/users/local/QE2koe11/items/GGGG2LCW"],"itemData":{"id":180,"type":"webpage","abstract":"The World Health Organization (WHO) is building a better future for people everywhere. Health lays the foundation for vibrant and productive communities, stronger economies, safer nations and a better world. Our work touches lives around the world every day – often in invisible ways. As the lead health authority within the United Nations (UN) system, we help ensure the safety of the air we breathe, the food we eat, the water we drink and the medicines and vaccines that treat and protect us. The Organization aims to provide every child, woman and man with the best chance to lead a healthier, longer life.","language":"fr","title":"Traditional Medicine | OMS | Bureau régional pour l'Afrique","URL":"https://www.afro.who.int/health-topics/traditional-medicine","accessed":{"date-parts":[["2026",4,25]]},"issued":{"date-parts":[["2026",4,23]]}}}],"schema":"https://github.com/citation-style-language/schema/raw/master/csl-citation.json"} </w:instrText>
      </w:r>
      <w:r w:rsidRPr="00E71797">
        <w:fldChar w:fldCharType="separate"/>
      </w:r>
      <w:r w:rsidR="00D73339" w:rsidRPr="00D73339">
        <w:rPr>
          <w:rFonts w:ascii="Calibri" w:hAnsi="Calibri" w:cs="Calibri"/>
          <w:lang w:val="fr-FR"/>
        </w:rPr>
        <w:t>(98)</w:t>
      </w:r>
      <w:r w:rsidRPr="00E71797">
        <w:fldChar w:fldCharType="end"/>
      </w:r>
      <w:r w:rsidR="00665FE5">
        <w:rPr>
          <w:lang w:val="fr-FR"/>
        </w:rPr>
        <w:t xml:space="preserve"> </w:t>
      </w:r>
    </w:p>
    <w:p w14:paraId="50A0A9D6" w14:textId="77777777" w:rsidR="00664D0A" w:rsidRPr="00664D0A" w:rsidRDefault="00664D0A" w:rsidP="00665FE5">
      <w:pPr>
        <w:pStyle w:val="Heading2"/>
      </w:pPr>
      <w:bookmarkStart w:id="67" w:name="_Toc229618798"/>
      <w:r w:rsidRPr="00664D0A">
        <w:t>6-2/la phytothérapie moderne :</w:t>
      </w:r>
      <w:bookmarkEnd w:id="67"/>
    </w:p>
    <w:p w14:paraId="3EA067BC" w14:textId="65C9F636" w:rsidR="00664D0A" w:rsidRPr="00664D0A" w:rsidRDefault="00664D0A" w:rsidP="00D73339">
      <w:pPr>
        <w:rPr>
          <w:lang w:val="fr-FR"/>
        </w:rPr>
      </w:pPr>
      <w:r w:rsidRPr="00664D0A">
        <w:rPr>
          <w:lang w:val="fr-FR"/>
        </w:rPr>
        <w:t xml:space="preserve">La phytothérapie moderne est désormais perçue comme un pont entre la sagesse traditionnelle et les pratiques scientifiques contemporaines. Elle s’intègre dans une approche des soins, exploitant les propriétés thérapeutiques des plantes pour compléter la médecine conventionnelle. </w:t>
      </w:r>
      <w:r>
        <w:fldChar w:fldCharType="begin"/>
      </w:r>
      <w:r w:rsidR="00116A61">
        <w:rPr>
          <w:lang w:val="fr-FR"/>
        </w:rPr>
        <w:instrText xml:space="preserve"> ADDIN ZOTERO_ITEM CSL_CITATION {"citationID":"vhuhm3hK","properties":{"formattedCitation":"(97)","plainCitation":"(97)","noteIndex":0},"citationItems":[{"id":"6VBx8p83/EYdUttCG","uris":["http://zotero.org/users/local/QE2koe11/items/LBRVNKXG"],"itemData":{"id":150,"type":"article-journal","abstract":"BackgroundThe World Health Organization (WHO) reports that a significant portion of the global population relies on traditional herbal medicine (THM) due to limited access to safe and high-quality modern medical care. In developing countries, it is difficult to guarantee the safety and quality of THM due to weak enforcement of the legal and regulatory framework. Hence, the study attempted to evaluate the country’s legislative and regulatory framework by comparing it with developed and developing countries that have well-established systems and identify gaps for future roadmaps in the THM landscape.MethodsA cross-sectional study and archival review were performed from November 2021 to March 2022 G.C. to contrast the legislative and regulatory framework for THM regulation with other selected countries like Africa, India, and China. A total of 237 regulatory personnel participated in the study. Data were collected through an archive assessment, self-administrative questionnaires, and literature searches. Secondary data were extracted from the archival review, and the findings were summarized and presented in tabular and text formats. The quantitative data were analyzed using Statistical Package for the Social Sciences (SPSS) software version 26, with outputs presented in text, table, and figure form.ResultsThe archival review of the study found that Ethiopia’s THM legislative and regulatory framework is still in a developmental phase, particularly when compared with countries that have more established systems. A cross-sectional study indicated that approximately 79.7% of participants were aware of THM-related content in the current legislation. However, 82.3% reported they had not received any formal training on THM regulations. For future roadmaps, 73.8% of respondents believed the government showed a commitment to supporting THM regulation, though 51.9% of participants noted limited knowledge and awareness of THM practices and product regulations. In terms of quality, safety, efficacy, rational use, and storage conditions, 49.8% of respondents rated regulatory implementation practice as not satisfactory. In this study, most study participants raised concerns about the performance of quality control parameters. Among regulatory experts, weak performance was identified in the practical implementation of THM regulatory activities, with 70.2% of weak performance observed at the federal level and 41.7% at the regional level. Key barriers to effective regulation included a lack of research on herbal medicines (90.3%) and insufficient regulatory mechanisms (87.8%). Additional challenges for regulatory offices included traditional healers’ reluctance to engage with scientific communities (56.5%), inadequate inspections (55.3%), and limited data on the safety, quality, and efficacy of certain medicinal plants (54.4%).ConclusionOverall, the Ethiopian Food and Drug Authority (EFDA) is significantly strengthening the legislative and regulatory framework for traditional herbal medicines (THM), although full implementation is still forthcoming. This study highlights the need for comprehensive policy development, improved training initiatives, and reinforced regulatory systems to effectively monitor and regulate THM practices. For future roadmaps, collaboration among traditional healers, regulatory bodies, and scientific communities, along with supporting evidence-based research, could further enhance THM regulation in Ethiopia. These collaborative endeavors are critical for promoting the safety and quality of products derived from herbal medicines.","container-title":"Frontiers in Pharmacology","DOI":"10.3389/fphar.2025.1475297","ISSN":"1663-9812","journalAbbreviation":"Front. Pharmacol.","language":"English","publisher":"Frontiers","source":"Frontiers","title":"Traditional herbal medicine legislative and regulatory framework: a cross-sectional quantitative study and archival review perspectives","title-short":"Traditional herbal medicine legislative and regulatory framework","URL":"https://www.frontiersin.org/journals/pharmacology/articles/10.3389/fphar.2025.1475297/full","volume":"16","author":[{"family":"Dubale","given":"Sileshi"},{"family":"Usure","given":"Rashed Edris"},{"family":"Mekasha","given":"Yesuneh Tefera"},{"family":"Hasen","given":"Gemmechu"},{"family":"Hafiz","given":"Firdos"},{"family":"Kebebe","given":"Dereje"},{"family":"Suleman","given":"Sultan"}],"accessed":{"date-parts":[["2026",4,10]]},"issued":{"date-parts":[["2025",1,30]]}}}],"schema":"https://github.com/citation-style-language/schema/raw/master/csl-citation.json"} </w:instrText>
      </w:r>
      <w:r>
        <w:fldChar w:fldCharType="separate"/>
      </w:r>
      <w:r w:rsidR="00D73339" w:rsidRPr="00D73339">
        <w:rPr>
          <w:rFonts w:ascii="Times New Roman" w:hAnsi="Times New Roman" w:cs="Times New Roman"/>
          <w:lang w:val="fr-FR"/>
        </w:rPr>
        <w:t>(97)</w:t>
      </w:r>
      <w:r>
        <w:fldChar w:fldCharType="end"/>
      </w:r>
    </w:p>
    <w:p w14:paraId="2AB86DD7" w14:textId="4685C616" w:rsidR="00664D0A" w:rsidRPr="00664D0A" w:rsidRDefault="00664D0A" w:rsidP="00D73339">
      <w:pPr>
        <w:rPr>
          <w:lang w:val="fr-FR"/>
        </w:rPr>
      </w:pPr>
      <w:r w:rsidRPr="00664D0A">
        <w:rPr>
          <w:lang w:val="fr-FR"/>
        </w:rPr>
        <w:t>Ces dernières années, les plantes médicinales ont gagné une attention considérable dans la médecine moderne en raison de leur accessibilité, de leur sécurité et de leur acceptabilité mondiale. Les remèdes à base de plantes sont désormais valorisés comme des alternatives ou des compléments aux traitements pharmacologiques classiques.</w:t>
      </w:r>
      <w:r>
        <w:fldChar w:fldCharType="begin"/>
      </w:r>
      <w:r w:rsidR="00116A61">
        <w:rPr>
          <w:lang w:val="fr-FR"/>
        </w:rPr>
        <w:instrText xml:space="preserve"> ADDIN ZOTERO_ITEM CSL_CITATION {"citationID":"vQTnyHA7","properties":{"formattedCitation":"(97)","plainCitation":"(97)","noteIndex":0},"citationItems":[{"id":"6VBx8p83/EYdUttCG","uris":["http://zotero.org/users/local/QE2koe11/items/LBRVNKXG"],"itemData":{"id":150,"type":"article-journal","abstract":"BackgroundThe World Health Organization (WHO) reports that a significant portion of the global population relies on traditional herbal medicine (THM) due to limited access to safe and high-quality modern medical care. In developing countries, it is difficult to guarantee the safety and quality of THM due to weak enforcement of the legal and regulatory framework. Hence, the study attempted to evaluate the country’s legislative and regulatory framework by comparing it with developed and developing countries that have well-established systems and identify gaps for future roadmaps in the THM landscape.MethodsA cross-sectional study and archival review were performed from November 2021 to March 2022 G.C. to contrast the legislative and regulatory framework for THM regulation with other selected countries like Africa, India, and China. A total of 237 regulatory personnel participated in the study. Data were collected through an archive assessment, self-administrative questionnaires, and literature searches. Secondary data were extracted from the archival review, and the findings were summarized and presented in tabular and text formats. The quantitative data were analyzed using Statistical Package for the Social Sciences (SPSS) software version 26, with outputs presented in text, table, and figure form.ResultsThe archival review of the study found that Ethiopia’s THM legislative and regulatory framework is still in a developmental phase, particularly when compared with countries that have more established systems. A cross-sectional study indicated that approximately 79.7% of participants were aware of THM-related content in the current legislation. However, 82.3% reported they had not received any formal training on THM regulations. For future roadmaps, 73.8% of respondents believed the government showed a commitment to supporting THM regulation, though 51.9% of participants noted limited knowledge and awareness of THM practices and product regulations. In terms of quality, safety, efficacy, rational use, and storage conditions, 49.8% of respondents rated regulatory implementation practice as not satisfactory. In this study, most study participants raised concerns about the performance of quality control parameters. Among regulatory experts, weak performance was identified in the practical implementation of THM regulatory activities, with 70.2% of weak performance observed at the federal level and 41.7% at the regional level. Key barriers to effective regulation included a lack of research on herbal medicines (90.3%) and insufficient regulatory mechanisms (87.8%). Additional challenges for regulatory offices included traditional healers’ reluctance to engage with scientific communities (56.5%), inadequate inspections (55.3%), and limited data on the safety, quality, and efficacy of certain medicinal plants (54.4%).ConclusionOverall, the Ethiopian Food and Drug Authority (EFDA) is significantly strengthening the legislative and regulatory framework for traditional herbal medicines (THM), although full implementation is still forthcoming. This study highlights the need for comprehensive policy development, improved training initiatives, and reinforced regulatory systems to effectively monitor and regulate THM practices. For future roadmaps, collaboration among traditional healers, regulatory bodies, and scientific communities, along with supporting evidence-based research, could further enhance THM regulation in Ethiopia. These collaborative endeavors are critical for promoting the safety and quality of products derived from herbal medicines.","container-title":"Frontiers in Pharmacology","DOI":"10.3389/fphar.2025.1475297","ISSN":"1663-9812","journalAbbreviation":"Front. Pharmacol.","language":"English","publisher":"Frontiers","source":"Frontiers","title":"Traditional herbal medicine legislative and regulatory framework: a cross-sectional quantitative study and archival review perspectives","title-short":"Traditional herbal medicine legislative and regulatory framework","URL":"https://www.frontiersin.org/journals/pharmacology/articles/10.3389/fphar.2025.1475297/full","volume":"16","author":[{"family":"Dubale","given":"Sileshi"},{"family":"Usure","given":"Rashed Edris"},{"family":"Mekasha","given":"Yesuneh Tefera"},{"family":"Hasen","given":"Gemmechu"},{"family":"Hafiz","given":"Firdos"},{"family":"Kebebe","given":"Dereje"},{"family":"Suleman","given":"Sultan"}],"accessed":{"date-parts":[["2026",4,10]]},"issued":{"date-parts":[["2025",1,30]]}}}],"schema":"https://github.com/citation-style-language/schema/raw/master/csl-citation.json"} </w:instrText>
      </w:r>
      <w:r>
        <w:fldChar w:fldCharType="separate"/>
      </w:r>
      <w:r w:rsidR="00D73339" w:rsidRPr="00D73339">
        <w:rPr>
          <w:rFonts w:ascii="Times New Roman" w:hAnsi="Times New Roman" w:cs="Times New Roman"/>
          <w:lang w:val="fr-FR"/>
        </w:rPr>
        <w:t>(97)</w:t>
      </w:r>
      <w:r>
        <w:fldChar w:fldCharType="end"/>
      </w:r>
    </w:p>
    <w:p w14:paraId="005AA315" w14:textId="7830BE00" w:rsidR="00664D0A" w:rsidRPr="00664D0A" w:rsidRDefault="00664D0A" w:rsidP="00D73339">
      <w:pPr>
        <w:rPr>
          <w:lang w:val="fr-FR"/>
        </w:rPr>
      </w:pPr>
      <w:r w:rsidRPr="00664D0A">
        <w:rPr>
          <w:lang w:val="fr-FR"/>
        </w:rPr>
        <w:t xml:space="preserve">Les plantes médicinales continuent de servir de source vitale de composés bioactifs diversifiée, avec un large potentiel thérapeutique. Les technologies modernes, telles que la biologie moléculaire et la pharmacogénomique, transforment la recherche sur les produits naturels et favorisent leur application clinique </w:t>
      </w:r>
      <w:r>
        <w:fldChar w:fldCharType="begin"/>
      </w:r>
      <w:r w:rsidR="00116A61">
        <w:rPr>
          <w:lang w:val="fr-FR"/>
        </w:rPr>
        <w:instrText xml:space="preserve"> ADDIN ZOTERO_ITEM CSL_CITATION {"citationID":"Vtclxdhn","properties":{"formattedCitation":"(99)","plainCitation":"(99)","noteIndex":0},"citationItems":[{"id":"6VBx8p83/OqpYePvZ","uris":["http://zotero.org/users/local/QE2koe11/items/MVRBLXAX"],"itemData":{"id":155,"type":"article-journal","abstract":"Medicinal plants continue to serve as a vital source of structurally diverse bioactive compounds with broad therapeutic potential. This review synthesizes recent advances in the field, emphasizing how modern technologies are reshaping natural product research and translational applications. Omics platforms—including genomics, metabolomics, proteomics, and spatial omics—enable comprehensive mapping of biosynthetic pathways, regulatory networks, and spatial chemical distributions, accelerating the discovery and characterization of bioactive compounds. Artificial intelligence-driven approaches in predictive modeling, automated metabolite annotation, and optimized cultivation strategies are examined as transformative tools for improving research efficiency and reproducibility. In parallel, nanotechnology-based drug delivery systems are highlighted for their ability to enhance bioavailability, target specificity, and therapeutic efficacy, particularly against complex diseases such as cancer and neurodegeneration. The review also addresses critical challenges, including biodiversity conservation, contamination and adulteration of herbal products, and gaps in regulatory oversight. Finally, we discuss future perspectives where integrative, multidisciplinary strategies are poised to advance personalized medicine, promote sustainable harvesting, and drive innovative phytopharmaceutical development. By bridging traditional knowledge with state-of-the-art technologies, this review underscores the evolving role of medicinal plants in next-generation healthcare solutions and their transformative potential for global health.","container-title":"Phytochemistry Reviews","DOI":"10.1007/s11101-025-10194-7","ISSN":"1572-980X","issue":"3","journalAbbreviation":"Phytochem Rev","language":"en","page":"2299-2342","source":"Springer Link","title":"Medicinal plants and human health: a comprehensive review of bioactive compounds, therapeutic effects, and applications","title-short":"Medicinal plants and human health","volume":"25","author":[{"family":"Latif","given":"Riffat"},{"family":"Nawaz","given":"Taufiq"}],"issued":{"date-parts":[["2026",3,1]]}}}],"schema":"https://github.com/citation-style-language/schema/raw/master/csl-citation.json"} </w:instrText>
      </w:r>
      <w:r>
        <w:fldChar w:fldCharType="separate"/>
      </w:r>
      <w:r w:rsidR="00D73339" w:rsidRPr="00D73339">
        <w:rPr>
          <w:rFonts w:ascii="Times New Roman" w:hAnsi="Times New Roman" w:cs="Times New Roman"/>
          <w:lang w:val="fr-FR"/>
        </w:rPr>
        <w:t>(99)</w:t>
      </w:r>
      <w:r>
        <w:fldChar w:fldCharType="end"/>
      </w:r>
    </w:p>
    <w:p w14:paraId="302F052B" w14:textId="77777777" w:rsidR="00664D0A" w:rsidRPr="00664D0A" w:rsidRDefault="00664D0A" w:rsidP="00665FE5">
      <w:pPr>
        <w:pStyle w:val="Heading2"/>
      </w:pPr>
      <w:bookmarkStart w:id="68" w:name="_Toc229618799"/>
      <w:r w:rsidRPr="00664D0A">
        <w:t>6-3/ L’aromathérapie :</w:t>
      </w:r>
      <w:bookmarkEnd w:id="68"/>
    </w:p>
    <w:p w14:paraId="16E6005E" w14:textId="10860557" w:rsidR="00664D0A" w:rsidRPr="00664D0A" w:rsidRDefault="00664D0A" w:rsidP="00D73339">
      <w:pPr>
        <w:rPr>
          <w:lang w:val="fr-FR"/>
        </w:rPr>
      </w:pPr>
      <w:r w:rsidRPr="00664D0A">
        <w:rPr>
          <w:lang w:val="fr-FR"/>
        </w:rPr>
        <w:t>L’aromathérapie est une méthodologie de traitement complémentaire qui implique l’utilisation d’huiles essentielles contenant des phytocides et d’autres composés organiques volatils pour diverses maladies physiques et mentales.</w:t>
      </w:r>
      <w:r>
        <w:fldChar w:fldCharType="begin"/>
      </w:r>
      <w:r w:rsidR="00116A61">
        <w:rPr>
          <w:lang w:val="fr-FR"/>
        </w:rPr>
        <w:instrText xml:space="preserve"> ADDIN ZOTERO_ITEM CSL_CITATION {"citationID":"hSyHDSe9","properties":{"formattedCitation":"(100)","plainCitation":"(100)","noteIndex":0},"citationItems":[{"id":"6VBx8p83/LDSqDDH1","uris":["http://zotero.org/users/local/QE2koe11/items/VD53BESF"],"itemData":{"id":158,"type":"article-journal","abstract":"Plant-derived bioactive compounds and essential oils (EOs) have garnered significant attention in pharmaceutical, cosmetic, and nutraceutical industries due to their broad-spectrum therapeutic activities. These natural compounds exhibit antimicrobial, anti-inflammatory, antioxidant, anticancer, neuroprotective, and immunomodulatory properties, making them promising candidates for modern medicine and functional health applications. This review provides a detailed analysis of their chemical composition, mechanisms of action, and recent advancements in extraction methodologies. Key focus areas include their role in treating microbial infections, inflammatory disorders, cancer, and neurodegenerative diseases. Additionally, we explore innovative extraction techniques, such as supercritical fluid extraction, microwave-assisted extraction, and nanoformulations, that enhance bioavailability and clinical efficacy. The challenges of bioavailability, standardization, and regulatory considerations are also discussed, paving the way for future research and potential therapeutic applications in integrative medicine. By bridging traditional knowledge with modern scientific insights, this review highlights the evolving landscape of plant-based medicine and its significance in healthcare innovation.","container-title":"Phytochemistry Reviews","DOI":"10.1007/s11101-025-10123-8","ISSN":"1572-980X","issue":"1","journalAbbreviation":"Phytochem Rev","language":"en","page":"223-271","source":"Springer Link","title":"Essential oils and plant-derived bioactive compounds: a comprehensive review of their therapeutic potential, mechanisms of action, and advances in extraction technologies","title-short":"Essential oils and plant-derived bioactive compounds","volume":"25","author":[{"family":"Ali","given":"Sameh S."},{"family":"Al-Tohamy","given":"Rania"},{"family":"Al-Zahrani","given":"Majid"},{"family":"Badr","given":"Abdelfattah"},{"family":"Sun","given":"Jianzhong"}],"issued":{"date-parts":[["2026",1,1]]}}}],"schema":"https://github.com/citation-style-language/schema/raw/master/csl-citation.json"} </w:instrText>
      </w:r>
      <w:r>
        <w:fldChar w:fldCharType="separate"/>
      </w:r>
      <w:r w:rsidR="00D73339" w:rsidRPr="00D73339">
        <w:rPr>
          <w:rFonts w:ascii="Times New Roman" w:hAnsi="Times New Roman" w:cs="Times New Roman"/>
          <w:lang w:val="fr-FR"/>
        </w:rPr>
        <w:t>(100)</w:t>
      </w:r>
      <w:r>
        <w:fldChar w:fldCharType="end"/>
      </w:r>
      <w:r w:rsidRPr="00664D0A">
        <w:rPr>
          <w:lang w:val="fr-FR"/>
        </w:rPr>
        <w:t xml:space="preserve"> </w:t>
      </w:r>
    </w:p>
    <w:p w14:paraId="10A8CB6D" w14:textId="6FF23668" w:rsidR="00664D0A" w:rsidRPr="00664D0A" w:rsidRDefault="00664D0A" w:rsidP="00D73339">
      <w:pPr>
        <w:rPr>
          <w:lang w:val="fr-FR"/>
        </w:rPr>
      </w:pPr>
      <w:r w:rsidRPr="00664D0A">
        <w:rPr>
          <w:lang w:val="fr-FR"/>
        </w:rPr>
        <w:lastRenderedPageBreak/>
        <w:t>L’aromathérapie, en tant que modalité thérapeutique non-invasive, s’est développée pour traiter divers symptômes tels que l’anxiété, les troubles du sommeil, la douleur et les nausées. Les composés aromatiques, notamment les terpènes, exercent des effets physiologiques complexes par différentes voies d’administration</w:t>
      </w:r>
      <w:r>
        <w:fldChar w:fldCharType="begin"/>
      </w:r>
      <w:r w:rsidR="00116A61">
        <w:rPr>
          <w:lang w:val="fr-FR"/>
        </w:rPr>
        <w:instrText xml:space="preserve"> ADDIN ZOTERO_ITEM CSL_CITATION {"citationID":"989zljPn","properties":{"formattedCitation":"(101)","plainCitation":"(101)","noteIndex":0},"citationItems":[{"id":"6VBx8p83/qkAbxY3R","uris":["http://zotero.org/users/local/QE2koe11/items/MYAJ5R4S"],"itemData":{"id":162,"type":"article-journal","abstract":"Aromatherapy, as a non-invasive therapeutic modality, has been progressively developed for addressing various disease symptoms, including negative emotions, poor sleep quality, disease-related pain, nausea and vomiting, and cognitive impairment. Aromatherapy relies on diverse aromatic compounds, such as terpenoid compounds, to exert complex physiological effects through multiple methods of administration. This review summarizes the progress of aromatherapy in clinical studies, aiming to provide a theoretical and practical foundation for its research and promotion worldwide.","language":"en","source":"Zotero","title":"A Review for Aromatherapy Based on Essential Oils, An Emerging Complementary Therapy","author":[{"family":"Jiang","given":"Wenhan"},{"family":"Wen","given":"Xiaochen"},{"family":"Zheng","given":"Hongwei"}],"issued":{"date-parts":[["2025"]]}}}],"schema":"https://github.com/citation-style-language/schema/raw/master/csl-citation.json"} </w:instrText>
      </w:r>
      <w:r>
        <w:fldChar w:fldCharType="separate"/>
      </w:r>
      <w:r w:rsidR="00D73339" w:rsidRPr="00D73339">
        <w:rPr>
          <w:rFonts w:ascii="Times New Roman" w:hAnsi="Times New Roman" w:cs="Times New Roman"/>
          <w:lang w:val="fr-FR"/>
        </w:rPr>
        <w:t>(101)</w:t>
      </w:r>
      <w:r>
        <w:fldChar w:fldCharType="end"/>
      </w:r>
    </w:p>
    <w:p w14:paraId="3690CDB2" w14:textId="64FBE87A" w:rsidR="00664D0A" w:rsidRPr="00664D0A" w:rsidRDefault="00664D0A" w:rsidP="00D73339">
      <w:pPr>
        <w:rPr>
          <w:lang w:val="fr-FR"/>
        </w:rPr>
      </w:pPr>
      <w:r w:rsidRPr="00664D0A">
        <w:rPr>
          <w:lang w:val="fr-FR"/>
        </w:rPr>
        <w:t xml:space="preserve">"Les huiles essentielles et les composés bioactifs dérivés des plantes ont suscité une attention croissante dans les industries pharmaceutiques et nutriceutiques. Leur large spectre d’activités thérapeutiques, allant des effets antimicrobiens aux propriétés anti-inflammatoires, illustre l’importance de l’aromathérapie moderne dans la santé humaine </w:t>
      </w:r>
      <w:r>
        <w:fldChar w:fldCharType="begin"/>
      </w:r>
      <w:r w:rsidR="00116A61">
        <w:rPr>
          <w:lang w:val="fr-FR"/>
        </w:rPr>
        <w:instrText xml:space="preserve"> ADDIN ZOTERO_ITEM CSL_CITATION {"citationID":"L1YIxGum","properties":{"formattedCitation":"(102)","plainCitation":"(102)","noteIndex":0},"citationItems":[{"id":"6VBx8p83/rz9cH8k3","uris":["http://zotero.org/users/local/QE2koe11/items/ZYXNJKQU"],"itemData":{"id":156,"type":"article-journal","abstract":"Chemical compounds from plants have been used as a medicinal source for various diseases. Aromachology is a unique field that studies the olfactory effects after inhaling aromatic compounds. Aromatherapy is a complementary treatment methodology involving the use of essential oils containing phytoncides and other volatile organic compounds for various physical and mental illnesses. Phytoncides possess an inherent medicinal property. Their health benefits range from treating stress, immunosuppression, blood pressure, respiratory diseases, anxiety, and pain to anti-microbial, anti-larvicidal, anti-septic, anti-cancer effects, etc. Recent advancements in aromatherapy include forest bathing or forest therapy. The inhalation of phytoncide-rich forest air has been proven to reduce stress-induced immunosuppression, normalize immune function and neuroendocrine hormone levels, and, thus, restore physiological and psychological health. The intricate mechanisms related to how aroma converts into olfactory signals and how the olfactory signals relieve physical and mental illness still pose enormous questions and are the subject of ongoing research. Aromatherapy using the aroma of essential oils/phytoncides could be more innovative and attractive to patients. Moreover, with fewer side effects, this field might be recognized as a new field of complementary medicine in alleviating some forms of physical and mental distress. Essential oils are important assets in aromatherapy, cosmetics, and food preservatives. The use of essential oils as an aromatherapeutic agent is widespread. Detailed reports on the effects of EOs in aromatherapy and their pharmacological effects are required to uncover its complete biological mechanism. This review is about the evolution of research related to phytoncides containing EOs in treating various ailments and provides comprehensive details from complementary medicine.","container-title":"Applied Sciences","DOI":"10.3390/app12094495","ISSN":"2076-3417","issue":"9","language":"en","license":"http://creativecommons.org/licenses/by/3.0/","page":"4495","publisher":"Multidisciplinary Digital Publishing Institute","source":"www.mdpi.com","title":"Essential Oils, Phytoncides, Aromachology, and Aromatherapy—A Review","volume":"12","author":[{"family":"Thangaleela","given":"Subramanian"},{"family":"Sivamaruthi","given":"Bhagavathi Sundaram"},{"family":"Kesika","given":"Periyanaina"},{"family":"Bharathi","given":"Muruganantham"},{"family":"Kunaviktikul","given":"Wipada"},{"family":"Klunklin","given":"Areewan"},{"family":"Chanthapoon","given":"Chatnithit"},{"family":"Chaiyasut","given":"Chaiyavat"}],"issued":{"date-parts":[["2022",1]]}}}],"schema":"https://github.com/citation-style-language/schema/raw/master/csl-citation.json"} </w:instrText>
      </w:r>
      <w:r>
        <w:fldChar w:fldCharType="separate"/>
      </w:r>
      <w:r w:rsidR="00D73339" w:rsidRPr="00D73339">
        <w:rPr>
          <w:rFonts w:ascii="Times New Roman" w:hAnsi="Times New Roman" w:cs="Times New Roman"/>
          <w:lang w:val="fr-FR"/>
        </w:rPr>
        <w:t>(102)</w:t>
      </w:r>
      <w:r>
        <w:fldChar w:fldCharType="end"/>
      </w:r>
    </w:p>
    <w:p w14:paraId="6C2FE8DF" w14:textId="77777777" w:rsidR="00664D0A" w:rsidRPr="00664D0A" w:rsidRDefault="00664D0A" w:rsidP="00665FE5">
      <w:pPr>
        <w:pStyle w:val="Heading2"/>
      </w:pPr>
      <w:bookmarkStart w:id="69" w:name="_Toc229618800"/>
      <w:r w:rsidRPr="00664D0A">
        <w:t>6-4/La gemmotherapie :</w:t>
      </w:r>
      <w:bookmarkEnd w:id="69"/>
    </w:p>
    <w:p w14:paraId="0505B098" w14:textId="110A842D" w:rsidR="00664D0A" w:rsidRPr="00664D0A" w:rsidRDefault="00664D0A" w:rsidP="00D73339">
      <w:pPr>
        <w:rPr>
          <w:lang w:val="fr-FR"/>
        </w:rPr>
      </w:pPr>
      <w:r w:rsidRPr="00664D0A">
        <w:rPr>
          <w:lang w:val="fr-FR"/>
        </w:rPr>
        <w:t>C'est une branche de la phytothérapie, repose sur l’emploi des tissus embryonnaires des plantes tels que les bourgeons et jeunes pousses. Ces structures  concentrent des phytohormones, vitamines et enzymes, offrant une efficacité thérapeutique notable lorsqu’elles sont préparées sous forme de macérats glycérinés.</w:t>
      </w:r>
      <w:r>
        <w:fldChar w:fldCharType="begin"/>
      </w:r>
      <w:r w:rsidR="00116A61">
        <w:rPr>
          <w:lang w:val="fr-FR"/>
        </w:rPr>
        <w:instrText xml:space="preserve"> ADDIN ZOTERO_ITEM CSL_CITATION {"citationID":"OdJrlX9i","properties":{"formattedCitation":"(103)","plainCitation":"(103)","noteIndex":0},"citationItems":[{"id":"6VBx8p83/7vRjdLDQ","uris":["http://zotero.org/users/local/QE2koe11/items/T6HZTJ5R"],"itemData":{"id":159,"type":"article-journal","abstract":"La Gemmothérapie, branche de la Phytothérapie, est basée sur l’emploi des tissus embryonnaires, dits méristématiques tels que les bourgeons, les jeunes pousses ou les chatons. Intéressante en raison de la présence de principes actifs, phytohormones, vitamines, elle ouvre la porte à une multitude d’usages. Les préparations spécifiques sous forme de macérats glycérinés, contenant de plus éthanol et eau, aident à extraire puis conserver un maximum de substances actives pour une meilleure efficacité. Le nombre croissant de travaux de recherche relatifs à cette discipline reflète un intérêt grandissant pour les thérapies naturelles. Des études qualitatives et quantitatives sur les gemmodérivés sont couramment publiées. Les conclusions des essais sur l’animal ou l’Homme contribuent à encourager l’usage de la gemmothérapie dans diverses pathologies. Le travail réalisé présente l’emploi de gemmodérivés considérés comme majeurs dans la pratique de la gemmothérapie, tels que ceux issus du Cassis (Ribes nigrum), du Figuier (Ficus carica), du Romarin (Rosmarinus officinalis) ou du Tilleul (Tilia tomentosa). Les indications des extraits gemmothérapeutiques sont variées : prise en charge de pathologies respiratoires (asthme, allergies, infections…), psychisme (stress, anxiété, sommeil, concentration…) ou des troubles liés aux menstruations ou à la ménopause. Ce travail de recherche bibliographique offre une première approche de la gemmothérapie, l’évaluation de ses bénéfices et ses potentialités dans un contexte de santé dit intégrative.","language":"fr","page":"193","source":"dumas.ccsd.cnrs.fr","title":"Indications de la gemmothérapie dans le cadre de la pratique officinale","author":[{"family":"Heutte","given":"Nolwen"}],"issued":{"date-parts":[["2024",6,24]]}}}],"schema":"https://github.com/citation-style-language/schema/raw/master/csl-citation.json"} </w:instrText>
      </w:r>
      <w:r>
        <w:fldChar w:fldCharType="separate"/>
      </w:r>
      <w:r w:rsidR="00D73339" w:rsidRPr="00D73339">
        <w:rPr>
          <w:rFonts w:ascii="Times New Roman" w:hAnsi="Times New Roman" w:cs="Times New Roman"/>
          <w:lang w:val="fr-FR"/>
        </w:rPr>
        <w:t>(103)</w:t>
      </w:r>
      <w:r>
        <w:fldChar w:fldCharType="end"/>
      </w:r>
    </w:p>
    <w:p w14:paraId="3A32BC94" w14:textId="1F4B0A4B" w:rsidR="00664D0A" w:rsidRPr="00664D0A" w:rsidRDefault="00664D0A" w:rsidP="00D73339">
      <w:pPr>
        <w:rPr>
          <w:lang w:val="fr-FR"/>
        </w:rPr>
      </w:pPr>
      <w:r w:rsidRPr="00664D0A">
        <w:rPr>
          <w:lang w:val="fr-FR"/>
        </w:rPr>
        <w:t xml:space="preserve">Les extraits de gemmothérapie présentent des activités antimicrobiennes spécifiques, démontrées par des tests comparatifs. Certains macérats de bourgeons ont montré une action significative contre des souches bactériennes pathogènes, ce qui confirme leur potentiel dans le développement de nouvelles approches thérapeutiques </w:t>
      </w:r>
      <w:r>
        <w:fldChar w:fldCharType="begin"/>
      </w:r>
      <w:r w:rsidR="00116A61">
        <w:rPr>
          <w:lang w:val="fr-FR"/>
        </w:rPr>
        <w:instrText xml:space="preserve"> ADDIN ZOTERO_ITEM CSL_CITATION {"citationID":"p7SymLiV","properties":{"formattedCitation":"(104)","plainCitation":"(104)","noteIndex":0},"citationItems":[{"id":"6VBx8p83/y92Sfb2Y","uris":["http://zotero.org/users/local/QE2koe11/items/KGRQZMPA"],"itemData":{"id":161,"type":"webpage","title":"Specific Antimicrobial Activities Revealed by Comparative Evaluation of Selected Gemmotherapy Extracts","URL":"https://www.mdpi.com/2079-6382/13/2/181?utm_source=copilot.com","accessed":{"date-parts":[["2026",4,10]]}}}],"schema":"https://github.com/citation-style-language/schema/raw/master/csl-citation.json"} </w:instrText>
      </w:r>
      <w:r>
        <w:fldChar w:fldCharType="separate"/>
      </w:r>
      <w:r w:rsidR="00D73339" w:rsidRPr="00D73339">
        <w:rPr>
          <w:rFonts w:ascii="Times New Roman" w:hAnsi="Times New Roman" w:cs="Times New Roman"/>
          <w:lang w:val="fr-FR"/>
        </w:rPr>
        <w:t>(104)</w:t>
      </w:r>
      <w:r>
        <w:fldChar w:fldCharType="end"/>
      </w:r>
      <w:r w:rsidR="00665FE5">
        <w:rPr>
          <w:lang w:val="fr-FR"/>
        </w:rPr>
        <w:t xml:space="preserve"> </w:t>
      </w:r>
    </w:p>
    <w:p w14:paraId="47794DAF" w14:textId="77777777" w:rsidR="00664D0A" w:rsidRPr="00664D0A" w:rsidRDefault="00664D0A" w:rsidP="00665FE5">
      <w:pPr>
        <w:pStyle w:val="Heading2"/>
      </w:pPr>
      <w:bookmarkStart w:id="70" w:name="_Toc229618801"/>
      <w:r w:rsidRPr="00664D0A">
        <w:t>6-5/ La phytothérapie nutritionnelle :</w:t>
      </w:r>
      <w:bookmarkEnd w:id="70"/>
    </w:p>
    <w:p w14:paraId="13A61D33" w14:textId="77777777" w:rsidR="00664D0A" w:rsidRPr="00664D0A" w:rsidRDefault="00664D0A" w:rsidP="00B139C3">
      <w:pPr>
        <w:rPr>
          <w:lang w:val="fr-FR"/>
        </w:rPr>
      </w:pPr>
      <w:r w:rsidRPr="00664D0A">
        <w:rPr>
          <w:lang w:val="fr-FR"/>
        </w:rPr>
        <w:t>La phytothérapie nutritionnelle s’inscrit dans une approche préventive de la santé publique, en utilisant les plantes alimentaires comme sources de nutriceutiques.</w:t>
      </w:r>
    </w:p>
    <w:p w14:paraId="66BAF335" w14:textId="77777777" w:rsidR="00664D0A" w:rsidRPr="00664D0A" w:rsidRDefault="00664D0A" w:rsidP="00B139C3">
      <w:pPr>
        <w:rPr>
          <w:lang w:val="fr-FR"/>
        </w:rPr>
      </w:pPr>
      <w:r w:rsidRPr="00664D0A">
        <w:rPr>
          <w:lang w:val="fr-FR"/>
        </w:rPr>
        <w:t>Repose sur l’intégration des plantes dans l’alimentation quotidienne, visant à maintenir un état de santé optimal.</w:t>
      </w:r>
    </w:p>
    <w:p w14:paraId="2D11359C" w14:textId="6C57EF81" w:rsidR="00664D0A" w:rsidRPr="00664D0A" w:rsidRDefault="00664D0A" w:rsidP="00D73339">
      <w:pPr>
        <w:rPr>
          <w:lang w:val="fr-FR"/>
        </w:rPr>
      </w:pPr>
      <w:r w:rsidRPr="00664D0A">
        <w:rPr>
          <w:lang w:val="fr-FR"/>
        </w:rPr>
        <w:t>Le curcuma et le gingembre sont des exemples emblématiques de la phytothérapie nutritionnelle moderne, leurs composés bioactifs présentent des propriétés anti-inflammatoires et antioxydantes validées par des études cliniques.</w:t>
      </w:r>
      <w:r>
        <w:fldChar w:fldCharType="begin"/>
      </w:r>
      <w:r w:rsidR="00116A61">
        <w:rPr>
          <w:lang w:val="fr-FR"/>
        </w:rPr>
        <w:instrText xml:space="preserve"> ADDIN ZOTERO_ITEM CSL_CITATION {"citationID":"3DssfkLB","properties":{"formattedCitation":"(105)","plainCitation":"(105)","noteIndex":0},"citationItems":[{"id":"6VBx8p83/G0qO0BpL","uris":["http://zotero.org/users/local/QE2koe11/items/GVXEXIB7"],"itemData":{"id":168,"type":"webpage","title":"\"https://www.sciencedirect.com/journal/journal-of-functional-foods\" - Recherche","URL":"https://www.bing.com/search?q=%22https%3A%2F%2Fwww.sciencedirect.com%2Fjournal%2Fjournal-of-functional-foods%22&amp;utm_source=copilot.com","accessed":{"date-parts":[["2026",4,10]]}}}],"schema":"https://github.com/citation-style-language/schema/raw/master/csl-citation.json"} </w:instrText>
      </w:r>
      <w:r>
        <w:fldChar w:fldCharType="separate"/>
      </w:r>
      <w:r w:rsidR="00D73339" w:rsidRPr="00D73339">
        <w:rPr>
          <w:rFonts w:ascii="Times New Roman" w:hAnsi="Times New Roman" w:cs="Times New Roman"/>
          <w:lang w:val="fr-FR"/>
        </w:rPr>
        <w:t>(105)</w:t>
      </w:r>
      <w:r>
        <w:fldChar w:fldCharType="end"/>
      </w:r>
      <w:r w:rsidRPr="00664D0A">
        <w:rPr>
          <w:lang w:val="fr-FR"/>
        </w:rPr>
        <w:t xml:space="preserve"> </w:t>
      </w:r>
    </w:p>
    <w:p w14:paraId="08427718" w14:textId="77777777" w:rsidR="00664D0A" w:rsidRPr="00664D0A" w:rsidRDefault="00664D0A" w:rsidP="00665FE5">
      <w:pPr>
        <w:pStyle w:val="Heading1"/>
      </w:pPr>
      <w:bookmarkStart w:id="71" w:name="_Toc229618802"/>
      <w:r w:rsidRPr="00664D0A">
        <w:t xml:space="preserve">7 /Modalités de Préparation et Formes </w:t>
      </w:r>
      <w:proofErr w:type="gramStart"/>
      <w:r w:rsidRPr="00664D0A">
        <w:t>Galéniques:</w:t>
      </w:r>
      <w:bookmarkEnd w:id="71"/>
      <w:proofErr w:type="gramEnd"/>
    </w:p>
    <w:p w14:paraId="78DF89E4" w14:textId="6D31E929" w:rsidR="00664D0A" w:rsidRPr="00664D0A" w:rsidRDefault="00664D0A" w:rsidP="00D73339">
      <w:pPr>
        <w:rPr>
          <w:lang w:val="fr-FR"/>
        </w:rPr>
      </w:pPr>
      <w:r w:rsidRPr="00664D0A">
        <w:rPr>
          <w:lang w:val="fr-FR"/>
        </w:rPr>
        <w:t>La conversion de la matière végétale en une préparation thérapeutique administrable constitue une étape pharmacotechnique fondamentale, dont l'impact est directement corrélé à l'efficacité du traitement diabétique. Les méthodes traditionnelles, complétées par la recherche scientifique, ont permis de développer des procédés visant à isoler les molécules actives pour une application locale ou systémique. Le choix de la technique d'extraction doit impérativement garantir l'obtention du *totum* végétal, assurant ainsi la synergie entre les métabolites secondaires essentiels à la régulation glycémique.</w:t>
      </w:r>
      <w:r w:rsidR="00D73339">
        <w:rPr>
          <w:lang w:val="fr-FR"/>
        </w:rPr>
        <w:fldChar w:fldCharType="begin"/>
      </w:r>
      <w:r w:rsidR="00116A61">
        <w:rPr>
          <w:lang w:val="fr-FR"/>
        </w:rPr>
        <w:instrText xml:space="preserve"> ADDIN ZOTERO_ITEM CSL_CITATION {"citationID":"Bp4KCeVf","properties":{"unsorted":false,"formattedCitation":"(106,107)","plainCitation":"(106,107)","noteIndex":0},"citationItems":[{"id":"6VBx8p83/U7jY72jI","uris":["http://zotero.org/users/local/xPnoPzR4/items/L4Y3VSPZ"],"itemData":{"id":401,"type":"webpage","title":"Bruneton, J. (2016) Pharmacognosie Phytochimie Plantes médicinales. 5th Edition, Lavoisier, Paris, 1047-1053. - References - Scientific Research Publishing","URL":"https://www.scirp.org/reference/referencespapers?referenceid=3002477","accessed":{"date-parts":[["2026",5,14]]}}},{"id":"6VBx8p83/qzLm26wI","uris":["http://zotero.org/users/local/xPnoPzR4/items/2XB5C2AL"],"itemData":{"id":403,"type":"webpage","title":"General guidelines for methodologies on research and evaluation of traditional medicine","URL":"https://iris.who.int/items/cba90f52-1ecf-42b6-9f5c-0ccf881f9ca9","accessed":{"date-parts":[["2026",5,14]]}}}],"schema":"https://github.com/citation-style-language/schema/raw/master/csl-citation.json"} </w:instrText>
      </w:r>
      <w:r w:rsidR="00D73339">
        <w:rPr>
          <w:lang w:val="fr-FR"/>
        </w:rPr>
        <w:fldChar w:fldCharType="separate"/>
      </w:r>
      <w:r w:rsidR="00D73339" w:rsidRPr="00F568F0">
        <w:rPr>
          <w:rFonts w:ascii="Times New Roman" w:hAnsi="Times New Roman" w:cs="Times New Roman"/>
          <w:lang w:val="fr-FR"/>
        </w:rPr>
        <w:t>(106,107)</w:t>
      </w:r>
      <w:r w:rsidR="00D73339">
        <w:rPr>
          <w:lang w:val="fr-FR"/>
        </w:rPr>
        <w:fldChar w:fldCharType="end"/>
      </w:r>
    </w:p>
    <w:p w14:paraId="32B9D62E" w14:textId="77777777" w:rsidR="00664D0A" w:rsidRPr="00664D0A" w:rsidRDefault="00664D0A" w:rsidP="00665FE5">
      <w:pPr>
        <w:pStyle w:val="Heading2"/>
      </w:pPr>
      <w:bookmarkStart w:id="72" w:name="_Toc229618803"/>
      <w:r w:rsidRPr="00664D0A">
        <w:t>7-1/L'Infusion :</w:t>
      </w:r>
      <w:bookmarkEnd w:id="72"/>
    </w:p>
    <w:p w14:paraId="1E5A8159" w14:textId="49BCE838" w:rsidR="00664D0A" w:rsidRPr="00664D0A" w:rsidRDefault="00664D0A" w:rsidP="00D73339">
      <w:pPr>
        <w:rPr>
          <w:lang w:val="fr-FR"/>
        </w:rPr>
      </w:pPr>
      <w:r w:rsidRPr="00664D0A">
        <w:rPr>
          <w:lang w:val="fr-FR"/>
        </w:rPr>
        <w:t>Cette méthode est privilégiée pour les parties délicates de la plante, telles que les fleurs ou les feuilles. Elle consiste à verser de l'eau bouillante sur le végétal, suivie d'un temps de repos de cinq à quinze minutes. Ce processus permet de solubiliser les principes actifs hydrosolubles tout en préservant les composés volatils. En diabétologie, il est primordial de standardiser ce temps de contact afin d'assurer une concentration constante en polyphénols antioxydants.</w:t>
      </w:r>
      <w:r w:rsidR="00D73339">
        <w:rPr>
          <w:lang w:val="fr-FR"/>
        </w:rPr>
        <w:fldChar w:fldCharType="begin"/>
      </w:r>
      <w:r w:rsidR="00116A61">
        <w:rPr>
          <w:lang w:val="fr-FR"/>
        </w:rPr>
        <w:instrText xml:space="preserve"> ADDIN ZOTERO_ITEM CSL_CITATION {"citationID":"5UOvbgFt","properties":{"unsorted":false,"formattedCitation":"(108)","plainCitation":"(108)","noteIndex":0},"citationItems":[{"id":"6VBx8p83/RqnBd9xG","uris":["http://zotero.org/users/local/xPnoPzR4/items/MJWYEA62"],"itemData":{"id":405,"type":"webpage","title":"Herbal Medicinal Products:  Scientific and Regulatory Basis for Development, Quality Assurance and Marketing Authorisation By Frauke Gaedcke, Barbara Steinhoff, and Helga Blasius (Wissenschaftfliche, Stuttgart). CRC Press, Boca Raton. 2003. xii + 177 pp. 17.5 × 34.5 cm. $59.95. ISBN 0-8493-1023-7. | Journal of Natural Products","URL":"https://pubs.acs.org/doi/10.1021/np0307441","accessed":{"date-parts":[["2026",5,14]]}}}],"schema":"https://github.com/citation-style-language/schema/raw/master/csl-citation.json"} </w:instrText>
      </w:r>
      <w:r w:rsidR="00D73339">
        <w:rPr>
          <w:lang w:val="fr-FR"/>
        </w:rPr>
        <w:fldChar w:fldCharType="separate"/>
      </w:r>
      <w:r w:rsidR="00D73339" w:rsidRPr="00F568F0">
        <w:rPr>
          <w:rFonts w:ascii="Times New Roman" w:hAnsi="Times New Roman" w:cs="Times New Roman"/>
          <w:lang w:val="fr-FR"/>
        </w:rPr>
        <w:t>(108)</w:t>
      </w:r>
      <w:r w:rsidR="00D73339">
        <w:rPr>
          <w:lang w:val="fr-FR"/>
        </w:rPr>
        <w:fldChar w:fldCharType="end"/>
      </w:r>
    </w:p>
    <w:p w14:paraId="1120F69F" w14:textId="77777777" w:rsidR="00664D0A" w:rsidRPr="00664D0A" w:rsidRDefault="00664D0A" w:rsidP="00665FE5">
      <w:pPr>
        <w:pStyle w:val="Heading2"/>
      </w:pPr>
      <w:bookmarkStart w:id="73" w:name="_Toc229618804"/>
      <w:r w:rsidRPr="00664D0A">
        <w:lastRenderedPageBreak/>
        <w:t>7-2/La Macération :</w:t>
      </w:r>
      <w:bookmarkEnd w:id="73"/>
    </w:p>
    <w:p w14:paraId="38A1E996" w14:textId="2588972D" w:rsidR="00664D0A" w:rsidRPr="00664D0A" w:rsidRDefault="00664D0A" w:rsidP="00D73339">
      <w:pPr>
        <w:rPr>
          <w:lang w:val="fr-FR"/>
        </w:rPr>
      </w:pPr>
      <w:r w:rsidRPr="00664D0A">
        <w:rPr>
          <w:lang w:val="fr-FR"/>
        </w:rPr>
        <w:t>Il s'agit d'une extraction à froid, menée à température ambiante dans un solvant adapté (eau, huile ou alcool) sur une période étendue, de plusieurs heures à quelques jours. Ce mode de préparation est optimal pour les actifs thermolabiles susceptibles d'être dégradés par la chaleur. Il est particulièrement employé pour récupérer les mucilages végétaux, qui jouent un rôle significatif dans le ralentissement de l'absorption intestinale du glucose.</w:t>
      </w:r>
      <w:r w:rsidR="00D73339">
        <w:rPr>
          <w:lang w:val="fr-FR"/>
        </w:rPr>
        <w:fldChar w:fldCharType="begin"/>
      </w:r>
      <w:r w:rsidR="00116A61">
        <w:rPr>
          <w:lang w:val="fr-FR"/>
        </w:rPr>
        <w:instrText xml:space="preserve"> ADDIN ZOTERO_ITEM CSL_CITATION {"citationID":"wHWN4GtU","properties":{"unsorted":false,"formattedCitation":"(109)","plainCitation":"(109)","noteIndex":0},"citationItems":[{"id":"6VBx8p83/IJcgbyrx","uris":["http://zotero.org/users/local/xPnoPzR4/items/T4SSFXZQ"],"itemData":{"id":407,"type":"webpage","title":"Frontiers | Where to begin? The best publications for newcomers to ethnopharmacology","URL":"https://www.frontiersin.org/journals/pharmacology/articles/10.3389/fphar.2023.1141502/full","accessed":{"date-parts":[["2026",5,14]]}}}],"schema":"https://github.com/citation-style-language/schema/raw/master/csl-citation.json"} </w:instrText>
      </w:r>
      <w:r w:rsidR="00D73339">
        <w:rPr>
          <w:lang w:val="fr-FR"/>
        </w:rPr>
        <w:fldChar w:fldCharType="separate"/>
      </w:r>
      <w:r w:rsidR="00D73339" w:rsidRPr="00F568F0">
        <w:rPr>
          <w:rFonts w:ascii="Times New Roman" w:hAnsi="Times New Roman" w:cs="Times New Roman"/>
          <w:lang w:val="fr-FR"/>
        </w:rPr>
        <w:t>(109)</w:t>
      </w:r>
      <w:r w:rsidR="00D73339">
        <w:rPr>
          <w:lang w:val="fr-FR"/>
        </w:rPr>
        <w:fldChar w:fldCharType="end"/>
      </w:r>
    </w:p>
    <w:p w14:paraId="368ADF55" w14:textId="77777777" w:rsidR="00664D0A" w:rsidRPr="00664D0A" w:rsidRDefault="00664D0A" w:rsidP="00665FE5">
      <w:pPr>
        <w:pStyle w:val="Heading2"/>
      </w:pPr>
      <w:bookmarkStart w:id="74" w:name="_Toc229618805"/>
      <w:r w:rsidRPr="00664D0A">
        <w:t>7-3/Les Extraits :</w:t>
      </w:r>
      <w:bookmarkEnd w:id="74"/>
    </w:p>
    <w:p w14:paraId="08A6906E" w14:textId="06626301" w:rsidR="00664D0A" w:rsidRPr="00664D0A" w:rsidRDefault="00664D0A" w:rsidP="001F3903">
      <w:pPr>
        <w:rPr>
          <w:lang w:val="fr-FR"/>
        </w:rPr>
      </w:pPr>
      <w:r w:rsidRPr="00664D0A">
        <w:rPr>
          <w:lang w:val="fr-FR"/>
        </w:rPr>
        <w:t>Représentant la forme la plus concentrée et la plus rigoureuse sur le plan médical, les extraits sont obtenus par évaporation du solvant d'extraction, aboutissant souvent à une poudre titrée. L'atomisation constitue la technique de référence pour obtenir ces extraits, garantissant une dose précise et reproductible des principes actifs. Pour le clinicien, il s'agit de la formulation la plus sécuritaire afin de prévenir les fluctuations glycémiques dues à des dosages imprécis.</w:t>
      </w:r>
      <w:r w:rsidR="001F3903">
        <w:rPr>
          <w:lang w:val="fr-FR"/>
        </w:rPr>
        <w:fldChar w:fldCharType="begin"/>
      </w:r>
      <w:r w:rsidR="00116A61">
        <w:rPr>
          <w:lang w:val="fr-FR"/>
        </w:rPr>
        <w:instrText xml:space="preserve"> ADDIN ZOTERO_ITEM CSL_CITATION {"citationID":"Oea6coIV","properties":{"unsorted":false,"formattedCitation":"(108)","plainCitation":"(108)","noteIndex":0},"citationItems":[{"id":"6VBx8p83/RqnBd9xG","uris":["http://zotero.org/users/local/xPnoPzR4/items/MJWYEA62"],"itemData":{"id":405,"type":"webpage","title":"Herbal Medicinal Products:  Scientific and Regulatory Basis for Development, Quality Assurance and Marketing Authorisation By Frauke Gaedcke, Barbara Steinhoff, and Helga Blasius (Wissenschaftfliche, Stuttgart). CRC Press, Boca Raton. 2003. xii + 177 pp. 17.5 × 34.5 cm. $59.95. ISBN 0-8493-1023-7. | Journal of Natural Products","URL":"https://pubs.acs.org/doi/10.1021/np0307441","accessed":{"date-parts":[["2026",5,14]]}}}],"schema":"https://github.com/citation-style-language/schema/raw/master/csl-citation.json"} </w:instrText>
      </w:r>
      <w:r w:rsidR="001F3903">
        <w:rPr>
          <w:lang w:val="fr-FR"/>
        </w:rPr>
        <w:fldChar w:fldCharType="separate"/>
      </w:r>
      <w:r w:rsidR="001F3903" w:rsidRPr="00F568F0">
        <w:rPr>
          <w:rFonts w:ascii="Times New Roman" w:hAnsi="Times New Roman" w:cs="Times New Roman"/>
          <w:lang w:val="fr-FR"/>
        </w:rPr>
        <w:t>(108)</w:t>
      </w:r>
      <w:r w:rsidR="001F3903">
        <w:rPr>
          <w:lang w:val="fr-FR"/>
        </w:rPr>
        <w:fldChar w:fldCharType="end"/>
      </w:r>
    </w:p>
    <w:p w14:paraId="78FF898D" w14:textId="77777777" w:rsidR="00664D0A" w:rsidRPr="00664D0A" w:rsidRDefault="00664D0A" w:rsidP="00665FE5">
      <w:pPr>
        <w:pStyle w:val="Heading2"/>
      </w:pPr>
      <w:bookmarkStart w:id="75" w:name="_Toc229618806"/>
      <w:r w:rsidRPr="00664D0A">
        <w:t>7-4/La Teinture :</w:t>
      </w:r>
      <w:bookmarkEnd w:id="75"/>
    </w:p>
    <w:p w14:paraId="7E4CCBE6" w14:textId="456E2CCC" w:rsidR="00664D0A" w:rsidRPr="00664D0A" w:rsidRDefault="00664D0A" w:rsidP="001F3903">
      <w:pPr>
        <w:rPr>
          <w:lang w:val="fr-FR"/>
        </w:rPr>
      </w:pPr>
      <w:r w:rsidRPr="00664D0A">
        <w:rPr>
          <w:lang w:val="fr-FR"/>
        </w:rPr>
        <w:t>La teinture résulte de l'action dissolvante de l'alcool sur la plante. L'éthanol permet d'extraire des molécules insolubles dans l'eau, telles que certaines résines ou alcaloïdes. Néanmoins, chez le patient diabétique, l'apport alcoolique doit être considéré par le praticien en raison des interactions potentielles avec la néoglucogénèse hépatique et certains antidiabétiques oraux.</w:t>
      </w:r>
      <w:r w:rsidR="001F3903">
        <w:rPr>
          <w:lang w:val="fr-FR"/>
        </w:rPr>
        <w:fldChar w:fldCharType="begin"/>
      </w:r>
      <w:r w:rsidR="00116A61">
        <w:rPr>
          <w:lang w:val="fr-FR"/>
        </w:rPr>
        <w:instrText xml:space="preserve"> ADDIN ZOTERO_ITEM CSL_CITATION {"citationID":"Lw5p8kG6","properties":{"unsorted":false,"formattedCitation":"(110)","plainCitation":"(110)","noteIndex":0},"citationItems":[{"id":"6VBx8p83/R9edu9hn","uris":["http://zotero.org/users/local/xPnoPzR4/items/K7LKPVDU"],"itemData":{"id":410,"type":"webpage","title":"Medicinal Plants as Efficacious Agents for Diabetic Foot Ulcers: A Systematic Review of Clinical Studies","URL":"https://www.hmpgloballearningnetwork.com/site/wounds/review/medicinal-plants-efficacious-agents-diabetic-foot-ulcers-systematic-review","accessed":{"date-parts":[["2026",5,14]]}}}],"schema":"https://github.com/citation-style-language/schema/raw/master/csl-citation.json"} </w:instrText>
      </w:r>
      <w:r w:rsidR="001F3903">
        <w:rPr>
          <w:lang w:val="fr-FR"/>
        </w:rPr>
        <w:fldChar w:fldCharType="separate"/>
      </w:r>
      <w:r w:rsidR="001F3903" w:rsidRPr="00F568F0">
        <w:rPr>
          <w:rFonts w:ascii="Times New Roman" w:hAnsi="Times New Roman" w:cs="Times New Roman"/>
          <w:lang w:val="fr-FR"/>
        </w:rPr>
        <w:t>(110)</w:t>
      </w:r>
      <w:r w:rsidR="001F3903">
        <w:rPr>
          <w:lang w:val="fr-FR"/>
        </w:rPr>
        <w:fldChar w:fldCharType="end"/>
      </w:r>
    </w:p>
    <w:p w14:paraId="63372320" w14:textId="77777777" w:rsidR="00664D0A" w:rsidRPr="00664D0A" w:rsidRDefault="00664D0A" w:rsidP="00665FE5">
      <w:pPr>
        <w:pStyle w:val="Heading2"/>
      </w:pPr>
      <w:bookmarkStart w:id="76" w:name="_Toc229618807"/>
      <w:r w:rsidRPr="00664D0A">
        <w:t>7-5/Le Sirop :</w:t>
      </w:r>
      <w:bookmarkEnd w:id="76"/>
    </w:p>
    <w:p w14:paraId="554B641B" w14:textId="3AF3D8AC" w:rsidR="00664D0A" w:rsidRPr="00664D0A" w:rsidRDefault="00664D0A" w:rsidP="001F3903">
      <w:pPr>
        <w:rPr>
          <w:lang w:val="fr-FR"/>
        </w:rPr>
      </w:pPr>
      <w:r w:rsidRPr="00664D0A">
        <w:rPr>
          <w:lang w:val="fr-FR"/>
        </w:rPr>
        <w:t>Le sirop est une préparation liquide caractérisée par une forte teneur en sucre. Bien que cette forme soit classique en phytothérapie traditionnelle, son usage doit être maîtrisé chez le patient diabétique. La pharmacie galénique contemporaine propose désormais des sirops sans saccharose, utilisant des substituts non glycémiants, afin de permettre l'administration des extraits sans perturber l'homéostasie glycémique.</w:t>
      </w:r>
      <w:r w:rsidR="001F3903">
        <w:rPr>
          <w:lang w:val="fr-FR"/>
        </w:rPr>
        <w:fldChar w:fldCharType="begin"/>
      </w:r>
      <w:r w:rsidR="00116A61">
        <w:rPr>
          <w:lang w:val="fr-FR"/>
        </w:rPr>
        <w:instrText xml:space="preserve"> ADDIN ZOTERO_ITEM CSL_CITATION {"citationID":"qSJb1UJS","properties":{"unsorted":false,"formattedCitation":"(111)","plainCitation":"(111)","noteIndex":0},"citationItems":[{"id":"6VBx8p83/XdUe4rMw","uris":["http://zotero.org/users/local/xPnoPzR4/items/8MDQP777"],"itemData":{"id":412,"type":"article-journal","abstract":"BACKGROUND: Dental caries has continued to be the major oral disease in the past, as well as the present scenario. Cariogenic sugars in the presence of specific bacteria Streptococcus mutans over a period have been attributed as the major etiologic agent for dental caries. The association between sugar consumption and dental caries has been well documented.\r\nAIM: Hence, the dental profession shares an interest in the search for safe, palatable sugar substitutes.\r\nMETHODS: Therefore, the use of a suitable sugar substitute can help in combating dental caries.\r\nRESULTS: Out of the various sugar substitutes available, xylitol is the most widely used. It is available in various forms. It decreases the plaque formation, bacterial adherence and inhibits the growth of Mutans Streptococci.\r\nCONCLUSION: This article provides a comprehensive review of the sugar substitutes, present-day availability, role in the prevention of dental caries and their safety concerns.","container-title":"Open Access Macedonian Journal of Medical Sciences","DOI":"10.3889/oamjms.2018.336","ISSN":"1857-9655","issue":"10","journalAbbreviation":"Open Access Maced J Med Sci","license":"https://creativecommons.org/licenses/by-nc/4.0/","page":"1888-1894","source":"DOI.org (Crossref)","title":"Sugar Substitutes: Mechanism, Availability, Current Use and Safety Concerns-An Update","title-short":"Sugar Substitutes","volume":"6","author":[{"family":"Gupta","given":"Megha"}],"issued":{"date-parts":[["2018",10,19]]}}}],"schema":"https://github.com/citation-style-language/schema/raw/master/csl-citation.json"} </w:instrText>
      </w:r>
      <w:r w:rsidR="001F3903">
        <w:rPr>
          <w:lang w:val="fr-FR"/>
        </w:rPr>
        <w:fldChar w:fldCharType="separate"/>
      </w:r>
      <w:r w:rsidR="001F3903" w:rsidRPr="00F568F0">
        <w:rPr>
          <w:rFonts w:ascii="Times New Roman" w:hAnsi="Times New Roman" w:cs="Times New Roman"/>
          <w:lang w:val="fr-FR"/>
        </w:rPr>
        <w:t>(111)</w:t>
      </w:r>
      <w:r w:rsidR="001F3903">
        <w:rPr>
          <w:lang w:val="fr-FR"/>
        </w:rPr>
        <w:fldChar w:fldCharType="end"/>
      </w:r>
    </w:p>
    <w:p w14:paraId="484C45B6" w14:textId="77777777" w:rsidR="00664D0A" w:rsidRPr="00664D0A" w:rsidRDefault="00664D0A" w:rsidP="00665FE5">
      <w:pPr>
        <w:pStyle w:val="Heading2"/>
      </w:pPr>
      <w:bookmarkStart w:id="77" w:name="_Toc229618808"/>
      <w:r w:rsidRPr="00664D0A">
        <w:t>7-6/Le Cataplasme :</w:t>
      </w:r>
      <w:bookmarkEnd w:id="77"/>
    </w:p>
    <w:p w14:paraId="311B3228" w14:textId="5A2EDF18" w:rsidR="00664D0A" w:rsidRPr="00664D0A" w:rsidRDefault="00664D0A" w:rsidP="001F3903">
      <w:pPr>
        <w:rPr>
          <w:lang w:val="fr-FR"/>
        </w:rPr>
      </w:pPr>
      <w:r w:rsidRPr="00664D0A">
        <w:rPr>
          <w:lang w:val="fr-FR"/>
        </w:rPr>
        <w:t>Ce dispositif constitue une préparation de consistance pâteuse, appliquée directement sur la peau pour une action localisée. Il est constitué de végétaux broyés mélangés à de l'eau ou de la farine. En pathologie diabétique, les cataplasmes sont principalement employés pour leurs propriétés antiseptiques et cicatrisantes dans le cadre des soins du pied diabétique ou des ulcérations cutanées chroniques.</w:t>
      </w:r>
      <w:r w:rsidR="001F3903">
        <w:rPr>
          <w:lang w:val="fr-FR"/>
        </w:rPr>
        <w:fldChar w:fldCharType="begin"/>
      </w:r>
      <w:r w:rsidR="00116A61">
        <w:rPr>
          <w:lang w:val="fr-FR"/>
        </w:rPr>
        <w:instrText xml:space="preserve"> ADDIN ZOTERO_ITEM CSL_CITATION {"citationID":"AW2TO9Hm","properties":{"unsorted":false,"formattedCitation":"(112)","plainCitation":"(112)","noteIndex":0},"citationItems":[{"id":"6VBx8p83/uT2xNvoC","uris":["http://zotero.org/users/local/xPnoPzR4/items/VN9N5IPH"],"itemData":{"id":409,"type":"webpage","title":"Medicinal Plants as Efficacious Agents for Diabetic Foot Ulcers: A Systematic Review of Clinical Studies","URL":"https://www.hmpgloballearningnetwork.com/site/wounds/review/medicinal-plants-efficacious-agents-diabetic-foot-ulcers-systematic-review","accessed":{"date-parts":[["2026",5,14]]}}}],"schema":"https://github.com/citation-style-language/schema/raw/master/csl-citation.json"} </w:instrText>
      </w:r>
      <w:r w:rsidR="001F3903">
        <w:rPr>
          <w:lang w:val="fr-FR"/>
        </w:rPr>
        <w:fldChar w:fldCharType="separate"/>
      </w:r>
      <w:r w:rsidR="001F3903" w:rsidRPr="00F568F0">
        <w:rPr>
          <w:rFonts w:ascii="Times New Roman" w:hAnsi="Times New Roman" w:cs="Times New Roman"/>
          <w:lang w:val="fr-FR"/>
        </w:rPr>
        <w:t>(112)</w:t>
      </w:r>
      <w:r w:rsidR="001F3903">
        <w:rPr>
          <w:lang w:val="fr-FR"/>
        </w:rPr>
        <w:fldChar w:fldCharType="end"/>
      </w:r>
    </w:p>
    <w:p w14:paraId="7B5FF69A" w14:textId="77777777" w:rsidR="00664D0A" w:rsidRPr="00664D0A" w:rsidRDefault="00664D0A" w:rsidP="00665FE5">
      <w:pPr>
        <w:rPr>
          <w:sz w:val="28"/>
          <w:szCs w:val="28"/>
          <w:lang w:val="fr-FR"/>
        </w:rPr>
      </w:pPr>
      <w:bookmarkStart w:id="78" w:name="_Toc229618809"/>
      <w:r w:rsidRPr="00665FE5">
        <w:rPr>
          <w:rStyle w:val="Heading2Char"/>
        </w:rPr>
        <w:t>7-7/Techniques Avancées</w:t>
      </w:r>
      <w:bookmarkEnd w:id="78"/>
      <w:r w:rsidRPr="00665FE5">
        <w:rPr>
          <w:rStyle w:val="Heading2Char"/>
        </w:rPr>
        <w:t xml:space="preserve"> </w:t>
      </w:r>
      <w:r w:rsidRPr="00664D0A">
        <w:rPr>
          <w:sz w:val="28"/>
          <w:szCs w:val="28"/>
          <w:lang w:val="fr-FR"/>
        </w:rPr>
        <w:t>:</w:t>
      </w:r>
    </w:p>
    <w:p w14:paraId="2B847C7D" w14:textId="3F54A471" w:rsidR="00664D0A" w:rsidRPr="00664D0A" w:rsidRDefault="00664D0A" w:rsidP="001F3903">
      <w:pPr>
        <w:rPr>
          <w:lang w:val="fr-FR"/>
        </w:rPr>
      </w:pPr>
      <w:r w:rsidRPr="00664D0A">
        <w:rPr>
          <w:lang w:val="fr-FR"/>
        </w:rPr>
        <w:t>Les méthodologies modernes, telles que le cryobroyage, consistent à pulvériser la plante sous azote liquide à -196 °C, préservant ainsi l'intégralité des molécules sensibles. La nébulisation permet de transformer un extrait liquide en une poudre ultra fine instantanément. Ces procédés de haute précision garantissent une biodisponibilité maximale et une pureté conforme aux exigences de l'Organisation Mondiale de la Santé et des agences sanitaires internationales.</w:t>
      </w:r>
      <w:r w:rsidR="001F3903">
        <w:rPr>
          <w:lang w:val="fr-FR"/>
        </w:rPr>
        <w:fldChar w:fldCharType="begin"/>
      </w:r>
      <w:r w:rsidR="00116A61">
        <w:rPr>
          <w:lang w:val="fr-FR"/>
        </w:rPr>
        <w:instrText xml:space="preserve"> ADDIN ZOTERO_ITEM CSL_CITATION {"citationID":"Ijon71xt","properties":{"unsorted":false,"formattedCitation":"(113)","plainCitation":"(113)","noteIndex":0},"citationItems":[{"id":"6VBx8p83/ffZ88Jjt","uris":["http://zotero.org/users/local/xPnoPzR4/items/UI4RZA66"],"itemData":{"id":413,"type":"article-journal","abstract":"Medicinal plants are used by 80% of the world population as primary health care and the phytomedicine market is growing exponentially. Currently, the production of phytopharmaceuticals with proper efficacy, safety and consistent quality constitutes a relevant challenge. The dried dosage forms of medicinal plants are preferred than liquid presentations because of their higher stability. The spray drying technology is the most employed process to produce dried extracts from medicinal plant liquid extracts. These powders need to meet certain physicochemical (e.g., moisture content, hygroscopicity, particle size, density, the concentration of active ingredients) and mechanical (e.g., flowability and compressibility) properties to be used in a solid pharmaceutical form. In addition, high process yields and good powder quality can be obtained by selecting suitable process parameters: spray drying operating conditions and type/concentration of carriers (drying coadjuvants). The optimal process parameters are strongly affected by the chemical nature of the medicinal plant extract. This review aims to give a general guide to understand the effect of the process parameters on the product properties and process yield. This guideline could help practitioners and researchers to initially select the levels of the process variables to decrease the time and cost of the development stage of medicinal plants powders.","container-title":"Current Drug Discovery Technologies","DOI":"10.2174/1570163815666180801152918","ISSN":"1875-6220","issue":"4","journalAbbreviation":"Curr Drug Discov Technol","language":"eng","page":"340-354","PMID":"30068280","source":"PubMed","title":"A Review on Influence of Spray Drying Process Parameters on the Production of Medicinal Plant Powders","volume":"16","author":[{"family":"Gallo","given":"Loreana"},{"family":"Bucalá","given":"Verónica"}],"issued":{"date-parts":[["2019"]]}}}],"schema":"https://github.com/citation-style-language/schema/raw/master/csl-citation.json"} </w:instrText>
      </w:r>
      <w:r w:rsidR="001F3903">
        <w:rPr>
          <w:lang w:val="fr-FR"/>
        </w:rPr>
        <w:fldChar w:fldCharType="separate"/>
      </w:r>
      <w:r w:rsidR="001F3903" w:rsidRPr="001F3903">
        <w:rPr>
          <w:rFonts w:ascii="Times New Roman" w:hAnsi="Times New Roman" w:cs="Times New Roman"/>
        </w:rPr>
        <w:t>(113)</w:t>
      </w:r>
      <w:r w:rsidR="001F3903">
        <w:rPr>
          <w:lang w:val="fr-FR"/>
        </w:rPr>
        <w:fldChar w:fldCharType="end"/>
      </w:r>
    </w:p>
    <w:p w14:paraId="236A2F7E" w14:textId="5CEA6F43" w:rsidR="00664D0A" w:rsidRPr="00664D0A" w:rsidRDefault="00664D0A" w:rsidP="00B139C3">
      <w:pPr>
        <w:rPr>
          <w:lang w:val="fr-FR"/>
        </w:rPr>
      </w:pPr>
    </w:p>
    <w:p w14:paraId="02C65468" w14:textId="650C8488" w:rsidR="00665FE5" w:rsidRDefault="00665FE5" w:rsidP="00665FE5">
      <w:pPr>
        <w:pStyle w:val="Caption"/>
        <w:keepNext/>
      </w:pPr>
      <w:bookmarkStart w:id="79" w:name="_Toc229617370"/>
      <w:r>
        <w:lastRenderedPageBreak/>
        <w:t xml:space="preserve">Tableau </w:t>
      </w:r>
      <w:r>
        <w:fldChar w:fldCharType="begin"/>
      </w:r>
      <w:r>
        <w:instrText xml:space="preserve"> SEQ Tableau \* ARABIC </w:instrText>
      </w:r>
      <w:r>
        <w:fldChar w:fldCharType="separate"/>
      </w:r>
      <w:r w:rsidR="00983108">
        <w:rPr>
          <w:noProof/>
        </w:rPr>
        <w:t>9</w:t>
      </w:r>
      <w:r>
        <w:fldChar w:fldCharType="end"/>
      </w:r>
      <w:r>
        <w:t xml:space="preserve"> </w:t>
      </w:r>
      <w:r w:rsidRPr="00BA33B5">
        <w:t>Comparaison des Modes de Préparation en Phytothérapie</w:t>
      </w:r>
      <w:bookmarkEnd w:id="79"/>
    </w:p>
    <w:tbl>
      <w:tblPr>
        <w:tblpPr w:leftFromText="180" w:rightFromText="180" w:vertAnchor="text" w:horzAnchor="margin" w:tblpXSpec="center" w:tblpY="285"/>
        <w:tblW w:w="9848" w:type="dxa"/>
        <w:tblCellMar>
          <w:left w:w="0" w:type="dxa"/>
          <w:right w:w="0" w:type="dxa"/>
        </w:tblCellMar>
        <w:tblLook w:val="04A0" w:firstRow="1" w:lastRow="0" w:firstColumn="1" w:lastColumn="0" w:noHBand="0" w:noVBand="1"/>
      </w:tblPr>
      <w:tblGrid>
        <w:gridCol w:w="1961"/>
        <w:gridCol w:w="1897"/>
        <w:gridCol w:w="2253"/>
        <w:gridCol w:w="3737"/>
      </w:tblGrid>
      <w:tr w:rsidR="00664D0A" w:rsidRPr="00E71797" w14:paraId="65921BEF" w14:textId="77777777" w:rsidTr="00B91DCD">
        <w:trPr>
          <w:trHeight w:val="310"/>
        </w:trPr>
        <w:tc>
          <w:tcPr>
            <w:tcW w:w="1961" w:type="dxa"/>
            <w:tcBorders>
              <w:top w:val="single" w:sz="6" w:space="0" w:color="284E3F"/>
              <w:left w:val="single" w:sz="6" w:space="0" w:color="284E3F"/>
              <w:bottom w:val="single" w:sz="6" w:space="0" w:color="F6F8F9"/>
              <w:right w:val="single" w:sz="6" w:space="0" w:color="FFFFFF"/>
            </w:tcBorders>
            <w:shd w:val="clear" w:color="auto" w:fill="FFFFFF"/>
            <w:tcMar>
              <w:top w:w="30" w:type="dxa"/>
              <w:left w:w="120" w:type="dxa"/>
              <w:bottom w:w="30" w:type="dxa"/>
              <w:right w:w="120" w:type="dxa"/>
            </w:tcMar>
            <w:vAlign w:val="center"/>
          </w:tcPr>
          <w:p w14:paraId="3BACCC37"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Mode de preparation</w:t>
            </w:r>
          </w:p>
        </w:tc>
        <w:tc>
          <w:tcPr>
            <w:tcW w:w="0" w:type="auto"/>
            <w:tcBorders>
              <w:top w:val="single" w:sz="6" w:space="0" w:color="284E3F"/>
              <w:left w:val="single" w:sz="6" w:space="0" w:color="CCCCCC"/>
              <w:bottom w:val="single" w:sz="6" w:space="0" w:color="F6F8F9"/>
              <w:right w:val="single" w:sz="6" w:space="0" w:color="FFFFFF"/>
            </w:tcBorders>
            <w:shd w:val="clear" w:color="auto" w:fill="FFFFFF"/>
            <w:tcMar>
              <w:top w:w="30" w:type="dxa"/>
              <w:left w:w="120" w:type="dxa"/>
              <w:bottom w:w="30" w:type="dxa"/>
              <w:right w:w="120" w:type="dxa"/>
            </w:tcMar>
            <w:vAlign w:val="center"/>
          </w:tcPr>
          <w:p w14:paraId="6F2332D8"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Type de solvant</w:t>
            </w:r>
          </w:p>
        </w:tc>
        <w:tc>
          <w:tcPr>
            <w:tcW w:w="2253" w:type="dxa"/>
            <w:tcBorders>
              <w:top w:val="single" w:sz="6" w:space="0" w:color="284E3F"/>
              <w:left w:val="single" w:sz="6" w:space="0" w:color="CCCCCC"/>
              <w:bottom w:val="single" w:sz="6" w:space="0" w:color="F6F8F9"/>
              <w:right w:val="single" w:sz="6" w:space="0" w:color="FFFFFF"/>
            </w:tcBorders>
            <w:shd w:val="clear" w:color="auto" w:fill="FFFFFF"/>
            <w:tcMar>
              <w:top w:w="30" w:type="dxa"/>
              <w:left w:w="120" w:type="dxa"/>
              <w:bottom w:w="30" w:type="dxa"/>
              <w:right w:w="120" w:type="dxa"/>
            </w:tcMar>
            <w:vAlign w:val="center"/>
          </w:tcPr>
          <w:p w14:paraId="346272A5"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Partie de la plante</w:t>
            </w:r>
          </w:p>
        </w:tc>
        <w:tc>
          <w:tcPr>
            <w:tcW w:w="3737" w:type="dxa"/>
            <w:tcBorders>
              <w:top w:val="single" w:sz="6" w:space="0" w:color="284E3F"/>
              <w:left w:val="single" w:sz="6" w:space="0" w:color="CCCCCC"/>
              <w:bottom w:val="single" w:sz="6" w:space="0" w:color="F6F8F9"/>
              <w:right w:val="single" w:sz="6" w:space="0" w:color="284E3F"/>
            </w:tcBorders>
            <w:shd w:val="clear" w:color="auto" w:fill="FFFFFF"/>
            <w:tcMar>
              <w:top w:w="30" w:type="dxa"/>
              <w:left w:w="120" w:type="dxa"/>
              <w:bottom w:w="30" w:type="dxa"/>
              <w:right w:w="120" w:type="dxa"/>
            </w:tcMar>
            <w:vAlign w:val="center"/>
          </w:tcPr>
          <w:p w14:paraId="3FD4E641"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Avantages et indications</w:t>
            </w:r>
          </w:p>
        </w:tc>
      </w:tr>
      <w:tr w:rsidR="00664D0A" w:rsidRPr="00116A61" w14:paraId="37498026" w14:textId="77777777" w:rsidTr="00B91DCD">
        <w:trPr>
          <w:trHeight w:val="310"/>
        </w:trPr>
        <w:tc>
          <w:tcPr>
            <w:tcW w:w="1961" w:type="dxa"/>
            <w:tcBorders>
              <w:top w:val="single" w:sz="6" w:space="0" w:color="284E3F"/>
              <w:left w:val="single" w:sz="6" w:space="0" w:color="284E3F"/>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3146953D"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Infusion</w:t>
            </w:r>
          </w:p>
        </w:tc>
        <w:tc>
          <w:tcPr>
            <w:tcW w:w="0" w:type="auto"/>
            <w:tcBorders>
              <w:top w:val="single" w:sz="6" w:space="0" w:color="284E3F"/>
              <w:left w:val="single" w:sz="6" w:space="0" w:color="CCCCCC"/>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7BD810D6"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Eau bouillante</w:t>
            </w:r>
          </w:p>
        </w:tc>
        <w:tc>
          <w:tcPr>
            <w:tcW w:w="2253" w:type="dxa"/>
            <w:tcBorders>
              <w:top w:val="single" w:sz="6" w:space="0" w:color="284E3F"/>
              <w:left w:val="single" w:sz="6" w:space="0" w:color="CCCCCC"/>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2B0ACD1E"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Parties fragiles (feuilles, fleurs)</w:t>
            </w:r>
          </w:p>
        </w:tc>
        <w:tc>
          <w:tcPr>
            <w:tcW w:w="3737" w:type="dxa"/>
            <w:tcBorders>
              <w:top w:val="single" w:sz="6" w:space="0" w:color="284E3F"/>
              <w:left w:val="single" w:sz="6" w:space="0" w:color="CCCCCC"/>
              <w:bottom w:val="single" w:sz="6" w:space="0" w:color="F6F8F9"/>
              <w:right w:val="single" w:sz="6" w:space="0" w:color="284E3F"/>
            </w:tcBorders>
            <w:shd w:val="clear" w:color="auto" w:fill="FFFFFF"/>
            <w:tcMar>
              <w:top w:w="30" w:type="dxa"/>
              <w:left w:w="120" w:type="dxa"/>
              <w:bottom w:w="30" w:type="dxa"/>
              <w:right w:w="120" w:type="dxa"/>
            </w:tcMar>
            <w:vAlign w:val="center"/>
            <w:hideMark/>
          </w:tcPr>
          <w:p w14:paraId="586BB69D" w14:textId="77777777" w:rsidR="00664D0A" w:rsidRPr="00664D0A" w:rsidRDefault="00664D0A" w:rsidP="00B139C3">
            <w:pPr>
              <w:rPr>
                <w:rFonts w:eastAsia="Times New Roman"/>
                <w:color w:val="434343"/>
                <w:sz w:val="20"/>
                <w:szCs w:val="20"/>
                <w:lang w:val="fr-FR"/>
              </w:rPr>
            </w:pPr>
            <w:r w:rsidRPr="00664D0A">
              <w:rPr>
                <w:rFonts w:eastAsia="Times New Roman"/>
                <w:color w:val="434343"/>
                <w:sz w:val="20"/>
                <w:szCs w:val="20"/>
                <w:lang w:val="fr-FR"/>
              </w:rPr>
              <w:t>Préserve les molécules volatiles et les vitamines.</w:t>
            </w:r>
          </w:p>
        </w:tc>
      </w:tr>
      <w:tr w:rsidR="00664D0A" w:rsidRPr="00116A61" w14:paraId="709D5BC9" w14:textId="77777777" w:rsidTr="00B91DCD">
        <w:trPr>
          <w:trHeight w:val="310"/>
        </w:trPr>
        <w:tc>
          <w:tcPr>
            <w:tcW w:w="1961" w:type="dxa"/>
            <w:tcBorders>
              <w:top w:val="single" w:sz="6" w:space="0" w:color="CCCCCC"/>
              <w:left w:val="single" w:sz="6" w:space="0" w:color="284E3F"/>
              <w:bottom w:val="single" w:sz="6" w:space="0" w:color="F6F8F9"/>
              <w:right w:val="single" w:sz="6" w:space="0" w:color="F6F8F9"/>
            </w:tcBorders>
            <w:shd w:val="clear" w:color="auto" w:fill="F6F8F9"/>
            <w:tcMar>
              <w:top w:w="30" w:type="dxa"/>
              <w:left w:w="120" w:type="dxa"/>
              <w:bottom w:w="30" w:type="dxa"/>
              <w:right w:w="120" w:type="dxa"/>
            </w:tcMar>
            <w:vAlign w:val="center"/>
            <w:hideMark/>
          </w:tcPr>
          <w:p w14:paraId="19C606DA"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Décoction</w:t>
            </w:r>
          </w:p>
        </w:tc>
        <w:tc>
          <w:tcPr>
            <w:tcW w:w="0" w:type="auto"/>
            <w:tcBorders>
              <w:top w:val="single" w:sz="6" w:space="0" w:color="CCCCCC"/>
              <w:left w:val="single" w:sz="6" w:space="0" w:color="CCCCCC"/>
              <w:bottom w:val="single" w:sz="6" w:space="0" w:color="F6F8F9"/>
              <w:right w:val="single" w:sz="6" w:space="0" w:color="F6F8F9"/>
            </w:tcBorders>
            <w:shd w:val="clear" w:color="auto" w:fill="F6F8F9"/>
            <w:tcMar>
              <w:top w:w="30" w:type="dxa"/>
              <w:left w:w="120" w:type="dxa"/>
              <w:bottom w:w="30" w:type="dxa"/>
              <w:right w:w="120" w:type="dxa"/>
            </w:tcMar>
            <w:vAlign w:val="center"/>
            <w:hideMark/>
          </w:tcPr>
          <w:p w14:paraId="5D0192E3"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Eau en ébullition</w:t>
            </w:r>
          </w:p>
        </w:tc>
        <w:tc>
          <w:tcPr>
            <w:tcW w:w="2253" w:type="dxa"/>
            <w:tcBorders>
              <w:top w:val="single" w:sz="6" w:space="0" w:color="CCCCCC"/>
              <w:left w:val="single" w:sz="6" w:space="0" w:color="CCCCCC"/>
              <w:bottom w:val="single" w:sz="6" w:space="0" w:color="F6F8F9"/>
              <w:right w:val="single" w:sz="6" w:space="0" w:color="F6F8F9"/>
            </w:tcBorders>
            <w:shd w:val="clear" w:color="auto" w:fill="F6F8F9"/>
            <w:tcMar>
              <w:top w:w="30" w:type="dxa"/>
              <w:left w:w="120" w:type="dxa"/>
              <w:bottom w:w="30" w:type="dxa"/>
              <w:right w:w="120" w:type="dxa"/>
            </w:tcMar>
            <w:vAlign w:val="center"/>
            <w:hideMark/>
          </w:tcPr>
          <w:p w14:paraId="206D096D" w14:textId="77777777" w:rsidR="00664D0A" w:rsidRPr="00664D0A" w:rsidRDefault="00664D0A" w:rsidP="00B139C3">
            <w:pPr>
              <w:rPr>
                <w:rFonts w:eastAsia="Times New Roman"/>
                <w:color w:val="434343"/>
                <w:sz w:val="20"/>
                <w:szCs w:val="20"/>
                <w:lang w:val="fr-FR"/>
              </w:rPr>
            </w:pPr>
            <w:r w:rsidRPr="00664D0A">
              <w:rPr>
                <w:rFonts w:eastAsia="Times New Roman"/>
                <w:color w:val="434343"/>
                <w:sz w:val="20"/>
                <w:szCs w:val="20"/>
                <w:lang w:val="fr-FR"/>
              </w:rPr>
              <w:t>Parties dures (racines, écorces, graines)</w:t>
            </w:r>
          </w:p>
        </w:tc>
        <w:tc>
          <w:tcPr>
            <w:tcW w:w="3737" w:type="dxa"/>
            <w:tcBorders>
              <w:top w:val="single" w:sz="6" w:space="0" w:color="CCCCCC"/>
              <w:left w:val="single" w:sz="6" w:space="0" w:color="CCCCCC"/>
              <w:bottom w:val="single" w:sz="6" w:space="0" w:color="F6F8F9"/>
              <w:right w:val="single" w:sz="6" w:space="0" w:color="284E3F"/>
            </w:tcBorders>
            <w:shd w:val="clear" w:color="auto" w:fill="F6F8F9"/>
            <w:tcMar>
              <w:top w:w="30" w:type="dxa"/>
              <w:left w:w="120" w:type="dxa"/>
              <w:bottom w:w="30" w:type="dxa"/>
              <w:right w:w="120" w:type="dxa"/>
            </w:tcMar>
            <w:vAlign w:val="center"/>
            <w:hideMark/>
          </w:tcPr>
          <w:p w14:paraId="120F50D9" w14:textId="77777777" w:rsidR="00664D0A" w:rsidRPr="00664D0A" w:rsidRDefault="00664D0A" w:rsidP="00B139C3">
            <w:pPr>
              <w:rPr>
                <w:rFonts w:eastAsia="Times New Roman"/>
                <w:color w:val="434343"/>
                <w:sz w:val="20"/>
                <w:szCs w:val="20"/>
                <w:lang w:val="fr-FR"/>
              </w:rPr>
            </w:pPr>
            <w:r w:rsidRPr="00664D0A">
              <w:rPr>
                <w:rFonts w:eastAsia="Times New Roman"/>
                <w:color w:val="434343"/>
                <w:sz w:val="20"/>
                <w:szCs w:val="20"/>
                <w:lang w:val="fr-FR"/>
              </w:rPr>
              <w:t>Extraction profonde des principes actifs stables (alcaloïdes).</w:t>
            </w:r>
          </w:p>
        </w:tc>
      </w:tr>
      <w:tr w:rsidR="00664D0A" w:rsidRPr="00116A61" w14:paraId="63387E38" w14:textId="77777777" w:rsidTr="00B91DCD">
        <w:trPr>
          <w:trHeight w:val="310"/>
        </w:trPr>
        <w:tc>
          <w:tcPr>
            <w:tcW w:w="1961" w:type="dxa"/>
            <w:tcBorders>
              <w:top w:val="single" w:sz="6" w:space="0" w:color="CCCCCC"/>
              <w:left w:val="single" w:sz="6" w:space="0" w:color="284E3F"/>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5FD72EBF"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Macération</w:t>
            </w:r>
          </w:p>
        </w:tc>
        <w:tc>
          <w:tcPr>
            <w:tcW w:w="0" w:type="auto"/>
            <w:tcBorders>
              <w:top w:val="single" w:sz="6" w:space="0" w:color="CCCCCC"/>
              <w:left w:val="single" w:sz="6" w:space="0" w:color="CCCCCC"/>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5D29319F" w14:textId="77777777" w:rsidR="00664D0A" w:rsidRPr="00664D0A" w:rsidRDefault="00664D0A" w:rsidP="00B139C3">
            <w:pPr>
              <w:rPr>
                <w:rFonts w:eastAsia="Times New Roman"/>
                <w:color w:val="434343"/>
                <w:sz w:val="20"/>
                <w:szCs w:val="20"/>
                <w:lang w:val="fr-FR"/>
              </w:rPr>
            </w:pPr>
            <w:r w:rsidRPr="00664D0A">
              <w:rPr>
                <w:rFonts w:eastAsia="Times New Roman"/>
                <w:color w:val="434343"/>
                <w:sz w:val="20"/>
                <w:szCs w:val="20"/>
                <w:lang w:val="fr-FR"/>
              </w:rPr>
              <w:t>Eau, Huile ou Alcool (froid)</w:t>
            </w:r>
          </w:p>
        </w:tc>
        <w:tc>
          <w:tcPr>
            <w:tcW w:w="2253" w:type="dxa"/>
            <w:tcBorders>
              <w:top w:val="single" w:sz="6" w:space="0" w:color="CCCCCC"/>
              <w:left w:val="single" w:sz="6" w:space="0" w:color="CCCCCC"/>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1061919B"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Toutes parties</w:t>
            </w:r>
          </w:p>
        </w:tc>
        <w:tc>
          <w:tcPr>
            <w:tcW w:w="3737" w:type="dxa"/>
            <w:tcBorders>
              <w:top w:val="single" w:sz="6" w:space="0" w:color="CCCCCC"/>
              <w:left w:val="single" w:sz="6" w:space="0" w:color="CCCCCC"/>
              <w:bottom w:val="single" w:sz="6" w:space="0" w:color="F6F8F9"/>
              <w:right w:val="single" w:sz="6" w:space="0" w:color="284E3F"/>
            </w:tcBorders>
            <w:shd w:val="clear" w:color="auto" w:fill="FFFFFF"/>
            <w:tcMar>
              <w:top w:w="30" w:type="dxa"/>
              <w:left w:w="120" w:type="dxa"/>
              <w:bottom w:w="30" w:type="dxa"/>
              <w:right w:w="120" w:type="dxa"/>
            </w:tcMar>
            <w:vAlign w:val="center"/>
            <w:hideMark/>
          </w:tcPr>
          <w:p w14:paraId="0A1BAFEB" w14:textId="77777777" w:rsidR="00664D0A" w:rsidRPr="00664D0A" w:rsidRDefault="00664D0A" w:rsidP="00B139C3">
            <w:pPr>
              <w:rPr>
                <w:rFonts w:eastAsia="Times New Roman"/>
                <w:color w:val="434343"/>
                <w:sz w:val="20"/>
                <w:szCs w:val="20"/>
                <w:lang w:val="fr-FR"/>
              </w:rPr>
            </w:pPr>
            <w:r w:rsidRPr="00664D0A">
              <w:rPr>
                <w:rFonts w:eastAsia="Times New Roman"/>
                <w:color w:val="434343"/>
                <w:sz w:val="20"/>
                <w:szCs w:val="20"/>
                <w:lang w:val="fr-FR"/>
              </w:rPr>
              <w:t>Préserve les principes thermolabiles et les mucilages.</w:t>
            </w:r>
          </w:p>
        </w:tc>
      </w:tr>
      <w:tr w:rsidR="00664D0A" w:rsidRPr="00116A61" w14:paraId="4191216E" w14:textId="77777777" w:rsidTr="00B91DCD">
        <w:trPr>
          <w:trHeight w:val="310"/>
        </w:trPr>
        <w:tc>
          <w:tcPr>
            <w:tcW w:w="1961" w:type="dxa"/>
            <w:tcBorders>
              <w:top w:val="single" w:sz="6" w:space="0" w:color="CCCCCC"/>
              <w:left w:val="single" w:sz="6" w:space="0" w:color="284E3F"/>
              <w:bottom w:val="single" w:sz="6" w:space="0" w:color="F6F8F9"/>
              <w:right w:val="single" w:sz="6" w:space="0" w:color="F6F8F9"/>
            </w:tcBorders>
            <w:shd w:val="clear" w:color="auto" w:fill="F6F8F9"/>
            <w:tcMar>
              <w:top w:w="30" w:type="dxa"/>
              <w:left w:w="120" w:type="dxa"/>
              <w:bottom w:w="30" w:type="dxa"/>
              <w:right w:w="120" w:type="dxa"/>
            </w:tcMar>
            <w:vAlign w:val="center"/>
            <w:hideMark/>
          </w:tcPr>
          <w:p w14:paraId="094F1EDC"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Extrait Sec</w:t>
            </w:r>
          </w:p>
        </w:tc>
        <w:tc>
          <w:tcPr>
            <w:tcW w:w="0" w:type="auto"/>
            <w:tcBorders>
              <w:top w:val="single" w:sz="6" w:space="0" w:color="CCCCCC"/>
              <w:left w:val="single" w:sz="6" w:space="0" w:color="CCCCCC"/>
              <w:bottom w:val="single" w:sz="6" w:space="0" w:color="F6F8F9"/>
              <w:right w:val="single" w:sz="6" w:space="0" w:color="F6F8F9"/>
            </w:tcBorders>
            <w:shd w:val="clear" w:color="auto" w:fill="F6F8F9"/>
            <w:tcMar>
              <w:top w:w="30" w:type="dxa"/>
              <w:left w:w="120" w:type="dxa"/>
              <w:bottom w:w="30" w:type="dxa"/>
              <w:right w:w="120" w:type="dxa"/>
            </w:tcMar>
            <w:vAlign w:val="center"/>
            <w:hideMark/>
          </w:tcPr>
          <w:p w14:paraId="3B5FA2B5"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Solvant évaporé (Nébulisation)</w:t>
            </w:r>
          </w:p>
        </w:tc>
        <w:tc>
          <w:tcPr>
            <w:tcW w:w="2253" w:type="dxa"/>
            <w:tcBorders>
              <w:top w:val="single" w:sz="6" w:space="0" w:color="CCCCCC"/>
              <w:left w:val="single" w:sz="6" w:space="0" w:color="CCCCCC"/>
              <w:bottom w:val="single" w:sz="6" w:space="0" w:color="F6F8F9"/>
              <w:right w:val="single" w:sz="6" w:space="0" w:color="F6F8F9"/>
            </w:tcBorders>
            <w:shd w:val="clear" w:color="auto" w:fill="F6F8F9"/>
            <w:tcMar>
              <w:top w:w="30" w:type="dxa"/>
              <w:left w:w="120" w:type="dxa"/>
              <w:bottom w:w="30" w:type="dxa"/>
              <w:right w:w="120" w:type="dxa"/>
            </w:tcMar>
            <w:vAlign w:val="center"/>
            <w:hideMark/>
          </w:tcPr>
          <w:p w14:paraId="5EF1C9DA"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Toutes parties</w:t>
            </w:r>
          </w:p>
        </w:tc>
        <w:tc>
          <w:tcPr>
            <w:tcW w:w="3737" w:type="dxa"/>
            <w:tcBorders>
              <w:top w:val="single" w:sz="6" w:space="0" w:color="CCCCCC"/>
              <w:left w:val="single" w:sz="6" w:space="0" w:color="CCCCCC"/>
              <w:bottom w:val="single" w:sz="6" w:space="0" w:color="F6F8F9"/>
              <w:right w:val="single" w:sz="6" w:space="0" w:color="284E3F"/>
            </w:tcBorders>
            <w:shd w:val="clear" w:color="auto" w:fill="F6F8F9"/>
            <w:tcMar>
              <w:top w:w="30" w:type="dxa"/>
              <w:left w:w="120" w:type="dxa"/>
              <w:bottom w:w="30" w:type="dxa"/>
              <w:right w:w="120" w:type="dxa"/>
            </w:tcMar>
            <w:vAlign w:val="center"/>
            <w:hideMark/>
          </w:tcPr>
          <w:p w14:paraId="7CD990B3" w14:textId="77777777" w:rsidR="00664D0A" w:rsidRPr="00664D0A" w:rsidRDefault="00664D0A" w:rsidP="00B139C3">
            <w:pPr>
              <w:rPr>
                <w:rFonts w:eastAsia="Times New Roman"/>
                <w:color w:val="434343"/>
                <w:sz w:val="20"/>
                <w:szCs w:val="20"/>
                <w:lang w:val="fr-FR"/>
              </w:rPr>
            </w:pPr>
            <w:r w:rsidRPr="00664D0A">
              <w:rPr>
                <w:rFonts w:eastAsia="Times New Roman"/>
                <w:color w:val="434343"/>
                <w:sz w:val="20"/>
                <w:szCs w:val="20"/>
                <w:lang w:val="fr-FR"/>
              </w:rPr>
              <w:t>Concentration maximale et dosage précis (Standardisation).</w:t>
            </w:r>
          </w:p>
        </w:tc>
      </w:tr>
      <w:tr w:rsidR="00664D0A" w:rsidRPr="00116A61" w14:paraId="2D4A4C2C" w14:textId="77777777" w:rsidTr="00B91DCD">
        <w:trPr>
          <w:trHeight w:val="310"/>
        </w:trPr>
        <w:tc>
          <w:tcPr>
            <w:tcW w:w="1961" w:type="dxa"/>
            <w:tcBorders>
              <w:top w:val="single" w:sz="6" w:space="0" w:color="CCCCCC"/>
              <w:left w:val="single" w:sz="6" w:space="0" w:color="284E3F"/>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77BC6348"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Teinture</w:t>
            </w:r>
          </w:p>
        </w:tc>
        <w:tc>
          <w:tcPr>
            <w:tcW w:w="0" w:type="auto"/>
            <w:tcBorders>
              <w:top w:val="single" w:sz="6" w:space="0" w:color="CCCCCC"/>
              <w:left w:val="single" w:sz="6" w:space="0" w:color="CCCCCC"/>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1139B7B2"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Éthanol</w:t>
            </w:r>
          </w:p>
        </w:tc>
        <w:tc>
          <w:tcPr>
            <w:tcW w:w="2253" w:type="dxa"/>
            <w:tcBorders>
              <w:top w:val="single" w:sz="6" w:space="0" w:color="CCCCCC"/>
              <w:left w:val="single" w:sz="6" w:space="0" w:color="CCCCCC"/>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6E48E8ED"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Plante sèche ou fraîche</w:t>
            </w:r>
          </w:p>
        </w:tc>
        <w:tc>
          <w:tcPr>
            <w:tcW w:w="3737" w:type="dxa"/>
            <w:tcBorders>
              <w:top w:val="single" w:sz="6" w:space="0" w:color="CCCCCC"/>
              <w:left w:val="single" w:sz="6" w:space="0" w:color="CCCCCC"/>
              <w:bottom w:val="single" w:sz="6" w:space="0" w:color="F6F8F9"/>
              <w:right w:val="single" w:sz="6" w:space="0" w:color="284E3F"/>
            </w:tcBorders>
            <w:shd w:val="clear" w:color="auto" w:fill="FFFFFF"/>
            <w:tcMar>
              <w:top w:w="30" w:type="dxa"/>
              <w:left w:w="120" w:type="dxa"/>
              <w:bottom w:w="30" w:type="dxa"/>
              <w:right w:w="120" w:type="dxa"/>
            </w:tcMar>
            <w:vAlign w:val="center"/>
            <w:hideMark/>
          </w:tcPr>
          <w:p w14:paraId="7E1CADF3" w14:textId="77777777" w:rsidR="00664D0A" w:rsidRPr="00664D0A" w:rsidRDefault="00664D0A" w:rsidP="00B139C3">
            <w:pPr>
              <w:rPr>
                <w:rFonts w:eastAsia="Times New Roman"/>
                <w:color w:val="434343"/>
                <w:sz w:val="20"/>
                <w:szCs w:val="20"/>
                <w:lang w:val="fr-FR"/>
              </w:rPr>
            </w:pPr>
            <w:r w:rsidRPr="00664D0A">
              <w:rPr>
                <w:rFonts w:eastAsia="Times New Roman"/>
                <w:color w:val="434343"/>
                <w:sz w:val="20"/>
                <w:szCs w:val="20"/>
                <w:lang w:val="fr-FR"/>
              </w:rPr>
              <w:t>Longue conservation, extraction des molécules non hydrosolubles.</w:t>
            </w:r>
          </w:p>
        </w:tc>
      </w:tr>
      <w:tr w:rsidR="00664D0A" w:rsidRPr="00116A61" w14:paraId="423ECA43" w14:textId="77777777" w:rsidTr="00B91DCD">
        <w:trPr>
          <w:trHeight w:val="310"/>
        </w:trPr>
        <w:tc>
          <w:tcPr>
            <w:tcW w:w="1961" w:type="dxa"/>
            <w:tcBorders>
              <w:top w:val="single" w:sz="6" w:space="0" w:color="CCCCCC"/>
              <w:left w:val="single" w:sz="6" w:space="0" w:color="284E3F"/>
              <w:bottom w:val="single" w:sz="6" w:space="0" w:color="F6F8F9"/>
              <w:right w:val="single" w:sz="6" w:space="0" w:color="F6F8F9"/>
            </w:tcBorders>
            <w:shd w:val="clear" w:color="auto" w:fill="F6F8F9"/>
            <w:tcMar>
              <w:top w:w="30" w:type="dxa"/>
              <w:left w:w="120" w:type="dxa"/>
              <w:bottom w:w="30" w:type="dxa"/>
              <w:right w:w="120" w:type="dxa"/>
            </w:tcMar>
            <w:vAlign w:val="center"/>
            <w:hideMark/>
          </w:tcPr>
          <w:p w14:paraId="1659086E"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Sirop</w:t>
            </w:r>
          </w:p>
        </w:tc>
        <w:tc>
          <w:tcPr>
            <w:tcW w:w="0" w:type="auto"/>
            <w:tcBorders>
              <w:top w:val="single" w:sz="6" w:space="0" w:color="CCCCCC"/>
              <w:left w:val="single" w:sz="6" w:space="0" w:color="CCCCCC"/>
              <w:bottom w:val="single" w:sz="6" w:space="0" w:color="F6F8F9"/>
              <w:right w:val="single" w:sz="6" w:space="0" w:color="F6F8F9"/>
            </w:tcBorders>
            <w:shd w:val="clear" w:color="auto" w:fill="F6F8F9"/>
            <w:tcMar>
              <w:top w:w="30" w:type="dxa"/>
              <w:left w:w="120" w:type="dxa"/>
              <w:bottom w:w="30" w:type="dxa"/>
              <w:right w:w="120" w:type="dxa"/>
            </w:tcMar>
            <w:vAlign w:val="center"/>
            <w:hideMark/>
          </w:tcPr>
          <w:p w14:paraId="70A532A2"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Solution sucrée / aqueuse</w:t>
            </w:r>
          </w:p>
        </w:tc>
        <w:tc>
          <w:tcPr>
            <w:tcW w:w="2253" w:type="dxa"/>
            <w:tcBorders>
              <w:top w:val="single" w:sz="6" w:space="0" w:color="CCCCCC"/>
              <w:left w:val="single" w:sz="6" w:space="0" w:color="CCCCCC"/>
              <w:bottom w:val="single" w:sz="6" w:space="0" w:color="F6F8F9"/>
              <w:right w:val="single" w:sz="6" w:space="0" w:color="F6F8F9"/>
            </w:tcBorders>
            <w:shd w:val="clear" w:color="auto" w:fill="F6F8F9"/>
            <w:tcMar>
              <w:top w:w="30" w:type="dxa"/>
              <w:left w:w="120" w:type="dxa"/>
              <w:bottom w:w="30" w:type="dxa"/>
              <w:right w:w="120" w:type="dxa"/>
            </w:tcMar>
            <w:vAlign w:val="center"/>
            <w:hideMark/>
          </w:tcPr>
          <w:p w14:paraId="0C94666B"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Extraits de plantes</w:t>
            </w:r>
          </w:p>
        </w:tc>
        <w:tc>
          <w:tcPr>
            <w:tcW w:w="3737" w:type="dxa"/>
            <w:tcBorders>
              <w:top w:val="single" w:sz="6" w:space="0" w:color="CCCCCC"/>
              <w:left w:val="single" w:sz="6" w:space="0" w:color="CCCCCC"/>
              <w:bottom w:val="single" w:sz="6" w:space="0" w:color="F6F8F9"/>
              <w:right w:val="single" w:sz="6" w:space="0" w:color="284E3F"/>
            </w:tcBorders>
            <w:shd w:val="clear" w:color="auto" w:fill="F6F8F9"/>
            <w:tcMar>
              <w:top w:w="30" w:type="dxa"/>
              <w:left w:w="120" w:type="dxa"/>
              <w:bottom w:w="30" w:type="dxa"/>
              <w:right w:w="120" w:type="dxa"/>
            </w:tcMar>
            <w:vAlign w:val="center"/>
            <w:hideMark/>
          </w:tcPr>
          <w:p w14:paraId="3429CA33" w14:textId="77777777" w:rsidR="00664D0A" w:rsidRPr="00664D0A" w:rsidRDefault="00664D0A" w:rsidP="00B139C3">
            <w:pPr>
              <w:rPr>
                <w:rFonts w:eastAsia="Times New Roman"/>
                <w:color w:val="434343"/>
                <w:sz w:val="20"/>
                <w:szCs w:val="20"/>
                <w:lang w:val="fr-FR"/>
              </w:rPr>
            </w:pPr>
            <w:r w:rsidRPr="00664D0A">
              <w:rPr>
                <w:rFonts w:eastAsia="Times New Roman"/>
                <w:color w:val="434343"/>
                <w:sz w:val="20"/>
                <w:szCs w:val="20"/>
                <w:lang w:val="fr-FR"/>
              </w:rPr>
              <w:t>Masque l'amertume (Vigilance : à éviter chez le diabétique).</w:t>
            </w:r>
          </w:p>
        </w:tc>
      </w:tr>
      <w:tr w:rsidR="00664D0A" w:rsidRPr="00116A61" w14:paraId="2AF34E48" w14:textId="77777777" w:rsidTr="00B91DCD">
        <w:trPr>
          <w:trHeight w:val="491"/>
        </w:trPr>
        <w:tc>
          <w:tcPr>
            <w:tcW w:w="1961" w:type="dxa"/>
            <w:tcBorders>
              <w:top w:val="single" w:sz="6" w:space="0" w:color="CCCCCC"/>
              <w:left w:val="single" w:sz="6" w:space="0" w:color="284E3F"/>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7DE24DF8"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Cataplasme</w:t>
            </w:r>
          </w:p>
        </w:tc>
        <w:tc>
          <w:tcPr>
            <w:tcW w:w="0" w:type="auto"/>
            <w:tcBorders>
              <w:top w:val="single" w:sz="6" w:space="0" w:color="CCCCCC"/>
              <w:left w:val="single" w:sz="6" w:space="0" w:color="CCCCCC"/>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6DD616EE"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Pâte de plante</w:t>
            </w:r>
          </w:p>
        </w:tc>
        <w:tc>
          <w:tcPr>
            <w:tcW w:w="2253" w:type="dxa"/>
            <w:tcBorders>
              <w:top w:val="single" w:sz="6" w:space="0" w:color="CCCCCC"/>
              <w:left w:val="single" w:sz="6" w:space="0" w:color="CCCCCC"/>
              <w:bottom w:val="single" w:sz="6" w:space="0" w:color="F6F8F9"/>
              <w:right w:val="single" w:sz="6" w:space="0" w:color="FFFFFF"/>
            </w:tcBorders>
            <w:shd w:val="clear" w:color="auto" w:fill="FFFFFF"/>
            <w:tcMar>
              <w:top w:w="30" w:type="dxa"/>
              <w:left w:w="120" w:type="dxa"/>
              <w:bottom w:w="30" w:type="dxa"/>
              <w:right w:w="120" w:type="dxa"/>
            </w:tcMar>
            <w:vAlign w:val="center"/>
            <w:hideMark/>
          </w:tcPr>
          <w:p w14:paraId="493AA1C5"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Plante fraîche ou broyée</w:t>
            </w:r>
          </w:p>
        </w:tc>
        <w:tc>
          <w:tcPr>
            <w:tcW w:w="3737" w:type="dxa"/>
            <w:tcBorders>
              <w:top w:val="single" w:sz="6" w:space="0" w:color="CCCCCC"/>
              <w:left w:val="single" w:sz="6" w:space="0" w:color="CCCCCC"/>
              <w:bottom w:val="single" w:sz="6" w:space="0" w:color="F6F8F9"/>
              <w:right w:val="single" w:sz="6" w:space="0" w:color="284E3F"/>
            </w:tcBorders>
            <w:shd w:val="clear" w:color="auto" w:fill="FFFFFF"/>
            <w:tcMar>
              <w:top w:w="30" w:type="dxa"/>
              <w:left w:w="120" w:type="dxa"/>
              <w:bottom w:w="30" w:type="dxa"/>
              <w:right w:w="120" w:type="dxa"/>
            </w:tcMar>
            <w:vAlign w:val="center"/>
            <w:hideMark/>
          </w:tcPr>
          <w:p w14:paraId="695CDF66" w14:textId="77777777" w:rsidR="00664D0A" w:rsidRPr="00664D0A" w:rsidRDefault="00664D0A" w:rsidP="00B139C3">
            <w:pPr>
              <w:rPr>
                <w:rFonts w:eastAsia="Times New Roman"/>
                <w:color w:val="434343"/>
                <w:sz w:val="20"/>
                <w:szCs w:val="20"/>
                <w:lang w:val="fr-FR"/>
              </w:rPr>
            </w:pPr>
            <w:r w:rsidRPr="00664D0A">
              <w:rPr>
                <w:rFonts w:eastAsia="Times New Roman"/>
                <w:color w:val="434343"/>
                <w:sz w:val="20"/>
                <w:szCs w:val="20"/>
                <w:lang w:val="fr-FR"/>
              </w:rPr>
              <w:t>Action locale, cicatrisante et anti-infectieuse.</w:t>
            </w:r>
          </w:p>
        </w:tc>
      </w:tr>
      <w:tr w:rsidR="00664D0A" w:rsidRPr="00116A61" w14:paraId="0641F474" w14:textId="77777777" w:rsidTr="00B91DCD">
        <w:trPr>
          <w:trHeight w:val="527"/>
        </w:trPr>
        <w:tc>
          <w:tcPr>
            <w:tcW w:w="1961" w:type="dxa"/>
            <w:tcBorders>
              <w:top w:val="single" w:sz="6" w:space="0" w:color="CCCCCC"/>
              <w:left w:val="single" w:sz="6" w:space="0" w:color="284E3F"/>
              <w:bottom w:val="single" w:sz="6" w:space="0" w:color="284E3F"/>
              <w:right w:val="single" w:sz="6" w:space="0" w:color="F6F8F9"/>
            </w:tcBorders>
            <w:shd w:val="clear" w:color="auto" w:fill="F6F8F9"/>
            <w:tcMar>
              <w:top w:w="30" w:type="dxa"/>
              <w:left w:w="120" w:type="dxa"/>
              <w:bottom w:w="30" w:type="dxa"/>
              <w:right w:w="120" w:type="dxa"/>
            </w:tcMar>
            <w:vAlign w:val="center"/>
            <w:hideMark/>
          </w:tcPr>
          <w:p w14:paraId="530EEE28"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Cryobroyage</w:t>
            </w:r>
          </w:p>
        </w:tc>
        <w:tc>
          <w:tcPr>
            <w:tcW w:w="0" w:type="auto"/>
            <w:tcBorders>
              <w:top w:val="single" w:sz="6" w:space="0" w:color="CCCCCC"/>
              <w:left w:val="single" w:sz="6" w:space="0" w:color="CCCCCC"/>
              <w:bottom w:val="single" w:sz="6" w:space="0" w:color="284E3F"/>
              <w:right w:val="single" w:sz="6" w:space="0" w:color="F6F8F9"/>
            </w:tcBorders>
            <w:shd w:val="clear" w:color="auto" w:fill="F6F8F9"/>
            <w:tcMar>
              <w:top w:w="30" w:type="dxa"/>
              <w:left w:w="120" w:type="dxa"/>
              <w:bottom w:w="30" w:type="dxa"/>
              <w:right w:w="120" w:type="dxa"/>
            </w:tcMar>
            <w:vAlign w:val="center"/>
            <w:hideMark/>
          </w:tcPr>
          <w:p w14:paraId="7ED351BD"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Azote liquide (-196°C)</w:t>
            </w:r>
          </w:p>
        </w:tc>
        <w:tc>
          <w:tcPr>
            <w:tcW w:w="2253" w:type="dxa"/>
            <w:tcBorders>
              <w:top w:val="single" w:sz="6" w:space="0" w:color="CCCCCC"/>
              <w:left w:val="single" w:sz="6" w:space="0" w:color="CCCCCC"/>
              <w:bottom w:val="single" w:sz="6" w:space="0" w:color="284E3F"/>
              <w:right w:val="single" w:sz="6" w:space="0" w:color="F6F8F9"/>
            </w:tcBorders>
            <w:shd w:val="clear" w:color="auto" w:fill="F6F8F9"/>
            <w:tcMar>
              <w:top w:w="30" w:type="dxa"/>
              <w:left w:w="120" w:type="dxa"/>
              <w:bottom w:w="30" w:type="dxa"/>
              <w:right w:w="120" w:type="dxa"/>
            </w:tcMar>
            <w:vAlign w:val="center"/>
            <w:hideMark/>
          </w:tcPr>
          <w:p w14:paraId="0BF3BE5E" w14:textId="77777777" w:rsidR="00664D0A" w:rsidRPr="00E71797" w:rsidRDefault="00664D0A" w:rsidP="00B139C3">
            <w:pPr>
              <w:rPr>
                <w:rFonts w:eastAsia="Times New Roman"/>
                <w:color w:val="434343"/>
                <w:sz w:val="20"/>
                <w:szCs w:val="20"/>
              </w:rPr>
            </w:pPr>
            <w:r w:rsidRPr="00E71797">
              <w:rPr>
                <w:rFonts w:eastAsia="Times New Roman"/>
                <w:color w:val="434343"/>
                <w:sz w:val="20"/>
                <w:szCs w:val="20"/>
              </w:rPr>
              <w:t>Plante entière</w:t>
            </w:r>
          </w:p>
        </w:tc>
        <w:tc>
          <w:tcPr>
            <w:tcW w:w="3737" w:type="dxa"/>
            <w:tcBorders>
              <w:top w:val="single" w:sz="6" w:space="0" w:color="CCCCCC"/>
              <w:left w:val="single" w:sz="6" w:space="0" w:color="CCCCCC"/>
              <w:bottom w:val="single" w:sz="6" w:space="0" w:color="284E3F"/>
              <w:right w:val="single" w:sz="6" w:space="0" w:color="284E3F"/>
            </w:tcBorders>
            <w:shd w:val="clear" w:color="auto" w:fill="F6F8F9"/>
            <w:tcMar>
              <w:top w:w="30" w:type="dxa"/>
              <w:left w:w="120" w:type="dxa"/>
              <w:bottom w:w="30" w:type="dxa"/>
              <w:right w:w="120" w:type="dxa"/>
            </w:tcMar>
            <w:vAlign w:val="center"/>
            <w:hideMark/>
          </w:tcPr>
          <w:p w14:paraId="20DAD59F" w14:textId="77777777" w:rsidR="00664D0A" w:rsidRPr="00664D0A" w:rsidRDefault="00664D0A" w:rsidP="00B139C3">
            <w:pPr>
              <w:rPr>
                <w:rFonts w:eastAsia="Times New Roman"/>
                <w:color w:val="434343"/>
                <w:sz w:val="20"/>
                <w:szCs w:val="20"/>
                <w:lang w:val="fr-FR"/>
              </w:rPr>
            </w:pPr>
            <w:r w:rsidRPr="00664D0A">
              <w:rPr>
                <w:rFonts w:eastAsia="Times New Roman"/>
                <w:color w:val="434343"/>
                <w:sz w:val="20"/>
                <w:szCs w:val="20"/>
                <w:lang w:val="fr-FR"/>
              </w:rPr>
              <w:t>Totum intégral préservé, biodisponibilité maximale.</w:t>
            </w:r>
          </w:p>
        </w:tc>
      </w:tr>
    </w:tbl>
    <w:p w14:paraId="156159F3" w14:textId="790AC8F1" w:rsidR="00664D0A" w:rsidRPr="00664D0A" w:rsidRDefault="00664D0A" w:rsidP="00665FE5">
      <w:pPr>
        <w:pStyle w:val="Heading1"/>
      </w:pPr>
      <w:bookmarkStart w:id="80" w:name="_Toc229618810"/>
      <w:r w:rsidRPr="00664D0A">
        <w:t>8/Les voies d'administration :</w:t>
      </w:r>
      <w:bookmarkEnd w:id="80"/>
    </w:p>
    <w:p w14:paraId="52C47DD7" w14:textId="77777777" w:rsidR="00664D0A" w:rsidRPr="00664D0A" w:rsidRDefault="00664D0A" w:rsidP="00B139C3">
      <w:pPr>
        <w:rPr>
          <w:lang w:val="fr-FR"/>
        </w:rPr>
      </w:pPr>
      <w:r w:rsidRPr="00664D0A">
        <w:rPr>
          <w:lang w:val="fr-FR"/>
        </w:rPr>
        <w:t>Les plantes médicinales peuvent être administrées par plusieurs voies essentiellement : orale, cutanée, respiratoire, sublinguale, rectale ou vaginale</w:t>
      </w:r>
    </w:p>
    <w:p w14:paraId="571C94A5" w14:textId="77777777" w:rsidR="00664D0A" w:rsidRPr="00664D0A" w:rsidRDefault="00664D0A" w:rsidP="00B139C3">
      <w:pPr>
        <w:rPr>
          <w:lang w:val="fr-FR"/>
        </w:rPr>
      </w:pPr>
      <w:r w:rsidRPr="00664D0A">
        <w:rPr>
          <w:lang w:val="fr-FR"/>
        </w:rPr>
        <w:t xml:space="preserve">Chacune de ces voies ayant ses avantages et limites selon l’effet thérapeutique </w:t>
      </w:r>
      <w:proofErr w:type="gramStart"/>
      <w:r w:rsidRPr="00664D0A">
        <w:rPr>
          <w:lang w:val="fr-FR"/>
        </w:rPr>
        <w:t>recherché:</w:t>
      </w:r>
      <w:proofErr w:type="gramEnd"/>
    </w:p>
    <w:p w14:paraId="2FD5AF31" w14:textId="6BE7124C" w:rsidR="00665FE5" w:rsidRDefault="00665FE5" w:rsidP="00665FE5">
      <w:pPr>
        <w:pStyle w:val="Caption"/>
        <w:keepNext/>
      </w:pPr>
      <w:bookmarkStart w:id="81" w:name="_Toc229617371"/>
      <w:r>
        <w:t xml:space="preserve">Tableau </w:t>
      </w:r>
      <w:r>
        <w:fldChar w:fldCharType="begin"/>
      </w:r>
      <w:r>
        <w:instrText xml:space="preserve"> SEQ Tableau \* ARABIC </w:instrText>
      </w:r>
      <w:r>
        <w:fldChar w:fldCharType="separate"/>
      </w:r>
      <w:r w:rsidR="00983108">
        <w:rPr>
          <w:noProof/>
        </w:rPr>
        <w:t>10</w:t>
      </w:r>
      <w:r>
        <w:fldChar w:fldCharType="end"/>
      </w:r>
      <w:r>
        <w:t xml:space="preserve"> </w:t>
      </w:r>
      <w:r w:rsidRPr="00B76E6B">
        <w:t>Les voies d'administration</w:t>
      </w:r>
      <w:bookmarkEnd w:id="81"/>
    </w:p>
    <w:tbl>
      <w:tblPr>
        <w:tblStyle w:val="TableGridLight"/>
        <w:tblW w:w="9072" w:type="dxa"/>
        <w:tblLayout w:type="fixed"/>
        <w:tblLook w:val="04A0" w:firstRow="1" w:lastRow="0" w:firstColumn="1" w:lastColumn="0" w:noHBand="0" w:noVBand="1"/>
      </w:tblPr>
      <w:tblGrid>
        <w:gridCol w:w="1530"/>
        <w:gridCol w:w="2515"/>
        <w:gridCol w:w="2705"/>
        <w:gridCol w:w="2322"/>
      </w:tblGrid>
      <w:tr w:rsidR="00664D0A" w:rsidRPr="00B91DCD" w14:paraId="708603D2" w14:textId="77777777" w:rsidTr="00B91DCD">
        <w:tc>
          <w:tcPr>
            <w:tcW w:w="1530" w:type="dxa"/>
            <w:hideMark/>
          </w:tcPr>
          <w:p w14:paraId="7E7F5B39" w14:textId="77777777" w:rsidR="00664D0A" w:rsidRPr="00B91DCD" w:rsidRDefault="00664D0A" w:rsidP="00B91DCD">
            <w:pPr>
              <w:rPr>
                <w:rFonts w:eastAsia="Times New Roman"/>
                <w:sz w:val="22"/>
                <w:szCs w:val="20"/>
                <w:lang w:eastAsia="fr-FR"/>
              </w:rPr>
            </w:pPr>
            <w:r w:rsidRPr="00B91DCD">
              <w:rPr>
                <w:rFonts w:eastAsia="Times New Roman"/>
                <w:sz w:val="22"/>
                <w:szCs w:val="20"/>
                <w:lang w:eastAsia="fr-FR"/>
              </w:rPr>
              <w:t>Voie d’administration</w:t>
            </w:r>
          </w:p>
        </w:tc>
        <w:tc>
          <w:tcPr>
            <w:tcW w:w="2515" w:type="dxa"/>
            <w:hideMark/>
          </w:tcPr>
          <w:p w14:paraId="76DB9F60" w14:textId="77777777" w:rsidR="00664D0A" w:rsidRPr="00B91DCD" w:rsidRDefault="00664D0A" w:rsidP="00B139C3">
            <w:pPr>
              <w:rPr>
                <w:rFonts w:eastAsia="Times New Roman"/>
                <w:sz w:val="22"/>
                <w:szCs w:val="20"/>
                <w:lang w:eastAsia="fr-FR"/>
              </w:rPr>
            </w:pPr>
            <w:r w:rsidRPr="00B91DCD">
              <w:rPr>
                <w:rFonts w:eastAsia="Times New Roman"/>
                <w:sz w:val="22"/>
                <w:szCs w:val="20"/>
                <w:lang w:eastAsia="fr-FR"/>
              </w:rPr>
              <w:t>Formes galéniques</w:t>
            </w:r>
          </w:p>
        </w:tc>
        <w:tc>
          <w:tcPr>
            <w:tcW w:w="2705" w:type="dxa"/>
            <w:hideMark/>
          </w:tcPr>
          <w:p w14:paraId="627E27E0" w14:textId="77777777" w:rsidR="00664D0A" w:rsidRPr="00B91DCD" w:rsidRDefault="00664D0A" w:rsidP="00B139C3">
            <w:pPr>
              <w:rPr>
                <w:rFonts w:eastAsia="Times New Roman"/>
                <w:sz w:val="22"/>
                <w:szCs w:val="20"/>
                <w:lang w:eastAsia="fr-FR"/>
              </w:rPr>
            </w:pPr>
            <w:r w:rsidRPr="00B91DCD">
              <w:rPr>
                <w:rFonts w:eastAsia="Times New Roman"/>
                <w:sz w:val="22"/>
                <w:szCs w:val="20"/>
                <w:lang w:eastAsia="fr-FR"/>
              </w:rPr>
              <w:t>Indications principales</w:t>
            </w:r>
          </w:p>
        </w:tc>
        <w:tc>
          <w:tcPr>
            <w:tcW w:w="2322" w:type="dxa"/>
            <w:hideMark/>
          </w:tcPr>
          <w:p w14:paraId="1CCC9BE9" w14:textId="77777777" w:rsidR="00664D0A" w:rsidRPr="00B91DCD" w:rsidRDefault="00664D0A" w:rsidP="00B139C3">
            <w:pPr>
              <w:rPr>
                <w:rFonts w:eastAsia="Times New Roman"/>
                <w:sz w:val="22"/>
                <w:szCs w:val="20"/>
                <w:lang w:eastAsia="fr-FR"/>
              </w:rPr>
            </w:pPr>
            <w:r w:rsidRPr="00B91DCD">
              <w:rPr>
                <w:rFonts w:eastAsia="Times New Roman"/>
                <w:sz w:val="22"/>
                <w:szCs w:val="20"/>
                <w:lang w:eastAsia="fr-FR"/>
              </w:rPr>
              <w:t>Avantages</w:t>
            </w:r>
          </w:p>
        </w:tc>
      </w:tr>
      <w:tr w:rsidR="00664D0A" w:rsidRPr="00116A61" w14:paraId="21E2BFA3" w14:textId="77777777" w:rsidTr="00B91DCD">
        <w:tc>
          <w:tcPr>
            <w:tcW w:w="1530" w:type="dxa"/>
            <w:hideMark/>
          </w:tcPr>
          <w:p w14:paraId="604D88BF" w14:textId="77777777" w:rsidR="00664D0A" w:rsidRPr="00B91DCD" w:rsidRDefault="00664D0A" w:rsidP="00B91DCD">
            <w:pPr>
              <w:rPr>
                <w:rFonts w:eastAsia="Times New Roman"/>
                <w:sz w:val="22"/>
                <w:szCs w:val="20"/>
                <w:lang w:eastAsia="fr-FR"/>
              </w:rPr>
            </w:pPr>
            <w:r w:rsidRPr="00B91DCD">
              <w:rPr>
                <w:rFonts w:eastAsia="Times New Roman"/>
                <w:sz w:val="22"/>
                <w:szCs w:val="20"/>
                <w:lang w:eastAsia="fr-FR"/>
              </w:rPr>
              <w:t>Orale</w:t>
            </w:r>
          </w:p>
        </w:tc>
        <w:tc>
          <w:tcPr>
            <w:tcW w:w="2515" w:type="dxa"/>
            <w:hideMark/>
          </w:tcPr>
          <w:p w14:paraId="1983F22A" w14:textId="77777777" w:rsidR="00664D0A" w:rsidRPr="00F96B82" w:rsidRDefault="00664D0A" w:rsidP="00B139C3">
            <w:pPr>
              <w:rPr>
                <w:rFonts w:eastAsia="Times New Roman"/>
                <w:sz w:val="22"/>
                <w:szCs w:val="20"/>
                <w:lang w:val="fr-FR" w:eastAsia="fr-FR"/>
              </w:rPr>
            </w:pPr>
            <w:r w:rsidRPr="00F96B82">
              <w:rPr>
                <w:rFonts w:eastAsia="Times New Roman"/>
                <w:sz w:val="22"/>
                <w:szCs w:val="20"/>
                <w:lang w:val="fr-FR" w:eastAsia="fr-FR"/>
              </w:rPr>
              <w:t>Infusions, décoctions, poudres, gélules, sirops</w:t>
            </w:r>
          </w:p>
        </w:tc>
        <w:tc>
          <w:tcPr>
            <w:tcW w:w="2705" w:type="dxa"/>
            <w:hideMark/>
          </w:tcPr>
          <w:p w14:paraId="75EDE283" w14:textId="77777777" w:rsidR="00664D0A" w:rsidRPr="00B91DCD" w:rsidRDefault="00664D0A" w:rsidP="00B139C3">
            <w:pPr>
              <w:rPr>
                <w:rFonts w:eastAsia="Times New Roman"/>
                <w:sz w:val="22"/>
                <w:szCs w:val="20"/>
                <w:lang w:eastAsia="fr-FR"/>
              </w:rPr>
            </w:pPr>
            <w:r w:rsidRPr="00B91DCD">
              <w:rPr>
                <w:rFonts w:eastAsia="Times New Roman"/>
                <w:sz w:val="22"/>
                <w:szCs w:val="20"/>
                <w:lang w:eastAsia="fr-FR"/>
              </w:rPr>
              <w:t>Troubles digestifs, métaboliques, immunitaires</w:t>
            </w:r>
          </w:p>
        </w:tc>
        <w:tc>
          <w:tcPr>
            <w:tcW w:w="2322" w:type="dxa"/>
            <w:hideMark/>
          </w:tcPr>
          <w:p w14:paraId="4217B0B4" w14:textId="77777777" w:rsidR="00664D0A" w:rsidRPr="00F96B82" w:rsidRDefault="00664D0A" w:rsidP="00B139C3">
            <w:pPr>
              <w:rPr>
                <w:rFonts w:eastAsia="Times New Roman"/>
                <w:sz w:val="22"/>
                <w:szCs w:val="20"/>
                <w:lang w:val="fr-FR" w:eastAsia="fr-FR"/>
              </w:rPr>
            </w:pPr>
            <w:r w:rsidRPr="00F96B82">
              <w:rPr>
                <w:rFonts w:eastAsia="Times New Roman"/>
                <w:sz w:val="22"/>
                <w:szCs w:val="20"/>
                <w:lang w:val="fr-FR" w:eastAsia="fr-FR"/>
              </w:rPr>
              <w:t>Facile à utiliser, action systémique</w:t>
            </w:r>
          </w:p>
        </w:tc>
      </w:tr>
      <w:tr w:rsidR="00664D0A" w:rsidRPr="00B91DCD" w14:paraId="5D977B1D" w14:textId="77777777" w:rsidTr="00B91DCD">
        <w:tc>
          <w:tcPr>
            <w:tcW w:w="1530" w:type="dxa"/>
            <w:hideMark/>
          </w:tcPr>
          <w:p w14:paraId="12DE8651" w14:textId="77777777" w:rsidR="00664D0A" w:rsidRPr="00B91DCD" w:rsidRDefault="00664D0A" w:rsidP="00B91DCD">
            <w:pPr>
              <w:rPr>
                <w:rFonts w:eastAsia="Times New Roman"/>
                <w:sz w:val="22"/>
                <w:szCs w:val="20"/>
                <w:lang w:eastAsia="fr-FR"/>
              </w:rPr>
            </w:pPr>
            <w:r w:rsidRPr="00B91DCD">
              <w:rPr>
                <w:rFonts w:eastAsia="Times New Roman"/>
                <w:sz w:val="22"/>
                <w:szCs w:val="20"/>
                <w:lang w:eastAsia="fr-FR"/>
              </w:rPr>
              <w:t>Cutanée (topique)</w:t>
            </w:r>
          </w:p>
        </w:tc>
        <w:tc>
          <w:tcPr>
            <w:tcW w:w="2515" w:type="dxa"/>
            <w:hideMark/>
          </w:tcPr>
          <w:p w14:paraId="7DD38A71" w14:textId="77777777" w:rsidR="00664D0A" w:rsidRPr="00B91DCD" w:rsidRDefault="00664D0A" w:rsidP="00B139C3">
            <w:pPr>
              <w:rPr>
                <w:rFonts w:eastAsia="Times New Roman"/>
                <w:sz w:val="22"/>
                <w:szCs w:val="20"/>
                <w:lang w:eastAsia="fr-FR"/>
              </w:rPr>
            </w:pPr>
            <w:r w:rsidRPr="00B91DCD">
              <w:rPr>
                <w:rFonts w:eastAsia="Times New Roman"/>
                <w:sz w:val="22"/>
                <w:szCs w:val="20"/>
                <w:lang w:eastAsia="fr-FR"/>
              </w:rPr>
              <w:t>Crèmes, pommades, huiles, cataplasmes</w:t>
            </w:r>
          </w:p>
        </w:tc>
        <w:tc>
          <w:tcPr>
            <w:tcW w:w="2705" w:type="dxa"/>
            <w:hideMark/>
          </w:tcPr>
          <w:p w14:paraId="37731A05" w14:textId="77777777" w:rsidR="00664D0A" w:rsidRPr="00F96B82" w:rsidRDefault="00664D0A" w:rsidP="00B139C3">
            <w:pPr>
              <w:rPr>
                <w:rFonts w:eastAsia="Times New Roman"/>
                <w:sz w:val="22"/>
                <w:szCs w:val="20"/>
                <w:lang w:val="fr-FR" w:eastAsia="fr-FR"/>
              </w:rPr>
            </w:pPr>
            <w:r w:rsidRPr="00F96B82">
              <w:rPr>
                <w:rFonts w:eastAsia="Times New Roman"/>
                <w:sz w:val="22"/>
                <w:szCs w:val="20"/>
                <w:lang w:val="fr-FR" w:eastAsia="fr-FR"/>
              </w:rPr>
              <w:t>Douleurs musculaires, articulaires, affections cutanées</w:t>
            </w:r>
          </w:p>
        </w:tc>
        <w:tc>
          <w:tcPr>
            <w:tcW w:w="2322" w:type="dxa"/>
            <w:hideMark/>
          </w:tcPr>
          <w:p w14:paraId="55BA0D27" w14:textId="77777777" w:rsidR="00664D0A" w:rsidRPr="00B91DCD" w:rsidRDefault="00664D0A" w:rsidP="00B139C3">
            <w:pPr>
              <w:rPr>
                <w:rFonts w:eastAsia="Times New Roman"/>
                <w:sz w:val="22"/>
                <w:szCs w:val="20"/>
                <w:lang w:eastAsia="fr-FR"/>
              </w:rPr>
            </w:pPr>
            <w:r w:rsidRPr="00B91DCD">
              <w:rPr>
                <w:rFonts w:eastAsia="Times New Roman"/>
                <w:sz w:val="22"/>
                <w:szCs w:val="20"/>
                <w:lang w:eastAsia="fr-FR"/>
              </w:rPr>
              <w:t>Action locale directe</w:t>
            </w:r>
          </w:p>
        </w:tc>
      </w:tr>
      <w:tr w:rsidR="00664D0A" w:rsidRPr="00116A61" w14:paraId="405DAEBE" w14:textId="77777777" w:rsidTr="00B91DCD">
        <w:tc>
          <w:tcPr>
            <w:tcW w:w="1530" w:type="dxa"/>
            <w:hideMark/>
          </w:tcPr>
          <w:p w14:paraId="175B0199" w14:textId="77777777" w:rsidR="00664D0A" w:rsidRPr="00B91DCD" w:rsidRDefault="00664D0A" w:rsidP="00B91DCD">
            <w:pPr>
              <w:rPr>
                <w:rFonts w:eastAsia="Times New Roman"/>
                <w:sz w:val="22"/>
                <w:szCs w:val="20"/>
                <w:lang w:eastAsia="fr-FR"/>
              </w:rPr>
            </w:pPr>
            <w:r w:rsidRPr="00B91DCD">
              <w:rPr>
                <w:rFonts w:eastAsia="Times New Roman"/>
                <w:sz w:val="22"/>
                <w:szCs w:val="20"/>
                <w:lang w:eastAsia="fr-FR"/>
              </w:rPr>
              <w:t>Respiratoire (inhalation/diffusion)</w:t>
            </w:r>
          </w:p>
        </w:tc>
        <w:tc>
          <w:tcPr>
            <w:tcW w:w="2515" w:type="dxa"/>
            <w:hideMark/>
          </w:tcPr>
          <w:p w14:paraId="1958F9F0" w14:textId="77777777" w:rsidR="00664D0A" w:rsidRPr="00B91DCD" w:rsidRDefault="00664D0A" w:rsidP="00B139C3">
            <w:pPr>
              <w:rPr>
                <w:rFonts w:eastAsia="Times New Roman"/>
                <w:sz w:val="22"/>
                <w:szCs w:val="20"/>
                <w:lang w:eastAsia="fr-FR"/>
              </w:rPr>
            </w:pPr>
            <w:r w:rsidRPr="00B91DCD">
              <w:rPr>
                <w:rFonts w:eastAsia="Times New Roman"/>
                <w:sz w:val="22"/>
                <w:szCs w:val="20"/>
                <w:lang w:eastAsia="fr-FR"/>
              </w:rPr>
              <w:t>Huiles essentielles, fumigations, vapeurs</w:t>
            </w:r>
          </w:p>
        </w:tc>
        <w:tc>
          <w:tcPr>
            <w:tcW w:w="2705" w:type="dxa"/>
            <w:hideMark/>
          </w:tcPr>
          <w:p w14:paraId="05793E3D" w14:textId="77777777" w:rsidR="00664D0A" w:rsidRPr="00B91DCD" w:rsidRDefault="00664D0A" w:rsidP="00B139C3">
            <w:pPr>
              <w:rPr>
                <w:rFonts w:eastAsia="Times New Roman"/>
                <w:sz w:val="22"/>
                <w:szCs w:val="20"/>
                <w:lang w:eastAsia="fr-FR"/>
              </w:rPr>
            </w:pPr>
            <w:r w:rsidRPr="00B91DCD">
              <w:rPr>
                <w:rFonts w:eastAsia="Times New Roman"/>
                <w:sz w:val="22"/>
                <w:szCs w:val="20"/>
                <w:lang w:eastAsia="fr-FR"/>
              </w:rPr>
              <w:t>Stress, anxiété, affections respiratoires</w:t>
            </w:r>
          </w:p>
        </w:tc>
        <w:tc>
          <w:tcPr>
            <w:tcW w:w="2322" w:type="dxa"/>
            <w:hideMark/>
          </w:tcPr>
          <w:p w14:paraId="175559AB" w14:textId="77777777" w:rsidR="00664D0A" w:rsidRPr="00F96B82" w:rsidRDefault="00664D0A" w:rsidP="00B139C3">
            <w:pPr>
              <w:rPr>
                <w:rFonts w:eastAsia="Times New Roman"/>
                <w:sz w:val="22"/>
                <w:szCs w:val="20"/>
                <w:lang w:val="fr-FR" w:eastAsia="fr-FR"/>
              </w:rPr>
            </w:pPr>
            <w:r w:rsidRPr="00F96B82">
              <w:rPr>
                <w:rFonts w:eastAsia="Times New Roman"/>
                <w:sz w:val="22"/>
                <w:szCs w:val="20"/>
                <w:lang w:val="fr-FR" w:eastAsia="fr-FR"/>
              </w:rPr>
              <w:t>Action rapide sur système nerveux et respiratoire</w:t>
            </w:r>
          </w:p>
        </w:tc>
      </w:tr>
      <w:tr w:rsidR="00664D0A" w:rsidRPr="00116A61" w14:paraId="5DA0D50D" w14:textId="77777777" w:rsidTr="00B91DCD">
        <w:tc>
          <w:tcPr>
            <w:tcW w:w="1530" w:type="dxa"/>
            <w:hideMark/>
          </w:tcPr>
          <w:p w14:paraId="65057CA6" w14:textId="77777777" w:rsidR="00664D0A" w:rsidRPr="00B91DCD" w:rsidRDefault="00664D0A" w:rsidP="00B91DCD">
            <w:pPr>
              <w:rPr>
                <w:rFonts w:eastAsia="Times New Roman"/>
                <w:sz w:val="22"/>
                <w:szCs w:val="20"/>
                <w:lang w:eastAsia="fr-FR"/>
              </w:rPr>
            </w:pPr>
            <w:r w:rsidRPr="00B91DCD">
              <w:rPr>
                <w:rFonts w:eastAsia="Times New Roman"/>
                <w:sz w:val="22"/>
                <w:szCs w:val="20"/>
                <w:lang w:eastAsia="fr-FR"/>
              </w:rPr>
              <w:t>Sublinguale</w:t>
            </w:r>
          </w:p>
        </w:tc>
        <w:tc>
          <w:tcPr>
            <w:tcW w:w="2515" w:type="dxa"/>
            <w:hideMark/>
          </w:tcPr>
          <w:p w14:paraId="1E8BCD0A" w14:textId="77777777" w:rsidR="00664D0A" w:rsidRPr="00B91DCD" w:rsidRDefault="00664D0A" w:rsidP="00B139C3">
            <w:pPr>
              <w:rPr>
                <w:rFonts w:eastAsia="Times New Roman"/>
                <w:sz w:val="22"/>
                <w:szCs w:val="20"/>
                <w:lang w:eastAsia="fr-FR"/>
              </w:rPr>
            </w:pPr>
            <w:r w:rsidRPr="00B91DCD">
              <w:rPr>
                <w:rFonts w:eastAsia="Times New Roman"/>
                <w:sz w:val="22"/>
                <w:szCs w:val="20"/>
                <w:lang w:eastAsia="fr-FR"/>
              </w:rPr>
              <w:t>Teintures, extraits liquides, sprays</w:t>
            </w:r>
          </w:p>
        </w:tc>
        <w:tc>
          <w:tcPr>
            <w:tcW w:w="2705" w:type="dxa"/>
            <w:hideMark/>
          </w:tcPr>
          <w:p w14:paraId="7445BF36" w14:textId="77777777" w:rsidR="00664D0A" w:rsidRPr="00F96B82" w:rsidRDefault="00664D0A" w:rsidP="00B139C3">
            <w:pPr>
              <w:rPr>
                <w:rFonts w:eastAsia="Times New Roman"/>
                <w:sz w:val="22"/>
                <w:szCs w:val="20"/>
                <w:lang w:val="fr-FR" w:eastAsia="fr-FR"/>
              </w:rPr>
            </w:pPr>
            <w:r w:rsidRPr="00F96B82">
              <w:rPr>
                <w:rFonts w:eastAsia="Times New Roman"/>
                <w:sz w:val="22"/>
                <w:szCs w:val="20"/>
                <w:lang w:val="fr-FR" w:eastAsia="fr-FR"/>
              </w:rPr>
              <w:t>Effets rapides (calmants, digestifs, cardiovasculaires)</w:t>
            </w:r>
          </w:p>
        </w:tc>
        <w:tc>
          <w:tcPr>
            <w:tcW w:w="2322" w:type="dxa"/>
            <w:hideMark/>
          </w:tcPr>
          <w:p w14:paraId="32C57EDE" w14:textId="77777777" w:rsidR="00664D0A" w:rsidRPr="00F96B82" w:rsidRDefault="00664D0A" w:rsidP="00B139C3">
            <w:pPr>
              <w:rPr>
                <w:rFonts w:eastAsia="Times New Roman"/>
                <w:sz w:val="22"/>
                <w:szCs w:val="20"/>
                <w:lang w:val="fr-FR" w:eastAsia="fr-FR"/>
              </w:rPr>
            </w:pPr>
            <w:r w:rsidRPr="00F96B82">
              <w:rPr>
                <w:rFonts w:eastAsia="Times New Roman"/>
                <w:sz w:val="22"/>
                <w:szCs w:val="20"/>
                <w:lang w:val="fr-FR" w:eastAsia="fr-FR"/>
              </w:rPr>
              <w:t>Absorption directe, évite le foie</w:t>
            </w:r>
          </w:p>
        </w:tc>
      </w:tr>
      <w:tr w:rsidR="00664D0A" w:rsidRPr="00116A61" w14:paraId="690DDBE4" w14:textId="77777777" w:rsidTr="00B91DCD">
        <w:tc>
          <w:tcPr>
            <w:tcW w:w="1530" w:type="dxa"/>
            <w:hideMark/>
          </w:tcPr>
          <w:p w14:paraId="7E1A3BB8" w14:textId="77777777" w:rsidR="00664D0A" w:rsidRPr="00B91DCD" w:rsidRDefault="00664D0A" w:rsidP="00B91DCD">
            <w:pPr>
              <w:rPr>
                <w:rFonts w:eastAsia="Times New Roman"/>
                <w:sz w:val="22"/>
                <w:szCs w:val="20"/>
                <w:lang w:eastAsia="fr-FR"/>
              </w:rPr>
            </w:pPr>
            <w:r w:rsidRPr="00B91DCD">
              <w:rPr>
                <w:rFonts w:eastAsia="Times New Roman"/>
                <w:sz w:val="22"/>
                <w:szCs w:val="20"/>
                <w:lang w:eastAsia="fr-FR"/>
              </w:rPr>
              <w:t>Rectale/Vaginale</w:t>
            </w:r>
          </w:p>
        </w:tc>
        <w:tc>
          <w:tcPr>
            <w:tcW w:w="2515" w:type="dxa"/>
            <w:hideMark/>
          </w:tcPr>
          <w:p w14:paraId="4F72068B" w14:textId="77777777" w:rsidR="00664D0A" w:rsidRPr="00B91DCD" w:rsidRDefault="00664D0A" w:rsidP="00B139C3">
            <w:pPr>
              <w:rPr>
                <w:rFonts w:eastAsia="Times New Roman"/>
                <w:sz w:val="22"/>
                <w:szCs w:val="20"/>
                <w:lang w:eastAsia="fr-FR"/>
              </w:rPr>
            </w:pPr>
            <w:r w:rsidRPr="00B91DCD">
              <w:rPr>
                <w:rFonts w:eastAsia="Times New Roman"/>
                <w:sz w:val="22"/>
                <w:szCs w:val="20"/>
                <w:lang w:eastAsia="fr-FR"/>
              </w:rPr>
              <w:t>Suppositoires, ovules, lavements</w:t>
            </w:r>
          </w:p>
        </w:tc>
        <w:tc>
          <w:tcPr>
            <w:tcW w:w="2705" w:type="dxa"/>
            <w:hideMark/>
          </w:tcPr>
          <w:p w14:paraId="6471D058" w14:textId="77777777" w:rsidR="00664D0A" w:rsidRPr="00F96B82" w:rsidRDefault="00664D0A" w:rsidP="00B139C3">
            <w:pPr>
              <w:rPr>
                <w:rFonts w:eastAsia="Times New Roman"/>
                <w:sz w:val="22"/>
                <w:szCs w:val="20"/>
                <w:lang w:val="fr-FR" w:eastAsia="fr-FR"/>
              </w:rPr>
            </w:pPr>
            <w:r w:rsidRPr="00F96B82">
              <w:rPr>
                <w:rFonts w:eastAsia="Times New Roman"/>
                <w:sz w:val="22"/>
                <w:szCs w:val="20"/>
                <w:lang w:val="fr-FR" w:eastAsia="fr-FR"/>
              </w:rPr>
              <w:t>Troubles digestifs, gynécologiques, infections locales</w:t>
            </w:r>
          </w:p>
        </w:tc>
        <w:tc>
          <w:tcPr>
            <w:tcW w:w="2322" w:type="dxa"/>
            <w:hideMark/>
          </w:tcPr>
          <w:p w14:paraId="7D52B59A" w14:textId="77777777" w:rsidR="00664D0A" w:rsidRPr="00F96B82" w:rsidRDefault="00664D0A" w:rsidP="00B139C3">
            <w:pPr>
              <w:rPr>
                <w:rFonts w:eastAsia="Times New Roman"/>
                <w:sz w:val="22"/>
                <w:szCs w:val="20"/>
                <w:lang w:val="fr-FR" w:eastAsia="fr-FR"/>
              </w:rPr>
            </w:pPr>
            <w:r w:rsidRPr="00F96B82">
              <w:rPr>
                <w:rFonts w:eastAsia="Times New Roman"/>
                <w:sz w:val="22"/>
                <w:szCs w:val="20"/>
                <w:lang w:val="fr-FR" w:eastAsia="fr-FR"/>
              </w:rPr>
              <w:t>Action locale ou systémique rapide</w:t>
            </w:r>
          </w:p>
        </w:tc>
      </w:tr>
    </w:tbl>
    <w:p w14:paraId="122C0FBE" w14:textId="243A6CE9" w:rsidR="00664D0A" w:rsidRPr="00664D0A" w:rsidRDefault="00664D0A" w:rsidP="00665FE5">
      <w:pPr>
        <w:pStyle w:val="Heading1"/>
      </w:pPr>
      <w:bookmarkStart w:id="82" w:name="_Toc229618811"/>
      <w:r w:rsidRPr="00664D0A">
        <w:lastRenderedPageBreak/>
        <w:t>9 /Les mécanismes d'action :</w:t>
      </w:r>
      <w:bookmarkEnd w:id="82"/>
    </w:p>
    <w:p w14:paraId="3F64B17B" w14:textId="77777777" w:rsidR="00664D0A" w:rsidRPr="00664D0A" w:rsidRDefault="00664D0A" w:rsidP="00B139C3">
      <w:pPr>
        <w:rPr>
          <w:lang w:val="fr-FR"/>
        </w:rPr>
      </w:pPr>
      <w:r w:rsidRPr="00664D0A">
        <w:rPr>
          <w:lang w:val="fr-FR"/>
        </w:rPr>
        <w:t xml:space="preserve">L’activité antidiabétique des plantes peut dépendre de plusieurs mécanismes (Naceiri, 2018) : </w:t>
      </w:r>
    </w:p>
    <w:p w14:paraId="14F9A423" w14:textId="77777777" w:rsidR="00664D0A" w:rsidRPr="00664D0A" w:rsidRDefault="00664D0A" w:rsidP="00B139C3">
      <w:pPr>
        <w:rPr>
          <w:lang w:val="fr-FR"/>
        </w:rPr>
      </w:pPr>
      <w:r w:rsidRPr="00664D0A">
        <w:rPr>
          <w:lang w:val="fr-FR"/>
        </w:rPr>
        <w:t xml:space="preserve">-Réduction de la résistance à l’insuline.  </w:t>
      </w:r>
    </w:p>
    <w:p w14:paraId="481A8E22" w14:textId="77777777" w:rsidR="00664D0A" w:rsidRPr="00664D0A" w:rsidRDefault="00664D0A" w:rsidP="00B139C3">
      <w:pPr>
        <w:rPr>
          <w:lang w:val="fr-FR"/>
        </w:rPr>
      </w:pPr>
      <w:r w:rsidRPr="00664D0A">
        <w:rPr>
          <w:lang w:val="fr-FR"/>
        </w:rPr>
        <w:t xml:space="preserve">-Stimulation de la sécrétion d’insuline à partir des cellules </w:t>
      </w:r>
      <w:r w:rsidRPr="00E71797">
        <w:t>β</w:t>
      </w:r>
      <w:r w:rsidRPr="00664D0A">
        <w:rPr>
          <w:lang w:val="fr-FR"/>
        </w:rPr>
        <w:t xml:space="preserve"> ou/et inhibition du processus de dégradation de l’insuline. </w:t>
      </w:r>
    </w:p>
    <w:p w14:paraId="3DCB89C4" w14:textId="77777777" w:rsidR="00664D0A" w:rsidRPr="00664D0A" w:rsidRDefault="00664D0A" w:rsidP="00B139C3">
      <w:pPr>
        <w:rPr>
          <w:lang w:val="fr-FR"/>
        </w:rPr>
      </w:pPr>
      <w:r w:rsidRPr="00664D0A">
        <w:rPr>
          <w:lang w:val="fr-FR"/>
        </w:rPr>
        <w:t xml:space="preserve">-Apport de quelques éléments nécessaires comme le Calcium, le Zinc, le Magnésium, le Manganèse et le Cuivre pour les cellules </w:t>
      </w:r>
      <w:r w:rsidRPr="00E71797">
        <w:t>β</w:t>
      </w:r>
      <w:r w:rsidRPr="00664D0A">
        <w:rPr>
          <w:lang w:val="fr-FR"/>
        </w:rPr>
        <w:t xml:space="preserve">. </w:t>
      </w:r>
    </w:p>
    <w:p w14:paraId="4470EEC2" w14:textId="77777777" w:rsidR="00664D0A" w:rsidRPr="00664D0A" w:rsidRDefault="00664D0A" w:rsidP="00B139C3">
      <w:pPr>
        <w:rPr>
          <w:lang w:val="fr-FR"/>
        </w:rPr>
      </w:pPr>
      <w:r w:rsidRPr="00664D0A">
        <w:rPr>
          <w:lang w:val="fr-FR"/>
        </w:rPr>
        <w:t xml:space="preserve">-Régénération ou/et réparation des cellules pancréatiques </w:t>
      </w:r>
      <w:r w:rsidRPr="00E71797">
        <w:t>β</w:t>
      </w:r>
      <w:r w:rsidRPr="00664D0A">
        <w:rPr>
          <w:lang w:val="fr-FR"/>
        </w:rPr>
        <w:t xml:space="preserve"> lésées.</w:t>
      </w:r>
    </w:p>
    <w:p w14:paraId="3B84580D" w14:textId="77777777" w:rsidR="00664D0A" w:rsidRPr="00664D0A" w:rsidRDefault="00664D0A" w:rsidP="00B139C3">
      <w:pPr>
        <w:rPr>
          <w:lang w:val="fr-FR"/>
        </w:rPr>
      </w:pPr>
      <w:r w:rsidRPr="00664D0A">
        <w:rPr>
          <w:lang w:val="fr-FR"/>
        </w:rPr>
        <w:t xml:space="preserve">-Effet protecteur de la destruction des cellules </w:t>
      </w:r>
      <w:r w:rsidRPr="00E71797">
        <w:t>β</w:t>
      </w:r>
      <w:r w:rsidRPr="00664D0A">
        <w:rPr>
          <w:lang w:val="fr-FR"/>
        </w:rPr>
        <w:t>.</w:t>
      </w:r>
    </w:p>
    <w:p w14:paraId="5F32C0D0" w14:textId="77777777" w:rsidR="00664D0A" w:rsidRPr="00664D0A" w:rsidRDefault="00664D0A" w:rsidP="00B139C3">
      <w:pPr>
        <w:rPr>
          <w:lang w:val="fr-FR"/>
        </w:rPr>
      </w:pPr>
      <w:r w:rsidRPr="00664D0A">
        <w:rPr>
          <w:lang w:val="fr-FR"/>
        </w:rPr>
        <w:t xml:space="preserve">-Augmentation du nombre de cellules </w:t>
      </w:r>
      <w:r w:rsidRPr="00E71797">
        <w:t>β</w:t>
      </w:r>
      <w:r w:rsidRPr="00664D0A">
        <w:rPr>
          <w:lang w:val="fr-FR"/>
        </w:rPr>
        <w:t xml:space="preserve"> dans les îlots de Langerhans.</w:t>
      </w:r>
    </w:p>
    <w:p w14:paraId="391BE074" w14:textId="77777777" w:rsidR="00664D0A" w:rsidRPr="00664D0A" w:rsidRDefault="00664D0A" w:rsidP="00B139C3">
      <w:pPr>
        <w:rPr>
          <w:lang w:val="fr-FR"/>
        </w:rPr>
      </w:pPr>
      <w:r w:rsidRPr="00664D0A">
        <w:rPr>
          <w:lang w:val="fr-FR"/>
        </w:rPr>
        <w:t>-Inhibition de la réabsorption rénale du glucose.</w:t>
      </w:r>
    </w:p>
    <w:p w14:paraId="7D7E8366" w14:textId="77777777" w:rsidR="00664D0A" w:rsidRPr="00664D0A" w:rsidRDefault="00664D0A" w:rsidP="00B139C3">
      <w:pPr>
        <w:rPr>
          <w:lang w:val="fr-FR"/>
        </w:rPr>
      </w:pPr>
      <w:r w:rsidRPr="00664D0A">
        <w:rPr>
          <w:lang w:val="fr-FR"/>
        </w:rPr>
        <w:t xml:space="preserve">-Inhibition des </w:t>
      </w:r>
      <w:r w:rsidRPr="00E71797">
        <w:t>β</w:t>
      </w:r>
      <w:r w:rsidRPr="00664D0A">
        <w:rPr>
          <w:lang w:val="fr-FR"/>
        </w:rPr>
        <w:t xml:space="preserve">-galactosidase, </w:t>
      </w:r>
      <w:r w:rsidRPr="00E71797">
        <w:t>α</w:t>
      </w:r>
      <w:r w:rsidRPr="00664D0A">
        <w:rPr>
          <w:lang w:val="fr-FR"/>
        </w:rPr>
        <w:t xml:space="preserve">-glucosidase et </w:t>
      </w:r>
      <w:r w:rsidRPr="00E71797">
        <w:t>α</w:t>
      </w:r>
      <w:r w:rsidRPr="00664D0A">
        <w:rPr>
          <w:lang w:val="fr-FR"/>
        </w:rPr>
        <w:t>-amylase</w:t>
      </w:r>
    </w:p>
    <w:p w14:paraId="7983E845" w14:textId="77777777" w:rsidR="00664D0A" w:rsidRPr="00664D0A" w:rsidRDefault="00664D0A" w:rsidP="00B139C3">
      <w:pPr>
        <w:rPr>
          <w:lang w:val="fr-FR"/>
        </w:rPr>
      </w:pPr>
      <w:r w:rsidRPr="00664D0A">
        <w:rPr>
          <w:lang w:val="fr-FR"/>
        </w:rPr>
        <w:t>-Prévention du stress oxydatif, qui peut être impliqué dans le dysfonctionnement des cellules</w:t>
      </w:r>
      <w:r w:rsidRPr="00E71797">
        <w:t>β</w:t>
      </w:r>
      <w:r w:rsidRPr="00664D0A">
        <w:rPr>
          <w:lang w:val="fr-FR"/>
        </w:rPr>
        <w:t>.</w:t>
      </w:r>
    </w:p>
    <w:p w14:paraId="5472A7F6" w14:textId="77777777" w:rsidR="00664D0A" w:rsidRPr="00664D0A" w:rsidRDefault="00664D0A" w:rsidP="00665FE5">
      <w:pPr>
        <w:pStyle w:val="Heading2"/>
      </w:pPr>
      <w:bookmarkStart w:id="83" w:name="_Toc229618812"/>
      <w:r w:rsidRPr="00664D0A">
        <w:t xml:space="preserve">9-1/La stimulation de la sécrétion </w:t>
      </w:r>
      <w:proofErr w:type="gramStart"/>
      <w:r w:rsidRPr="00664D0A">
        <w:t>d’insuline:</w:t>
      </w:r>
      <w:bookmarkEnd w:id="83"/>
      <w:proofErr w:type="gramEnd"/>
    </w:p>
    <w:p w14:paraId="4DA25CD0" w14:textId="77777777" w:rsidR="00664D0A" w:rsidRPr="00664D0A" w:rsidRDefault="00664D0A" w:rsidP="00B139C3">
      <w:pPr>
        <w:rPr>
          <w:lang w:val="fr-FR"/>
        </w:rPr>
      </w:pPr>
      <w:r w:rsidRPr="00664D0A">
        <w:rPr>
          <w:lang w:val="fr-FR"/>
        </w:rPr>
        <w:t>La stimulation de la sécrétion d’insuline est l’un des mécanismes les plus étudiés des plantes antidiabétiques. Certaines molécules végétales, comme les saponines du fenugrec (Trigonellafoenum-graecum), activent les cellules bêta pancréatiques, augmentant ainsi la libération d’insuline. Ce processus contribue à améliorer le contrôle glycémique et à réduire l’hyperglycémie postprandiale. Des essais cliniques ont montré que la consommation régulière de fenugrec entraîne une diminution significative de la glycémie à jeun et de l’HbA1c.</w:t>
      </w:r>
    </w:p>
    <w:p w14:paraId="68CF663C" w14:textId="77777777" w:rsidR="00664D0A" w:rsidRPr="00664D0A" w:rsidRDefault="00664D0A" w:rsidP="00665FE5">
      <w:pPr>
        <w:pStyle w:val="Heading2"/>
      </w:pPr>
      <w:bookmarkStart w:id="84" w:name="_Toc229618813"/>
      <w:r w:rsidRPr="00664D0A">
        <w:t xml:space="preserve">9-2/L’amélioration de la sensibilité à </w:t>
      </w:r>
      <w:proofErr w:type="gramStart"/>
      <w:r w:rsidRPr="00664D0A">
        <w:t>l’insuline:</w:t>
      </w:r>
      <w:bookmarkEnd w:id="84"/>
      <w:proofErr w:type="gramEnd"/>
    </w:p>
    <w:p w14:paraId="7792015B" w14:textId="77777777" w:rsidR="00664D0A" w:rsidRPr="00664D0A" w:rsidRDefault="00664D0A" w:rsidP="00B139C3">
      <w:pPr>
        <w:rPr>
          <w:lang w:val="fr-FR"/>
        </w:rPr>
      </w:pPr>
      <w:r w:rsidRPr="00664D0A">
        <w:rPr>
          <w:lang w:val="fr-FR"/>
        </w:rPr>
        <w:t>L’amélioration de la sensibilité à l’insuline dans les tissus périphériques. La curcumine, principe actif du curcuma (Curcuma longa), agit en réduisant l’inflammation chronique et le stress oxydatif, deux facteurs qui altèrent la signalisation de l’insuline. En renforçant la translocation du transporteur GLUT4 vers la membrane cellulaire, la curcumine favorise l’entrée du glucose dans les cellules musculaires et adipeuses.</w:t>
      </w:r>
    </w:p>
    <w:p w14:paraId="374B0009" w14:textId="77777777" w:rsidR="00664D0A" w:rsidRPr="00664D0A" w:rsidRDefault="00664D0A" w:rsidP="00665FE5">
      <w:pPr>
        <w:pStyle w:val="Heading2"/>
      </w:pPr>
      <w:bookmarkStart w:id="85" w:name="_Toc229618814"/>
      <w:r w:rsidRPr="00664D0A">
        <w:t>9-3/Le ralentissement l’absorption intestinale des glucides :</w:t>
      </w:r>
      <w:bookmarkEnd w:id="85"/>
    </w:p>
    <w:p w14:paraId="534D3C66" w14:textId="77777777" w:rsidR="00664D0A" w:rsidRPr="00664D0A" w:rsidRDefault="00664D0A" w:rsidP="00B139C3">
      <w:pPr>
        <w:rPr>
          <w:lang w:val="fr-FR"/>
        </w:rPr>
      </w:pPr>
      <w:r w:rsidRPr="00664D0A">
        <w:rPr>
          <w:lang w:val="fr-FR"/>
        </w:rPr>
        <w:t>Certaines plantes agissent en ralentissant l’absorption intestinale des glucides, ce qui limite les pics glycémiques postprandiaux. Le psyllium (Plantagoovata), riche en fibres solubles, forme un gel visqueux dans l’intestin qui retarde la digestion et l’absorption du glucose. Une méta-analyse récente a confirmé que la supplémentation en psyllium réduit significativement la glycémie à jeun et améliore le contrôle glycémique chez les patients diabétiques.</w:t>
      </w:r>
    </w:p>
    <w:p w14:paraId="5512FACE" w14:textId="77777777" w:rsidR="00664D0A" w:rsidRPr="00664D0A" w:rsidRDefault="00664D0A" w:rsidP="00665FE5">
      <w:pPr>
        <w:pStyle w:val="Heading2"/>
      </w:pPr>
      <w:bookmarkStart w:id="86" w:name="_Toc229618815"/>
      <w:r w:rsidRPr="00664D0A">
        <w:t xml:space="preserve">9-4/L’inhibition des enzymes </w:t>
      </w:r>
      <w:proofErr w:type="gramStart"/>
      <w:r w:rsidRPr="00664D0A">
        <w:t>digestifs:</w:t>
      </w:r>
      <w:bookmarkEnd w:id="86"/>
      <w:proofErr w:type="gramEnd"/>
    </w:p>
    <w:p w14:paraId="79539E4F" w14:textId="02B63551" w:rsidR="00664D0A" w:rsidRPr="00665FE5" w:rsidRDefault="00664D0A" w:rsidP="00665FE5">
      <w:pPr>
        <w:rPr>
          <w:lang w:val="fr-FR"/>
        </w:rPr>
      </w:pPr>
      <w:r w:rsidRPr="00664D0A">
        <w:rPr>
          <w:lang w:val="fr-FR"/>
        </w:rPr>
        <w:t>L’inhibition des enzymes digestifs est un mécanisme similaire à celui des médicaments antidiabétiques comme l’acarbose. Les feuilles de mûrier blanc (Morus alba) contiennent des flavonoïdes et des alcaloïdes capables de bloquer l’activité de l’</w:t>
      </w:r>
      <w:r w:rsidRPr="00E71797">
        <w:t>α</w:t>
      </w:r>
      <w:r w:rsidRPr="00664D0A">
        <w:rPr>
          <w:lang w:val="fr-FR"/>
        </w:rPr>
        <w:t>-glucosidase et de l’</w:t>
      </w:r>
      <w:r w:rsidRPr="00E71797">
        <w:t>α</w:t>
      </w:r>
      <w:r w:rsidRPr="00664D0A">
        <w:rPr>
          <w:lang w:val="fr-FR"/>
        </w:rPr>
        <w:t>-</w:t>
      </w:r>
      <w:r w:rsidRPr="00664D0A">
        <w:rPr>
          <w:lang w:val="fr-FR"/>
        </w:rPr>
        <w:lastRenderedPageBreak/>
        <w:t>amylase, retardant ainsi la libération de glucose dans le sang. Cette action permet de réduire l’hyperglycémie postprandiale et d’amé</w:t>
      </w:r>
      <w:r w:rsidR="00665FE5">
        <w:rPr>
          <w:lang w:val="fr-FR"/>
        </w:rPr>
        <w:t>liorer la tolérance au glucose.</w:t>
      </w:r>
    </w:p>
    <w:p w14:paraId="17ED3E54" w14:textId="77777777" w:rsidR="00664D0A" w:rsidRPr="00664D0A" w:rsidRDefault="00664D0A" w:rsidP="00665FE5">
      <w:pPr>
        <w:pStyle w:val="Heading2"/>
      </w:pPr>
      <w:bookmarkStart w:id="87" w:name="_Toc229618816"/>
      <w:r w:rsidRPr="00664D0A">
        <w:t>9-5/Les effets antioxydants et anti-</w:t>
      </w:r>
      <w:proofErr w:type="gramStart"/>
      <w:r w:rsidRPr="00664D0A">
        <w:t>inflammatoires:</w:t>
      </w:r>
      <w:bookmarkEnd w:id="87"/>
      <w:proofErr w:type="gramEnd"/>
    </w:p>
    <w:p w14:paraId="037CD949" w14:textId="77777777" w:rsidR="00664D0A" w:rsidRPr="00E71797" w:rsidRDefault="00664D0A" w:rsidP="00B139C3">
      <w:pPr>
        <w:rPr>
          <w:rtl/>
        </w:rPr>
      </w:pPr>
      <w:r w:rsidRPr="00664D0A">
        <w:rPr>
          <w:lang w:val="fr-FR"/>
        </w:rPr>
        <w:t>Nombreuses plantes exercent des effets antioxydants et anti-inflammatoires qui protègent les cellules bêta pancréatiques et améliorent la fonction métabolique. Le thé vert (Camellia sinensis), grâce à ses catéchines (EGCG), neutralise les radicaux libres et réduit l’inflammation systémique. Ces effets contribuent à préserver la sécrétion d’insuline et à améliorer la tolérance au glucose, faisant du thé vert un allié dans la prévention du diabète de type 2.</w:t>
      </w:r>
    </w:p>
    <w:p w14:paraId="67A884E8" w14:textId="1FA586EC" w:rsidR="00664D0A" w:rsidRPr="00664D0A" w:rsidRDefault="00664D0A" w:rsidP="00E2496A">
      <w:pPr>
        <w:pStyle w:val="Heading1"/>
      </w:pPr>
      <w:bookmarkStart w:id="88" w:name="_Toc229618817"/>
      <w:r w:rsidRPr="00664D0A">
        <w:t>10/</w:t>
      </w:r>
      <w:r w:rsidR="00E2496A">
        <w:t xml:space="preserve">Principes actifs </w:t>
      </w:r>
      <w:proofErr w:type="gramStart"/>
      <w:r w:rsidR="00E2496A">
        <w:t>hypoglycémiants</w:t>
      </w:r>
      <w:r w:rsidRPr="00664D0A">
        <w:t>:</w:t>
      </w:r>
      <w:bookmarkEnd w:id="88"/>
      <w:proofErr w:type="gramEnd"/>
    </w:p>
    <w:p w14:paraId="46FFABBF" w14:textId="77777777" w:rsidR="00664D0A" w:rsidRPr="00664D0A" w:rsidRDefault="00664D0A" w:rsidP="00B139C3">
      <w:pPr>
        <w:rPr>
          <w:lang w:val="fr-FR"/>
        </w:rPr>
      </w:pPr>
      <w:r w:rsidRPr="00664D0A">
        <w:rPr>
          <w:lang w:val="fr-FR"/>
        </w:rPr>
        <w:t xml:space="preserve">La plupart des espèces végétales qui poussent dans le monde entier possèdent des vertus thérapeutiques, car elles contiennent des principes actifs qui agissent directement sur l’organisme. </w:t>
      </w:r>
    </w:p>
    <w:p w14:paraId="596C94B4" w14:textId="77777777" w:rsidR="00664D0A" w:rsidRPr="00664D0A" w:rsidRDefault="00664D0A" w:rsidP="00B139C3">
      <w:pPr>
        <w:rPr>
          <w:lang w:val="fr-FR"/>
        </w:rPr>
      </w:pPr>
      <w:r w:rsidRPr="00664D0A">
        <w:rPr>
          <w:lang w:val="fr-FR"/>
        </w:rPr>
        <w:t xml:space="preserve">On les utilise aussi bien en médecine classique qu’en phytothérapie ; elles présentent, en effet, des avantages dont les médicaments sont dépourvus. </w:t>
      </w:r>
    </w:p>
    <w:p w14:paraId="3591A0D2" w14:textId="77777777" w:rsidR="00664D0A" w:rsidRPr="00664D0A" w:rsidRDefault="00664D0A" w:rsidP="00B139C3">
      <w:pPr>
        <w:rPr>
          <w:sz w:val="28"/>
          <w:szCs w:val="28"/>
          <w:u w:val="single"/>
          <w:lang w:val="fr-FR"/>
        </w:rPr>
      </w:pPr>
      <w:r w:rsidRPr="00664D0A">
        <w:rPr>
          <w:lang w:val="fr-FR"/>
        </w:rPr>
        <w:t>Donc, les plantes médicinales doivent leur action à un ou plusieurs principes actifs que l’on peut analyser chimiquement et qu’il est indispensable de connaître pour comprendre comment elles agissent sur l’organisme.</w:t>
      </w:r>
    </w:p>
    <w:p w14:paraId="2ED3738E" w14:textId="77777777" w:rsidR="00664D0A" w:rsidRPr="00664D0A" w:rsidRDefault="00664D0A" w:rsidP="00665FE5">
      <w:pPr>
        <w:pStyle w:val="Heading2"/>
      </w:pPr>
      <w:r w:rsidRPr="00664D0A">
        <w:t xml:space="preserve"> </w:t>
      </w:r>
      <w:bookmarkStart w:id="89" w:name="_Toc229618818"/>
      <w:r w:rsidRPr="00664D0A">
        <w:t xml:space="preserve">10-1/les </w:t>
      </w:r>
      <w:proofErr w:type="gramStart"/>
      <w:r w:rsidRPr="00664D0A">
        <w:t>alcaloides:</w:t>
      </w:r>
      <w:bookmarkEnd w:id="89"/>
      <w:proofErr w:type="gramEnd"/>
    </w:p>
    <w:p w14:paraId="0104CB35" w14:textId="3A5C5A47" w:rsidR="00664D0A" w:rsidRPr="00664D0A" w:rsidRDefault="00664D0A" w:rsidP="001F3903">
      <w:pPr>
        <w:rPr>
          <w:lang w:val="fr-FR"/>
        </w:rPr>
      </w:pPr>
      <w:r w:rsidRPr="00664D0A">
        <w:rPr>
          <w:lang w:val="fr-FR"/>
        </w:rPr>
        <w:t>Les alcaloïdes constituent un groupe hétérogène de substances organiques d’origine naturelle, majoritairement végétale. Chimiquement, ce sont des composés azotés, souvent hétérocycliques, se distinguant par leur caractère plus ou moins basique et leur saveur amère. Bien qu’ils puissent être toxiques à forte concentration, ils possèdent, à faible dose, despropriétés thérapeutiques remarquables, notamment dans le cadre des pathologies métaboliques.</w:t>
      </w:r>
      <w:r w:rsidR="001F3903">
        <w:rPr>
          <w:lang w:val="fr-FR"/>
        </w:rPr>
        <w:fldChar w:fldCharType="begin"/>
      </w:r>
      <w:r w:rsidR="00116A61">
        <w:rPr>
          <w:lang w:val="fr-FR"/>
        </w:rPr>
        <w:instrText xml:space="preserve"> ADDIN ZOTERO_ITEM CSL_CITATION {"citationID":"RTt6I5ie","properties":{"unsorted":false,"formattedCitation":"(114)","plainCitation":"(114)","noteIndex":0},"citationItems":[{"id":"6VBx8p83/7CwKWqLJ","uris":["http://zotero.org/users/local/xPnoPzR4/items/E2PLVU8C"],"itemData":{"id":415,"type":"webpage","title":"Bioactive Compounds in Anti-Diabetic Plants: From Herbal Medicine to Modern Drug Discovery - PMC","URL":"https://pmc.ncbi.nlm.nih.gov/articles/PMC7563488/","accessed":{"date-parts":[["2026",5,14]]}}}],"schema":"https://github.com/citation-style-language/schema/raw/master/csl-citation.json"} </w:instrText>
      </w:r>
      <w:r w:rsidR="001F3903">
        <w:rPr>
          <w:lang w:val="fr-FR"/>
        </w:rPr>
        <w:fldChar w:fldCharType="separate"/>
      </w:r>
      <w:r w:rsidR="001F3903" w:rsidRPr="001F3903">
        <w:rPr>
          <w:rFonts w:ascii="Times New Roman" w:hAnsi="Times New Roman" w:cs="Times New Roman"/>
        </w:rPr>
        <w:t>(114)</w:t>
      </w:r>
      <w:r w:rsidR="001F3903">
        <w:rPr>
          <w:lang w:val="fr-FR"/>
        </w:rPr>
        <w:fldChar w:fldCharType="end"/>
      </w:r>
    </w:p>
    <w:p w14:paraId="2FF461B5" w14:textId="77777777" w:rsidR="00664D0A" w:rsidRPr="00E71797" w:rsidRDefault="00664D0A" w:rsidP="00B139C3">
      <w:r w:rsidRPr="00664D0A">
        <w:rPr>
          <w:lang w:val="fr-FR"/>
        </w:rPr>
        <w:t xml:space="preserve"> </w:t>
      </w:r>
      <w:r>
        <w:rPr>
          <w:noProof/>
          <w:lang w:val="fr-FR" w:eastAsia="fr-FR"/>
        </w:rPr>
        <w:drawing>
          <wp:inline distT="0" distB="0" distL="0" distR="0" wp14:anchorId="00F1CE13" wp14:editId="577B6500">
            <wp:extent cx="2870200" cy="2425700"/>
            <wp:effectExtent l="19050" t="0" r="6350" b="0"/>
            <wp:docPr id="7" name="Image 6" descr="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1111.jpg"/>
                    <pic:cNvPicPr/>
                  </pic:nvPicPr>
                  <pic:blipFill>
                    <a:blip r:embed="rId25"/>
                    <a:stretch>
                      <a:fillRect/>
                    </a:stretch>
                  </pic:blipFill>
                  <pic:spPr>
                    <a:xfrm>
                      <a:off x="0" y="0"/>
                      <a:ext cx="2870200" cy="2425700"/>
                    </a:xfrm>
                    <a:prstGeom prst="rect">
                      <a:avLst/>
                    </a:prstGeom>
                  </pic:spPr>
                </pic:pic>
              </a:graphicData>
            </a:graphic>
          </wp:inline>
        </w:drawing>
      </w:r>
    </w:p>
    <w:p w14:paraId="4D553219" w14:textId="7BC02BEB" w:rsidR="00664D0A" w:rsidRPr="00664D0A" w:rsidRDefault="00664D0A" w:rsidP="00B139C3">
      <w:pPr>
        <w:rPr>
          <w:lang w:val="fr-FR"/>
        </w:rPr>
      </w:pPr>
      <w:r w:rsidRPr="00664D0A">
        <w:rPr>
          <w:lang w:val="fr-FR"/>
        </w:rPr>
        <w:t xml:space="preserve">       </w:t>
      </w:r>
      <w:bookmarkStart w:id="90" w:name="_Toc229617298"/>
      <w:r w:rsidRPr="00664D0A">
        <w:rPr>
          <w:lang w:val="fr-FR"/>
        </w:rPr>
        <w:t xml:space="preserve">Figure </w:t>
      </w:r>
      <w:r>
        <w:fldChar w:fldCharType="begin"/>
      </w:r>
      <w:r w:rsidRPr="00664D0A">
        <w:rPr>
          <w:lang w:val="fr-FR"/>
        </w:rPr>
        <w:instrText xml:space="preserve"> SEQ Figure \* ARABIC </w:instrText>
      </w:r>
      <w:r>
        <w:fldChar w:fldCharType="separate"/>
      </w:r>
      <w:r w:rsidR="00983108">
        <w:rPr>
          <w:noProof/>
          <w:lang w:val="fr-FR"/>
        </w:rPr>
        <w:t>8</w:t>
      </w:r>
      <w:r>
        <w:rPr>
          <w:noProof/>
        </w:rPr>
        <w:fldChar w:fldCharType="end"/>
      </w:r>
      <w:r w:rsidRPr="00664D0A">
        <w:rPr>
          <w:lang w:val="fr-FR"/>
        </w:rPr>
        <w:t xml:space="preserve"> : Structure d’un alcaloïde (Florence, 2017).</w:t>
      </w:r>
      <w:bookmarkEnd w:id="90"/>
    </w:p>
    <w:p w14:paraId="586FCA27" w14:textId="77777777" w:rsidR="00664D0A" w:rsidRPr="00664D0A" w:rsidRDefault="00664D0A" w:rsidP="00B139C3">
      <w:pPr>
        <w:rPr>
          <w:lang w:val="fr-FR"/>
        </w:rPr>
      </w:pPr>
    </w:p>
    <w:p w14:paraId="53AB0CE3" w14:textId="77777777" w:rsidR="00664D0A" w:rsidRPr="00664D0A" w:rsidRDefault="00664D0A" w:rsidP="00B139C3">
      <w:pPr>
        <w:rPr>
          <w:lang w:val="fr-FR"/>
        </w:rPr>
      </w:pPr>
      <w:r w:rsidRPr="00664D0A">
        <w:rPr>
          <w:lang w:val="fr-FR"/>
        </w:rPr>
        <w:lastRenderedPageBreak/>
        <w:t>Plusieurs molécules isolées ont démontré une efficacité majeure sur le contrôle glycémique à travers divers modèles expérimentaux :</w:t>
      </w:r>
    </w:p>
    <w:p w14:paraId="641A4EAF" w14:textId="77777777" w:rsidR="00664D0A" w:rsidRPr="00664D0A" w:rsidRDefault="00664D0A" w:rsidP="00B139C3">
      <w:pPr>
        <w:rPr>
          <w:lang w:val="fr-FR"/>
        </w:rPr>
      </w:pPr>
      <w:r w:rsidRPr="00664D0A">
        <w:rPr>
          <w:lang w:val="fr-FR"/>
        </w:rPr>
        <w:t>•</w:t>
      </w:r>
      <w:r w:rsidRPr="00664D0A">
        <w:rPr>
          <w:lang w:val="fr-FR"/>
        </w:rPr>
        <w:tab/>
        <w:t xml:space="preserve">La Berbérine : extraite notamment de Coptischinensis, cet alcaloïde isoquinoléique est l'un des plus prometteurs. Elle agit comme un agent hypoglycémiant puissant tant chez l'animal que chez l'homme. </w:t>
      </w:r>
    </w:p>
    <w:p w14:paraId="604970D4" w14:textId="77777777" w:rsidR="00664D0A" w:rsidRPr="00664D0A" w:rsidRDefault="00664D0A" w:rsidP="00B139C3">
      <w:pPr>
        <w:rPr>
          <w:lang w:val="fr-FR"/>
        </w:rPr>
      </w:pPr>
      <w:r w:rsidRPr="00664D0A">
        <w:rPr>
          <w:lang w:val="fr-FR"/>
        </w:rPr>
        <w:t>•</w:t>
      </w:r>
      <w:r w:rsidRPr="00664D0A">
        <w:rPr>
          <w:lang w:val="fr-FR"/>
        </w:rPr>
        <w:tab/>
        <w:t xml:space="preserve">La Trigonelline : Présente dans les graines de Fenugrec (Trigonellafoenum-graecum L.), elle contribue à la régénération des cellules bêta pancréatiques et améliore la sécrétion d'insuline </w:t>
      </w:r>
    </w:p>
    <w:p w14:paraId="7C7A6C5F" w14:textId="77777777" w:rsidR="00664D0A" w:rsidRPr="00664D0A" w:rsidRDefault="00664D0A" w:rsidP="00B139C3">
      <w:pPr>
        <w:rPr>
          <w:lang w:val="fr-FR"/>
        </w:rPr>
      </w:pPr>
      <w:r w:rsidRPr="00664D0A">
        <w:rPr>
          <w:lang w:val="fr-FR"/>
        </w:rPr>
        <w:t>•</w:t>
      </w:r>
      <w:r w:rsidRPr="00664D0A">
        <w:rPr>
          <w:lang w:val="fr-FR"/>
        </w:rPr>
        <w:tab/>
        <w:t>Composés insulino-sécréteurs : L'harmane, la pinoline et les bêta-carbolines</w:t>
      </w:r>
    </w:p>
    <w:p w14:paraId="7F9C8646" w14:textId="77777777" w:rsidR="00664D0A" w:rsidRPr="00664D0A" w:rsidRDefault="00664D0A" w:rsidP="00665FE5">
      <w:pPr>
        <w:pStyle w:val="Heading2"/>
      </w:pPr>
      <w:bookmarkStart w:id="91" w:name="_Toc229618819"/>
      <w:r w:rsidRPr="00664D0A">
        <w:t xml:space="preserve">10-2/ </w:t>
      </w:r>
      <w:proofErr w:type="gramStart"/>
      <w:r w:rsidRPr="00664D0A">
        <w:t>Polyphénols:</w:t>
      </w:r>
      <w:bookmarkEnd w:id="91"/>
      <w:proofErr w:type="gramEnd"/>
    </w:p>
    <w:p w14:paraId="32D81EBF" w14:textId="2BDAE94A" w:rsidR="00664D0A" w:rsidRPr="00664D0A" w:rsidRDefault="00664D0A" w:rsidP="001F3903">
      <w:pPr>
        <w:rPr>
          <w:lang w:val="fr-FR"/>
        </w:rPr>
      </w:pPr>
      <w:r w:rsidRPr="00664D0A">
        <w:rPr>
          <w:lang w:val="fr-FR"/>
        </w:rPr>
        <w:t>Les polyphénols sont une vaste famille de métabolites secondaires hydrosolubles présente chez l'ensemble des plantes vasculaires. Ils regroupent une grande diversité de composés, incluant principalement les flavonoïdes, les anthocyanes, les acides phénoliques et les tanins. Ces substances sont reconnues pour leurs propriétés antidiabétiques majeures, confirmées par de nombreuses études expériment</w:t>
      </w:r>
      <w:r w:rsidR="001F3903">
        <w:rPr>
          <w:lang w:val="fr-FR"/>
        </w:rPr>
        <w:t>ales in vivo et in-vitro .</w:t>
      </w:r>
      <w:r w:rsidR="001F3903">
        <w:rPr>
          <w:lang w:val="fr-FR"/>
        </w:rPr>
        <w:fldChar w:fldCharType="begin"/>
      </w:r>
      <w:r w:rsidR="00116A61">
        <w:rPr>
          <w:lang w:val="fr-FR"/>
        </w:rPr>
        <w:instrText xml:space="preserve"> ADDIN ZOTERO_ITEM CSL_CITATION {"citationID":"OqOcFvcn","properties":{"unsorted":false,"formattedCitation":"(115)","plainCitation":"(115)","noteIndex":0},"citationItems":[{"id":"6VBx8p83/SfmgDAGp","uris":["http://zotero.org/users/local/xPnoPzR4/items/45HM7CSH"],"itemData":{"id":417,"type":"webpage","title":"Protective Role of Dietary Polyphenols in the Management and Treatment of Type 2 Diabetes Mellitus - PMC","URL":"https://pmc.ncbi.nlm.nih.gov/articles/PMC11767469/","accessed":{"date-parts":[["2026",5,14]]}}}],"schema":"https://github.com/citation-style-language/schema/raw/master/csl-citation.json"} </w:instrText>
      </w:r>
      <w:r w:rsidR="001F3903">
        <w:rPr>
          <w:lang w:val="fr-FR"/>
        </w:rPr>
        <w:fldChar w:fldCharType="separate"/>
      </w:r>
      <w:r w:rsidR="001F3903" w:rsidRPr="00F568F0">
        <w:rPr>
          <w:rFonts w:ascii="Times New Roman" w:hAnsi="Times New Roman" w:cs="Times New Roman"/>
          <w:lang w:val="fr-FR"/>
        </w:rPr>
        <w:t>(115)</w:t>
      </w:r>
      <w:r w:rsidR="001F3903">
        <w:rPr>
          <w:lang w:val="fr-FR"/>
        </w:rPr>
        <w:fldChar w:fldCharType="end"/>
      </w:r>
    </w:p>
    <w:p w14:paraId="28204DD8" w14:textId="77777777" w:rsidR="00664D0A" w:rsidRPr="00664D0A" w:rsidRDefault="00664D0A" w:rsidP="00B139C3">
      <w:pPr>
        <w:rPr>
          <w:lang w:val="fr-FR"/>
        </w:rPr>
      </w:pPr>
      <w:r w:rsidRPr="00664D0A">
        <w:rPr>
          <w:lang w:val="fr-FR"/>
        </w:rPr>
        <w:t>L'activité hypoglycémiant des polyphénols repose sur l'action directe de molécules spécifiques isolées de diverses sources végétales :</w:t>
      </w:r>
    </w:p>
    <w:p w14:paraId="7A5723BE" w14:textId="77777777" w:rsidR="00664D0A" w:rsidRPr="00664D0A" w:rsidRDefault="00664D0A" w:rsidP="00B139C3">
      <w:pPr>
        <w:rPr>
          <w:lang w:val="fr-FR"/>
        </w:rPr>
      </w:pPr>
      <w:r w:rsidRPr="00664D0A">
        <w:rPr>
          <w:lang w:val="fr-FR"/>
        </w:rPr>
        <w:t>•</w:t>
      </w:r>
      <w:r w:rsidRPr="00664D0A">
        <w:rPr>
          <w:lang w:val="fr-FR"/>
        </w:rPr>
        <w:tab/>
        <w:t>Acides Phénoliques : l'acide 4-hydroxybenzoïque, l'acide caféique et l'acide férulique se distinguent par leur efficacité. L'acide férulique, administré à faibles doses</w:t>
      </w:r>
    </w:p>
    <w:p w14:paraId="7C032CC7" w14:textId="77777777" w:rsidR="00664D0A" w:rsidRPr="00664D0A" w:rsidRDefault="00664D0A" w:rsidP="00B139C3">
      <w:pPr>
        <w:rPr>
          <w:lang w:val="fr-FR"/>
        </w:rPr>
      </w:pPr>
      <w:r w:rsidRPr="00664D0A">
        <w:rPr>
          <w:lang w:val="fr-FR"/>
        </w:rPr>
        <w:t>•</w:t>
      </w:r>
      <w:r w:rsidRPr="00664D0A">
        <w:rPr>
          <w:lang w:val="fr-FR"/>
        </w:rPr>
        <w:tab/>
        <w:t xml:space="preserve">Flavonoïdes et Anthocyanes : Des pigments comme la quercétine, la naringénine, la chrysine et l'hespéridine agissent sur le métabolisme glucidique. Les extraits de thé vert (riches en épigallocatéchine gallate) et les anthocyanes permettent de diminuer le pic de glycémie après un test de tolérance au glucose ou un régime riche en maltose. </w:t>
      </w:r>
    </w:p>
    <w:p w14:paraId="20D9B8C5" w14:textId="77777777" w:rsidR="00664D0A" w:rsidRPr="00664D0A" w:rsidRDefault="00664D0A" w:rsidP="00B139C3">
      <w:pPr>
        <w:rPr>
          <w:lang w:val="fr-FR"/>
        </w:rPr>
      </w:pPr>
      <w:r w:rsidRPr="00664D0A">
        <w:rPr>
          <w:lang w:val="fr-FR"/>
        </w:rPr>
        <w:t>•</w:t>
      </w:r>
      <w:r w:rsidRPr="00664D0A">
        <w:rPr>
          <w:lang w:val="fr-FR"/>
        </w:rPr>
        <w:tab/>
        <w:t>Tanins : viens de la source de tannins utilisée pour le tannage des peaux d’animaux en cuir, ces composés, qu'ils soient hydrolysables ou condensés (proanthocyanidines)</w:t>
      </w:r>
    </w:p>
    <w:p w14:paraId="5B921563" w14:textId="77777777" w:rsidR="00664D0A" w:rsidRPr="00664D0A" w:rsidRDefault="00664D0A" w:rsidP="00665FE5">
      <w:pPr>
        <w:pStyle w:val="Heading2"/>
      </w:pPr>
      <w:bookmarkStart w:id="92" w:name="_Toc229618820"/>
      <w:r w:rsidRPr="00664D0A">
        <w:t>10-3/</w:t>
      </w:r>
      <w:proofErr w:type="gramStart"/>
      <w:r w:rsidRPr="00664D0A">
        <w:t>Terpènes:</w:t>
      </w:r>
      <w:bookmarkEnd w:id="92"/>
      <w:proofErr w:type="gramEnd"/>
    </w:p>
    <w:p w14:paraId="0E4B5D2C" w14:textId="77777777" w:rsidR="00664D0A" w:rsidRPr="00664D0A" w:rsidRDefault="00664D0A" w:rsidP="00B139C3">
      <w:pPr>
        <w:rPr>
          <w:lang w:val="fr-FR"/>
        </w:rPr>
      </w:pPr>
      <w:r w:rsidRPr="00664D0A">
        <w:rPr>
          <w:lang w:val="fr-FR"/>
        </w:rPr>
        <w:t>Les triterpènes et les glycosides stéroïdiens représentent une classe de métabolites secondaires, particulièrement performante dans la régulation glycémique. Ces composants bioactifs agissent souvent par mimétisme hormonal, offrant des perspectives thérapeutiques majeures pour le diabète de type 2.</w:t>
      </w:r>
    </w:p>
    <w:p w14:paraId="7C420B2A" w14:textId="77777777" w:rsidR="00664D0A" w:rsidRPr="00664D0A" w:rsidRDefault="00664D0A" w:rsidP="00B139C3">
      <w:pPr>
        <w:rPr>
          <w:lang w:val="fr-FR"/>
        </w:rPr>
      </w:pPr>
      <w:r w:rsidRPr="00664D0A">
        <w:rPr>
          <w:lang w:val="fr-FR"/>
        </w:rPr>
        <w:t>Parmi les principes actifs les plus déterminants, on distingue :</w:t>
      </w:r>
    </w:p>
    <w:p w14:paraId="0CB35494" w14:textId="77777777" w:rsidR="00664D0A" w:rsidRPr="00664D0A" w:rsidRDefault="00664D0A" w:rsidP="00B139C3">
      <w:pPr>
        <w:rPr>
          <w:lang w:val="fr-FR"/>
        </w:rPr>
      </w:pPr>
      <w:r w:rsidRPr="00664D0A">
        <w:rPr>
          <w:lang w:val="fr-FR"/>
        </w:rPr>
        <w:t>•</w:t>
      </w:r>
      <w:r w:rsidRPr="00664D0A">
        <w:rPr>
          <w:lang w:val="fr-FR"/>
        </w:rPr>
        <w:tab/>
        <w:t>La Charantine : isolée à partir de Momordicacharantia,</w:t>
      </w:r>
    </w:p>
    <w:p w14:paraId="56C0713B" w14:textId="77777777" w:rsidR="00664D0A" w:rsidRPr="00664D0A" w:rsidRDefault="00664D0A" w:rsidP="00B139C3">
      <w:pPr>
        <w:rPr>
          <w:lang w:val="fr-FR"/>
        </w:rPr>
      </w:pPr>
      <w:r w:rsidRPr="00664D0A">
        <w:rPr>
          <w:lang w:val="fr-FR"/>
        </w:rPr>
        <w:t>•</w:t>
      </w:r>
      <w:r w:rsidRPr="00664D0A">
        <w:rPr>
          <w:lang w:val="fr-FR"/>
        </w:rPr>
        <w:tab/>
        <w:t xml:space="preserve">L’Andrographolide : cette lactone diterpénoïde, extraite d’Andrographispaniculata, a démontré une activité hypoglycémiante significative lors d'études in-vitro, confirmant son potentiel dans la gestion de l'hyperglycémie </w:t>
      </w:r>
    </w:p>
    <w:p w14:paraId="2FC4B881" w14:textId="77777777" w:rsidR="00664D0A" w:rsidRPr="00664D0A" w:rsidRDefault="00664D0A" w:rsidP="00665FE5">
      <w:pPr>
        <w:pStyle w:val="Heading2"/>
      </w:pPr>
      <w:bookmarkStart w:id="93" w:name="_Toc229618821"/>
      <w:r w:rsidRPr="00664D0A">
        <w:t>10-4/Les polysaccharides :</w:t>
      </w:r>
      <w:bookmarkEnd w:id="93"/>
    </w:p>
    <w:p w14:paraId="28E6FF10" w14:textId="77777777" w:rsidR="00664D0A" w:rsidRPr="00664D0A" w:rsidRDefault="00664D0A" w:rsidP="00B139C3">
      <w:pPr>
        <w:rPr>
          <w:lang w:val="fr-FR"/>
        </w:rPr>
      </w:pPr>
      <w:r w:rsidRPr="00664D0A">
        <w:rPr>
          <w:lang w:val="fr-FR"/>
        </w:rPr>
        <w:t xml:space="preserve">Les polysaccharides sont des macromolécules glucidiques présentes de manière universelle dans le règne végétal. En phytothérapie, les formes les plus notables sont les mucilages et les </w:t>
      </w:r>
      <w:r w:rsidRPr="00664D0A">
        <w:rPr>
          <w:lang w:val="fr-FR"/>
        </w:rPr>
        <w:lastRenderedPageBreak/>
        <w:t>gommes. Ces substances se caractérisent par une forte capacité d'absorption hydrique, créant une masse gélatineuse au sein du tractus digestif.</w:t>
      </w:r>
    </w:p>
    <w:p w14:paraId="40D3C641" w14:textId="77777777" w:rsidR="00664D0A" w:rsidRPr="00664D0A" w:rsidRDefault="00664D0A" w:rsidP="00B139C3">
      <w:pPr>
        <w:rPr>
          <w:lang w:val="fr-FR"/>
        </w:rPr>
      </w:pPr>
      <w:r w:rsidRPr="00664D0A">
        <w:rPr>
          <w:lang w:val="fr-FR"/>
        </w:rPr>
        <w:t>L'effet hypoglycémiant des polysaccharides est principalement d'ordre mécanique et métabolique :</w:t>
      </w:r>
    </w:p>
    <w:p w14:paraId="1769835B" w14:textId="77777777" w:rsidR="00664D0A" w:rsidRPr="00664D0A" w:rsidRDefault="00664D0A" w:rsidP="00B139C3">
      <w:pPr>
        <w:rPr>
          <w:lang w:val="fr-FR"/>
        </w:rPr>
      </w:pPr>
      <w:r w:rsidRPr="00664D0A">
        <w:rPr>
          <w:lang w:val="fr-FR"/>
        </w:rPr>
        <w:t>•</w:t>
      </w:r>
      <w:r w:rsidRPr="00664D0A">
        <w:rPr>
          <w:lang w:val="fr-FR"/>
        </w:rPr>
        <w:tab/>
        <w:t xml:space="preserve">Fibres solubles (mucilages) : identifiés dans le Fenugrec (Trigonellafoenum-graecum) et dans le Tamarin, ils ralentissent la résorption intestinale des glucides en augmentant la viscosité du bol alimentaire. </w:t>
      </w:r>
    </w:p>
    <w:p w14:paraId="45E1086F" w14:textId="77777777" w:rsidR="00664D0A" w:rsidRPr="00664D0A" w:rsidRDefault="00664D0A" w:rsidP="00B139C3">
      <w:pPr>
        <w:rPr>
          <w:lang w:val="fr-FR"/>
        </w:rPr>
      </w:pPr>
      <w:r w:rsidRPr="00664D0A">
        <w:rPr>
          <w:lang w:val="fr-FR"/>
        </w:rPr>
        <w:t>•</w:t>
      </w:r>
      <w:r w:rsidRPr="00664D0A">
        <w:rPr>
          <w:lang w:val="fr-FR"/>
        </w:rPr>
        <w:tab/>
        <w:t xml:space="preserve">Polysaccharides liés aux protéines : un complexe spécifique a été isolé du Potiron (Cucurbita maxima). Des études montrent que ce composé augmente l'insulinémie et améliore significativement la tolérance au glucose. </w:t>
      </w:r>
    </w:p>
    <w:p w14:paraId="650D6403" w14:textId="77777777" w:rsidR="00664D0A" w:rsidRPr="00664D0A" w:rsidRDefault="00664D0A" w:rsidP="00B139C3">
      <w:pPr>
        <w:rPr>
          <w:lang w:val="fr-FR"/>
        </w:rPr>
      </w:pPr>
      <w:r w:rsidRPr="00664D0A">
        <w:rPr>
          <w:lang w:val="fr-FR"/>
        </w:rPr>
        <w:t>•</w:t>
      </w:r>
      <w:r w:rsidRPr="00664D0A">
        <w:rPr>
          <w:lang w:val="fr-FR"/>
        </w:rPr>
        <w:tab/>
        <w:t>Complexes de l'Aloevera : les polysaccharides présents dans l'Aloevera, l'Ocimumsanctum et l'Alpinia galanga contribuent également à la régulation glycémique par des mécanismes de protection des cellules pancréatiques</w:t>
      </w:r>
    </w:p>
    <w:p w14:paraId="4DC2B130" w14:textId="77777777" w:rsidR="00664D0A" w:rsidRPr="00664D0A" w:rsidRDefault="00664D0A" w:rsidP="00665FE5">
      <w:pPr>
        <w:pStyle w:val="Heading2"/>
      </w:pPr>
      <w:r w:rsidRPr="00664D0A">
        <w:t xml:space="preserve"> </w:t>
      </w:r>
      <w:bookmarkStart w:id="94" w:name="_Toc229618822"/>
      <w:r w:rsidRPr="00664D0A">
        <w:t>10-5/Polypeptides et les acides amines :</w:t>
      </w:r>
      <w:bookmarkEnd w:id="94"/>
    </w:p>
    <w:p w14:paraId="41146012" w14:textId="7F11E839" w:rsidR="00664D0A" w:rsidRPr="00664D0A" w:rsidRDefault="00664D0A" w:rsidP="001F3903">
      <w:pPr>
        <w:rPr>
          <w:lang w:val="fr-FR"/>
        </w:rPr>
      </w:pPr>
      <w:r w:rsidRPr="00664D0A">
        <w:rPr>
          <w:lang w:val="fr-FR"/>
        </w:rPr>
        <w:t xml:space="preserve">Les acides aminés sont l’élément de base des protéines et les polypeptides sont une chaîne d'acides aminés reliés par des liaisons peptidiques. On parle de polypeptide lorsque la chaîne contient entre 10 et 100 acides aminés (polypeptides, 2020). Ces composés sont parmi les métabolites primaires des plantes qui exercent un excellent effet dans le traitement du diabète. Parmi ces composants, on peut donner ces exemples incluants : p-insuline « bitter polypeptide </w:t>
      </w:r>
      <w:proofErr w:type="gramStart"/>
      <w:r w:rsidRPr="00664D0A">
        <w:rPr>
          <w:lang w:val="fr-FR"/>
        </w:rPr>
        <w:t>gourd»</w:t>
      </w:r>
      <w:proofErr w:type="gramEnd"/>
      <w:r w:rsidRPr="00664D0A">
        <w:rPr>
          <w:lang w:val="fr-FR"/>
        </w:rPr>
        <w:t xml:space="preserve"> isolé à partir de Momordicacharantia; ginseng glycopeptides, </w:t>
      </w:r>
      <w:r w:rsidRPr="00E71797">
        <w:t>α</w:t>
      </w:r>
      <w:r w:rsidRPr="00664D0A">
        <w:rPr>
          <w:lang w:val="fr-FR"/>
        </w:rPr>
        <w:t xml:space="preserve"> méthylène- </w:t>
      </w:r>
      <w:r w:rsidRPr="00664D0A">
        <w:rPr>
          <w:lang w:val="fr-FR"/>
        </w:rPr>
        <w:br/>
        <w:t xml:space="preserve">cyclopropylglycine isolé à partir de Litchi chinensis; S-allylcysteinesulfoxide isolé à partir </w:t>
      </w:r>
      <w:r w:rsidRPr="00664D0A">
        <w:rPr>
          <w:lang w:val="fr-FR"/>
        </w:rPr>
        <w:br/>
        <w:t xml:space="preserve">d'Allium sativum. </w:t>
      </w:r>
      <w:r w:rsidR="001F3903">
        <w:rPr>
          <w:lang w:val="fr-FR"/>
        </w:rPr>
        <w:fldChar w:fldCharType="begin"/>
      </w:r>
      <w:r w:rsidR="00116A61">
        <w:rPr>
          <w:lang w:val="fr-FR"/>
        </w:rPr>
        <w:instrText xml:space="preserve"> ADDIN ZOTERO_ITEM CSL_CITATION {"citationID":"hW8rQQcP","properties":{"unsorted":false,"formattedCitation":"(116)","plainCitation":"(116)","noteIndex":0},"citationItems":[{"id":"6VBx8p83/F1lJGHkI","uris":["http://zotero.org/users/local/xPnoPzR4/items/DZ8XKFFJ"],"itemData":{"id":418,"type":"webpage","title":"Hypoglycemic activity of polypeptide-p from a plant source - PubMed","URL":"https://pubmed.ncbi.nlm.nih.gov/7334382/","accessed":{"date-parts":[["2026",5,14]]}}}],"schema":"https://github.com/citation-style-language/schema/raw/master/csl-citation.json"} </w:instrText>
      </w:r>
      <w:r w:rsidR="001F3903">
        <w:rPr>
          <w:lang w:val="fr-FR"/>
        </w:rPr>
        <w:fldChar w:fldCharType="separate"/>
      </w:r>
      <w:r w:rsidR="001F3903" w:rsidRPr="00C5177C">
        <w:rPr>
          <w:rFonts w:ascii="Times New Roman" w:hAnsi="Times New Roman" w:cs="Times New Roman"/>
          <w:lang w:val="fr-FR"/>
        </w:rPr>
        <w:t>(116)</w:t>
      </w:r>
      <w:r w:rsidR="001F3903">
        <w:rPr>
          <w:lang w:val="fr-FR"/>
        </w:rPr>
        <w:fldChar w:fldCharType="end"/>
      </w:r>
    </w:p>
    <w:p w14:paraId="45B66004" w14:textId="484F84B1" w:rsidR="00664D0A" w:rsidRPr="00664D0A" w:rsidRDefault="00E2496A" w:rsidP="00665FE5">
      <w:pPr>
        <w:pStyle w:val="Heading1"/>
        <w:rPr>
          <w:rFonts w:eastAsia="Calibri"/>
        </w:rPr>
      </w:pPr>
      <w:bookmarkStart w:id="95" w:name="_Toc229618823"/>
      <w:r>
        <w:rPr>
          <w:rFonts w:eastAsia="Calibri"/>
        </w:rPr>
        <w:t>11/</w:t>
      </w:r>
      <w:r w:rsidR="00664D0A" w:rsidRPr="00664D0A">
        <w:rPr>
          <w:rFonts w:eastAsia="Calibri"/>
        </w:rPr>
        <w:t xml:space="preserve"> Les perspectives de la phytothérapie :</w:t>
      </w:r>
      <w:bookmarkEnd w:id="95"/>
    </w:p>
    <w:p w14:paraId="008E4C41" w14:textId="6CA5C1BB" w:rsidR="00664D0A" w:rsidRPr="00664D0A" w:rsidRDefault="00664D0A" w:rsidP="00B139C3">
      <w:pPr>
        <w:rPr>
          <w:rFonts w:eastAsia="Calibri"/>
          <w:lang w:val="fr-FR"/>
        </w:rPr>
      </w:pPr>
      <w:r w:rsidRPr="00862E18">
        <w:rPr>
          <w:rFonts w:eastAsia="Calibri"/>
          <w:lang w:val="fr-FR"/>
        </w:rPr>
        <w:t>À l'échelle</w:t>
      </w:r>
      <w:r w:rsidR="00665FE5">
        <w:rPr>
          <w:rFonts w:eastAsia="Calibri"/>
          <w:lang w:val="fr-FR"/>
        </w:rPr>
        <w:t xml:space="preserve"> </w:t>
      </w:r>
      <w:r w:rsidRPr="00862E18">
        <w:rPr>
          <w:rFonts w:eastAsia="Calibri"/>
          <w:lang w:val="fr-FR"/>
        </w:rPr>
        <w:t>internationale, la recherche sur les substances végétales</w:t>
      </w:r>
      <w:r w:rsidR="00665FE5">
        <w:rPr>
          <w:rFonts w:eastAsia="Calibri"/>
          <w:lang w:val="fr-FR"/>
        </w:rPr>
        <w:t xml:space="preserve"> </w:t>
      </w:r>
      <w:r w:rsidRPr="00862E18">
        <w:rPr>
          <w:rFonts w:eastAsia="Calibri"/>
          <w:lang w:val="fr-FR"/>
        </w:rPr>
        <w:t>antidiabétiques</w:t>
      </w:r>
      <w:r w:rsidR="00665FE5">
        <w:rPr>
          <w:rFonts w:eastAsia="Calibri"/>
          <w:lang w:val="fr-FR"/>
        </w:rPr>
        <w:t xml:space="preserve"> </w:t>
      </w:r>
      <w:r w:rsidRPr="00862E18">
        <w:rPr>
          <w:rFonts w:eastAsia="Calibri"/>
          <w:lang w:val="fr-FR"/>
        </w:rPr>
        <w:t>est</w:t>
      </w:r>
      <w:r w:rsidR="00665FE5">
        <w:rPr>
          <w:rFonts w:eastAsia="Calibri"/>
          <w:lang w:val="fr-FR"/>
        </w:rPr>
        <w:t xml:space="preserve"> </w:t>
      </w:r>
      <w:r w:rsidRPr="00862E18">
        <w:rPr>
          <w:rFonts w:eastAsia="Calibri"/>
          <w:lang w:val="fr-FR"/>
        </w:rPr>
        <w:t>passée</w:t>
      </w:r>
      <w:r w:rsidR="00665FE5">
        <w:rPr>
          <w:rFonts w:eastAsia="Calibri"/>
          <w:lang w:val="fr-FR"/>
        </w:rPr>
        <w:t xml:space="preserve"> </w:t>
      </w:r>
      <w:r w:rsidRPr="00862E18">
        <w:rPr>
          <w:rFonts w:eastAsia="Calibri"/>
          <w:lang w:val="fr-FR"/>
        </w:rPr>
        <w:t>d'une simple curiosité</w:t>
      </w:r>
      <w:r w:rsidR="00665FE5">
        <w:rPr>
          <w:rFonts w:eastAsia="Calibri"/>
          <w:lang w:val="fr-FR"/>
        </w:rPr>
        <w:t xml:space="preserve"> </w:t>
      </w:r>
      <w:r w:rsidRPr="00862E18">
        <w:rPr>
          <w:rFonts w:eastAsia="Calibri"/>
          <w:lang w:val="fr-FR"/>
        </w:rPr>
        <w:t>ethnobotanique à une discipline de pointe en</w:t>
      </w:r>
      <w:r w:rsidR="00665FE5">
        <w:rPr>
          <w:rFonts w:eastAsia="Calibri"/>
          <w:lang w:val="fr-FR"/>
        </w:rPr>
        <w:t xml:space="preserve"> </w:t>
      </w:r>
      <w:r w:rsidRPr="00862E18">
        <w:rPr>
          <w:rFonts w:eastAsia="Calibri"/>
          <w:lang w:val="fr-FR"/>
        </w:rPr>
        <w:t>pharmacologie</w:t>
      </w:r>
      <w:r w:rsidR="00665FE5">
        <w:rPr>
          <w:rFonts w:eastAsia="Calibri"/>
          <w:lang w:val="fr-FR"/>
        </w:rPr>
        <w:t xml:space="preserve"> </w:t>
      </w:r>
      <w:r w:rsidRPr="00862E18">
        <w:rPr>
          <w:rFonts w:eastAsia="Calibri"/>
          <w:lang w:val="fr-FR"/>
        </w:rPr>
        <w:t>moléculaire. Cette</w:t>
      </w:r>
      <w:r w:rsidR="00665FE5">
        <w:rPr>
          <w:rFonts w:eastAsia="Calibri"/>
          <w:lang w:val="fr-FR"/>
        </w:rPr>
        <w:t xml:space="preserve"> </w:t>
      </w:r>
      <w:r w:rsidRPr="00862E18">
        <w:rPr>
          <w:rFonts w:eastAsia="Calibri"/>
          <w:lang w:val="fr-FR"/>
        </w:rPr>
        <w:t>dynamique</w:t>
      </w:r>
      <w:r w:rsidR="00665FE5">
        <w:rPr>
          <w:rFonts w:eastAsia="Calibri"/>
          <w:lang w:val="fr-FR"/>
        </w:rPr>
        <w:t xml:space="preserve"> </w:t>
      </w:r>
      <w:r w:rsidRPr="00862E18">
        <w:rPr>
          <w:rFonts w:eastAsia="Calibri"/>
          <w:lang w:val="fr-FR"/>
        </w:rPr>
        <w:t>est</w:t>
      </w:r>
      <w:r w:rsidR="00665FE5">
        <w:rPr>
          <w:rFonts w:eastAsia="Calibri"/>
          <w:lang w:val="fr-FR"/>
        </w:rPr>
        <w:t xml:space="preserve"> </w:t>
      </w:r>
      <w:r w:rsidRPr="00862E18">
        <w:rPr>
          <w:rFonts w:eastAsia="Calibri"/>
          <w:lang w:val="fr-FR"/>
        </w:rPr>
        <w:t>illustrée par l'explosion du volume de publications dans des revues de haut impact telles</w:t>
      </w:r>
      <w:r w:rsidR="00665FE5">
        <w:rPr>
          <w:rFonts w:eastAsia="Calibri"/>
          <w:lang w:val="fr-FR"/>
        </w:rPr>
        <w:t xml:space="preserve"> </w:t>
      </w:r>
      <w:r w:rsidRPr="00862E18">
        <w:rPr>
          <w:rFonts w:eastAsia="Calibri"/>
          <w:lang w:val="fr-FR"/>
        </w:rPr>
        <w:t>que Journal of Ethnopharmacology, Phytomedicine</w:t>
      </w:r>
      <w:r w:rsidR="00665FE5">
        <w:rPr>
          <w:rFonts w:eastAsia="Calibri"/>
          <w:lang w:val="fr-FR"/>
        </w:rPr>
        <w:t xml:space="preserve"> </w:t>
      </w:r>
      <w:r w:rsidRPr="00862E18">
        <w:rPr>
          <w:rFonts w:eastAsia="Calibri"/>
          <w:lang w:val="fr-FR"/>
        </w:rPr>
        <w:t>ou</w:t>
      </w:r>
      <w:r w:rsidR="00665FE5">
        <w:rPr>
          <w:rFonts w:eastAsia="Calibri"/>
          <w:lang w:val="fr-FR"/>
        </w:rPr>
        <w:t xml:space="preserve"> </w:t>
      </w:r>
      <w:r w:rsidRPr="00862E18">
        <w:rPr>
          <w:rFonts w:eastAsia="Calibri"/>
          <w:lang w:val="fr-FR"/>
        </w:rPr>
        <w:t>Diabetes Care. À ce jour, la science a recensé plus de 1 200 espèces aux propriétés</w:t>
      </w:r>
      <w:r w:rsidR="00665FE5">
        <w:rPr>
          <w:rFonts w:eastAsia="Calibri"/>
          <w:lang w:val="fr-FR"/>
        </w:rPr>
        <w:t xml:space="preserve"> </w:t>
      </w:r>
      <w:r w:rsidRPr="00862E18">
        <w:rPr>
          <w:rFonts w:eastAsia="Calibri"/>
          <w:lang w:val="fr-FR"/>
        </w:rPr>
        <w:t>hypoglycémiantes, réparties</w:t>
      </w:r>
      <w:r w:rsidR="00665FE5">
        <w:rPr>
          <w:rFonts w:eastAsia="Calibri"/>
          <w:lang w:val="fr-FR"/>
        </w:rPr>
        <w:t xml:space="preserve"> </w:t>
      </w:r>
      <w:r w:rsidRPr="00862E18">
        <w:rPr>
          <w:rFonts w:eastAsia="Calibri"/>
          <w:lang w:val="fr-FR"/>
        </w:rPr>
        <w:t>dans 183 familles</w:t>
      </w:r>
      <w:r w:rsidR="00665FE5">
        <w:rPr>
          <w:rFonts w:eastAsia="Calibri"/>
          <w:lang w:val="fr-FR"/>
        </w:rPr>
        <w:t xml:space="preserve"> </w:t>
      </w:r>
      <w:r w:rsidRPr="00862E18">
        <w:rPr>
          <w:rFonts w:eastAsia="Calibri"/>
          <w:lang w:val="fr-FR"/>
        </w:rPr>
        <w:t>botaniques</w:t>
      </w:r>
      <w:r w:rsidRPr="00664D0A">
        <w:rPr>
          <w:rFonts w:eastAsia="Calibri"/>
          <w:lang w:val="fr-FR"/>
        </w:rPr>
        <w:t xml:space="preserve"> (1-2</w:t>
      </w:r>
      <w:proofErr w:type="gramStart"/>
      <w:r w:rsidRPr="00664D0A">
        <w:rPr>
          <w:rFonts w:eastAsia="Calibri"/>
          <w:lang w:val="fr-FR"/>
        </w:rPr>
        <w:t xml:space="preserve">) </w:t>
      </w:r>
      <w:r w:rsidRPr="00862E18">
        <w:rPr>
          <w:rFonts w:eastAsia="Calibri"/>
          <w:lang w:val="fr-FR"/>
        </w:rPr>
        <w:t>.</w:t>
      </w:r>
      <w:proofErr w:type="gramEnd"/>
      <w:r w:rsidRPr="00862E18">
        <w:rPr>
          <w:rFonts w:eastAsia="Calibri"/>
          <w:lang w:val="fr-FR"/>
        </w:rPr>
        <w:t xml:space="preserve"> Le fait que 81 % de ces usages traditionnel</w:t>
      </w:r>
      <w:r w:rsidR="00665FE5">
        <w:rPr>
          <w:rFonts w:eastAsia="Calibri"/>
          <w:lang w:val="fr-FR"/>
        </w:rPr>
        <w:t xml:space="preserve"> </w:t>
      </w:r>
      <w:r w:rsidRPr="00862E18">
        <w:rPr>
          <w:rFonts w:eastAsia="Calibri"/>
          <w:lang w:val="fr-FR"/>
        </w:rPr>
        <w:t>saient déjà reçu</w:t>
      </w:r>
      <w:r w:rsidR="00665FE5">
        <w:rPr>
          <w:rFonts w:eastAsia="Calibri"/>
          <w:lang w:val="fr-FR"/>
        </w:rPr>
        <w:t xml:space="preserve"> </w:t>
      </w:r>
      <w:r w:rsidRPr="00862E18">
        <w:rPr>
          <w:rFonts w:eastAsia="Calibri"/>
          <w:lang w:val="fr-FR"/>
        </w:rPr>
        <w:t>une confirmation expérimentale</w:t>
      </w:r>
      <w:r w:rsidRPr="00664D0A">
        <w:rPr>
          <w:rFonts w:eastAsia="Calibri"/>
          <w:lang w:val="fr-FR"/>
        </w:rPr>
        <w:t xml:space="preserve"> (3) </w:t>
      </w:r>
      <w:r w:rsidRPr="00862E18">
        <w:rPr>
          <w:rFonts w:eastAsia="Calibri"/>
          <w:lang w:val="fr-FR"/>
        </w:rPr>
        <w:t>souligne que la flore</w:t>
      </w:r>
      <w:r w:rsidR="00665FE5">
        <w:rPr>
          <w:rFonts w:eastAsia="Calibri"/>
          <w:lang w:val="fr-FR"/>
        </w:rPr>
        <w:t xml:space="preserve"> </w:t>
      </w:r>
      <w:r w:rsidRPr="00862E18">
        <w:rPr>
          <w:rFonts w:eastAsia="Calibri"/>
          <w:lang w:val="fr-FR"/>
        </w:rPr>
        <w:t>mondiale</w:t>
      </w:r>
      <w:r w:rsidR="00665FE5">
        <w:rPr>
          <w:rFonts w:eastAsia="Calibri"/>
          <w:lang w:val="fr-FR"/>
        </w:rPr>
        <w:t xml:space="preserve"> </w:t>
      </w:r>
      <w:r w:rsidRPr="00862E18">
        <w:rPr>
          <w:rFonts w:eastAsia="Calibri"/>
          <w:lang w:val="fr-FR"/>
        </w:rPr>
        <w:t>constitue un réservoir de molécules actives encore sous-exploité pour le développement de futurs agents thérapeutiques.</w:t>
      </w:r>
    </w:p>
    <w:p w14:paraId="6E100212" w14:textId="77777777" w:rsidR="00664D0A" w:rsidRPr="00664D0A" w:rsidRDefault="00664D0A" w:rsidP="00B139C3">
      <w:pPr>
        <w:rPr>
          <w:rFonts w:eastAsia="Calibri"/>
          <w:lang w:val="fr-FR"/>
        </w:rPr>
      </w:pPr>
      <w:r w:rsidRPr="00664D0A">
        <w:rPr>
          <w:rFonts w:eastAsia="Calibri"/>
          <w:lang w:val="fr-FR"/>
        </w:rPr>
        <w:t>Les études récentes centrées sur la prise en charge du diabète en Algérie indiquent que la non-observance aux traitements conventionnels s’associe fréquemment à des déterminants socioculturels, ce qui conduit une partie des patients à recourir largement à la phytothérapie (7). Ce constat invite à reconsidérer l’approche actuelle : il apparaît pertinent d’articuler l’éducation thérapeutique avec une démarche de validation scientifique des plantes, afin de mieux encadrer et sécuriser le parcours de soins des personnes vivant avec un diabète.</w:t>
      </w:r>
    </w:p>
    <w:p w14:paraId="6E96BD52" w14:textId="0C4D2D29" w:rsidR="00665FE5" w:rsidRDefault="00665FE5" w:rsidP="00F3578C">
      <w:pPr>
        <w:pStyle w:val="NormalWeb"/>
      </w:pPr>
      <w:r>
        <w:t xml:space="preserve">En Algérie, la perspective future ne se limite plus au simple inventaire des plantes, mais s'oriente vers la valorisation industrielle de ce patrimoine. L'enjeu majeur réside désormais </w:t>
      </w:r>
      <w:r>
        <w:lastRenderedPageBreak/>
        <w:t>dans le passage de la médecine traditionnelle à une phytothérapie clinique normalisée. Cela implique le développement de laboratoires de contrôle de qualité et la création de partenariats entre les centres de recherche universitaire et l'industrie pharmaceutique locale (Santé-Industrie). L'objectif est de transformer les extraits de plantes locales, dont l'efficacité est déjà reconnue, en phytomédicaments standardisés (comprimés, gélules), permettant ainsi une intégration sécurisée et souveraine de ces ressources dans le protocole de soin du pa</w:t>
      </w:r>
      <w:r w:rsidR="00F3578C">
        <w:t xml:space="preserve">tient diabétique algérien. </w:t>
      </w:r>
      <w:r w:rsidR="00F3578C">
        <w:fldChar w:fldCharType="begin"/>
      </w:r>
      <w:r w:rsidR="00116A61">
        <w:instrText xml:space="preserve"> ADDIN ZOTERO_ITEM CSL_CITATION {"citationID":"fafPaJQb","properties":{"unsorted":false,"formattedCitation":"(117,118)","plainCitation":"(117,118)","noteIndex":0},"citationItems":[{"id":"6VBx8p83/0U0CUdlR","uris":["http://zotero.org/users/local/xPnoPzR4/items/CA4HTDFY"],"itemData":{"id":426,"type":"webpage","title":"Frontiers in Pharmacology","URL":"https://www.frontiersin.org/journals/pharmacology","accessed":{"date-parts":[["2026",5,14]]}}},{"id":"6VBx8p83/ffUEtDZo","uris":["http://zotero.org/users/local/xPnoPzR4/items/QIWP7WZJ"],"itemData":{"id":428,"type":"article-journal","container-title":"Phytomedicine","DOI":"10.1016/j.phymed.2026.158179","ISSN":"09447113","journalAbbreviation":"Phytomedicine","language":"en","page":"158179","source":"DOI.org (Crossref)","title":"Nanocrystalline berberine is associated with improved antitumor activity of PD-1 blockade in ovarian cancer","volume":"156","author":[{"family":"Cheng","given":"Yujie"},{"family":"Yin","given":"Xinyu"},{"family":"Wang","given":"Lian"},{"family":"Wang","given":"Junji"},{"family":"Guo","given":"Jing"},{"family":"Wang","given":"Jiajun"},{"family":"Li","given":"Xiao"},{"family":"Liu","given":"Siqi"},{"family":"Zhu","given":"Jihui"},{"family":"Ai","given":"Guihai"},{"family":"He","given":"Jun"},{"family":"Cheng","given":"Zhongping"}],"issued":{"date-parts":[["2026",7]]}}}],"schema":"https://github.com/citation-style-language/schema/raw/master/csl-citation.json"} </w:instrText>
      </w:r>
      <w:r w:rsidR="00F3578C">
        <w:fldChar w:fldCharType="separate"/>
      </w:r>
      <w:r w:rsidR="00F3578C" w:rsidRPr="00F3578C">
        <w:t>(117,118)</w:t>
      </w:r>
      <w:r w:rsidR="00F3578C">
        <w:fldChar w:fldCharType="end"/>
      </w:r>
    </w:p>
    <w:p w14:paraId="0AD91179" w14:textId="3898F485" w:rsidR="00B91DCD" w:rsidRDefault="00665FE5" w:rsidP="00F3578C">
      <w:pPr>
        <w:pStyle w:val="NormalWeb"/>
      </w:pPr>
      <w:r>
        <w:t>Bien que l'utilisation des produits naturels pour la gestion du diabète soit solidement ancrée dans les pratiques locales, l'avenir de cette discipline repose sur la transition d'une utilisation purement empirique vers une validation pharmacologique rigoureuse. La perspective majeure est d'isoler les composés bioactifs et de déterminer leurs mécanismes d'action moléculaires précis, afin de transformer les plantes médicinales de simples remèdes traditionnels en agents thérapeutiques standardisés, capables d'intégrer les systèmes de santé formels. Dans cette optique, la recherche actuelle ouvre des perspectives cruciales pour l'identification de nouveaux inhibiteurs enzymatiques et de sensibilisateurs à l'insuline d'origine végétale. L'enjeu des prochaines décennies est ainsi de documenter de manière exhaustive le profil phytochimique des espèces hypoglycémiantes, en mettant l'accent sur la sécurité à long terme et l'efficacité clinique, pour pallier les effets secondaires et les coûts élevés des antidiabétiques de synthèse.</w:t>
      </w:r>
      <w:r w:rsidR="001F3903">
        <w:t xml:space="preserve"> </w:t>
      </w:r>
      <w:r w:rsidR="00F3578C">
        <w:fldChar w:fldCharType="begin"/>
      </w:r>
      <w:r w:rsidR="00116A61">
        <w:instrText xml:space="preserve"> ADDIN ZOTERO_ITEM CSL_CITATION {"citationID":"IPGKsEbN","properties":{"unsorted":false,"formattedCitation":"(117)","plainCitation":"(117)","noteIndex":0},"citationItems":[{"id":"6VBx8p83/0U0CUdlR","uris":["http://zotero.org/users/local/xPnoPzR4/items/CA4HTDFY"],"itemData":{"id":426,"type":"webpage","title":"Frontiers in Pharmacology","URL":"https://www.frontiersin.org/journals/pharmacology","accessed":{"date-parts":[["2026",5,14]]}}}],"schema":"https://github.com/citation-style-language/schema/raw/master/csl-citation.json"} </w:instrText>
      </w:r>
      <w:r w:rsidR="00F3578C">
        <w:fldChar w:fldCharType="separate"/>
      </w:r>
      <w:r w:rsidR="00F3578C" w:rsidRPr="00F3578C">
        <w:t>(117)</w:t>
      </w:r>
      <w:r w:rsidR="00F3578C">
        <w:fldChar w:fldCharType="end"/>
      </w:r>
    </w:p>
    <w:p w14:paraId="7DDBCEA4" w14:textId="77777777" w:rsidR="00B91DCD" w:rsidRDefault="00B91DCD">
      <w:pPr>
        <w:rPr>
          <w:rFonts w:ascii="Times New Roman" w:eastAsia="Times New Roman" w:hAnsi="Times New Roman" w:cs="Times New Roman"/>
          <w:szCs w:val="24"/>
          <w:lang w:val="fr-FR" w:eastAsia="fr-FR"/>
        </w:rPr>
      </w:pPr>
      <w:r w:rsidRPr="00F96B82">
        <w:rPr>
          <w:lang w:val="fr-FR"/>
        </w:rPr>
        <w:br w:type="page"/>
      </w:r>
    </w:p>
    <w:p w14:paraId="5D25EB52" w14:textId="6ED3CEDF" w:rsidR="00664D0A" w:rsidRPr="00B91DCD" w:rsidRDefault="00B91DCD" w:rsidP="003766EB">
      <w:pPr>
        <w:pStyle w:val="NormalWeb"/>
        <w:jc w:val="center"/>
        <w:outlineLvl w:val="0"/>
      </w:pPr>
      <w:bookmarkStart w:id="96" w:name="_Toc229618824"/>
      <w:r w:rsidRPr="003766EB">
        <w:rPr>
          <w:sz w:val="48"/>
          <w:szCs w:val="48"/>
          <w:lang w:bidi="ar-DZ"/>
        </w:rPr>
        <w:lastRenderedPageBreak/>
        <w:t>Chapitre 3 : Les plantes médicinales anti diabètique en Algerie</w:t>
      </w:r>
      <w:bookmarkEnd w:id="96"/>
      <w:r w:rsidR="00664D0A" w:rsidRPr="003766EB">
        <w:rPr>
          <w:sz w:val="40"/>
          <w:szCs w:val="40"/>
          <w:lang w:bidi="ar-DZ"/>
        </w:rPr>
        <w:br w:type="page"/>
      </w:r>
    </w:p>
    <w:p w14:paraId="12C1A267" w14:textId="77777777" w:rsidR="00664D0A" w:rsidRPr="00664D0A" w:rsidRDefault="00664D0A" w:rsidP="00665FE5">
      <w:pPr>
        <w:pStyle w:val="Heading1"/>
        <w:rPr>
          <w:shd w:val="clear" w:color="auto" w:fill="FFFFFF"/>
        </w:rPr>
      </w:pPr>
      <w:bookmarkStart w:id="97" w:name="_Toc229618825"/>
      <w:r w:rsidRPr="00664D0A">
        <w:rPr>
          <w:shd w:val="clear" w:color="auto" w:fill="FFFFFF"/>
        </w:rPr>
        <w:lastRenderedPageBreak/>
        <w:t>1/les plantes les plus utilisées chez les patients diabétiques à l'Algerie :</w:t>
      </w:r>
      <w:bookmarkEnd w:id="97"/>
      <w:r w:rsidRPr="00664D0A">
        <w:rPr>
          <w:shd w:val="clear" w:color="auto" w:fill="FFFFFF"/>
        </w:rPr>
        <w:t xml:space="preserve"> </w:t>
      </w:r>
    </w:p>
    <w:p w14:paraId="297FF554" w14:textId="77777777" w:rsidR="00664D0A" w:rsidRPr="00664D0A" w:rsidRDefault="00664D0A" w:rsidP="00B139C3">
      <w:pPr>
        <w:rPr>
          <w:lang w:val="fr-FR"/>
        </w:rPr>
      </w:pPr>
      <w:proofErr w:type="gramStart"/>
      <w:r w:rsidRPr="00664D0A">
        <w:rPr>
          <w:shd w:val="clear" w:color="auto" w:fill="FFFFFF"/>
          <w:lang w:val="fr-FR"/>
        </w:rPr>
        <w:t>une</w:t>
      </w:r>
      <w:proofErr w:type="gramEnd"/>
      <w:r w:rsidRPr="00664D0A">
        <w:rPr>
          <w:shd w:val="clear" w:color="auto" w:fill="FFFFFF"/>
          <w:lang w:val="fr-FR"/>
        </w:rPr>
        <w:t xml:space="preserve"> étude sur l utilisation des plantes médicinales pour le  diabète en Algérie, montre que plus de 170 espèces de plantes sont utilisées classées en  58 familles botaniques différentes  dont les plus frequement </w:t>
      </w:r>
      <w:r w:rsidRPr="00664D0A">
        <w:rPr>
          <w:lang w:val="fr-FR"/>
        </w:rPr>
        <w:t xml:space="preserve">utiliser  étaient les </w:t>
      </w:r>
      <w:r w:rsidRPr="00664D0A">
        <w:rPr>
          <w:rStyle w:val="whitespace-normal"/>
          <w:rFonts w:cstheme="majorBidi"/>
          <w:lang w:val="fr-FR"/>
        </w:rPr>
        <w:t>Asteraceae</w:t>
      </w:r>
      <w:r w:rsidRPr="00664D0A">
        <w:rPr>
          <w:lang w:val="fr-FR"/>
        </w:rPr>
        <w:t xml:space="preserve">, les </w:t>
      </w:r>
      <w:r w:rsidRPr="00664D0A">
        <w:rPr>
          <w:rStyle w:val="whitespace-normal"/>
          <w:rFonts w:cstheme="majorBidi"/>
          <w:lang w:val="fr-FR"/>
        </w:rPr>
        <w:t>Lamiaceae</w:t>
      </w:r>
      <w:r w:rsidRPr="00664D0A">
        <w:rPr>
          <w:lang w:val="fr-FR"/>
        </w:rPr>
        <w:t xml:space="preserve"> et les </w:t>
      </w:r>
      <w:r w:rsidRPr="00664D0A">
        <w:rPr>
          <w:rStyle w:val="whitespace-normal"/>
          <w:rFonts w:cstheme="majorBidi"/>
          <w:lang w:val="fr-FR"/>
        </w:rPr>
        <w:t>Apiaceae</w:t>
      </w:r>
      <w:r w:rsidRPr="00664D0A">
        <w:rPr>
          <w:lang w:val="fr-FR"/>
        </w:rPr>
        <w:t>.</w:t>
      </w:r>
    </w:p>
    <w:p w14:paraId="0F1A66B9" w14:textId="38A4EAD3" w:rsidR="00664D0A" w:rsidRPr="00664D0A" w:rsidRDefault="00664D0A" w:rsidP="00665FE5">
      <w:pPr>
        <w:pStyle w:val="Heading2"/>
      </w:pPr>
      <w:bookmarkStart w:id="98" w:name="_Toc229618826"/>
      <w:r w:rsidRPr="00664D0A">
        <w:t>1-1/Asteraceae :</w:t>
      </w:r>
      <w:bookmarkEnd w:id="98"/>
    </w:p>
    <w:p w14:paraId="02E36F99" w14:textId="77777777" w:rsidR="00664D0A" w:rsidRPr="00E71797" w:rsidRDefault="00664D0A" w:rsidP="00B139C3">
      <w:pPr>
        <w:rPr>
          <w:sz w:val="28"/>
          <w:szCs w:val="28"/>
          <w:rtl/>
        </w:rPr>
      </w:pPr>
      <w:r w:rsidRPr="00665FE5">
        <w:rPr>
          <w:rStyle w:val="Heading3Char"/>
          <w:rFonts w:eastAsiaTheme="minorHAnsi"/>
        </w:rPr>
        <w:t xml:space="preserve"> 1-1-1/Artemisia herba-alba</w:t>
      </w:r>
      <w:r w:rsidRPr="00664D0A">
        <w:rPr>
          <w:sz w:val="28"/>
          <w:szCs w:val="28"/>
          <w:lang w:val="fr-FR"/>
        </w:rPr>
        <w:t xml:space="preserve"> :</w:t>
      </w:r>
    </w:p>
    <w:p w14:paraId="6A3CF062" w14:textId="77777777" w:rsidR="00664D0A" w:rsidRPr="00664D0A" w:rsidRDefault="00664D0A" w:rsidP="00B139C3">
      <w:pPr>
        <w:rPr>
          <w:lang w:val="fr-FR"/>
        </w:rPr>
      </w:pPr>
      <w:r w:rsidRPr="00664D0A">
        <w:rPr>
          <w:rStyle w:val="Emphasis"/>
          <w:rFonts w:eastAsiaTheme="majorEastAsia" w:cstheme="majorBidi"/>
          <w:i w:val="0"/>
          <w:iCs w:val="0"/>
          <w:lang w:val="fr-FR"/>
        </w:rPr>
        <w:t>Artemisia herba-alba</w:t>
      </w:r>
      <w:r w:rsidRPr="00664D0A">
        <w:rPr>
          <w:lang w:val="fr-FR"/>
        </w:rPr>
        <w:t xml:space="preserve"> (connue sous les noms vernaculaires </w:t>
      </w:r>
      <w:r w:rsidRPr="00E71797">
        <w:rPr>
          <w:rStyle w:val="Strong"/>
          <w:rFonts w:eastAsiaTheme="majorEastAsia" w:cstheme="majorBidi"/>
          <w:rtl/>
        </w:rPr>
        <w:t>شيح</w:t>
      </w:r>
      <w:r w:rsidRPr="00664D0A">
        <w:rPr>
          <w:lang w:val="fr-FR"/>
        </w:rPr>
        <w:t xml:space="preserve">, </w:t>
      </w:r>
      <w:r w:rsidRPr="00664D0A">
        <w:rPr>
          <w:rStyle w:val="Strong"/>
          <w:rFonts w:eastAsiaTheme="majorEastAsia" w:cstheme="majorBidi"/>
          <w:lang w:val="fr-FR"/>
        </w:rPr>
        <w:t>armoise blanche</w:t>
      </w:r>
      <w:r w:rsidRPr="00664D0A">
        <w:rPr>
          <w:lang w:val="fr-FR"/>
        </w:rPr>
        <w:t xml:space="preserve"> ou </w:t>
      </w:r>
      <w:r w:rsidRPr="00664D0A">
        <w:rPr>
          <w:rStyle w:val="Strong"/>
          <w:rFonts w:eastAsiaTheme="majorEastAsia" w:cstheme="majorBidi"/>
          <w:lang w:val="fr-FR"/>
        </w:rPr>
        <w:t>white wormwood</w:t>
      </w:r>
      <w:r w:rsidRPr="00664D0A">
        <w:rPr>
          <w:lang w:val="fr-FR"/>
        </w:rPr>
        <w:t xml:space="preserve">) est une plante médicinale appartenant au règne Plantae, </w:t>
      </w:r>
      <w:proofErr w:type="gramStart"/>
      <w:r w:rsidRPr="00664D0A">
        <w:rPr>
          <w:lang w:val="fr-FR"/>
        </w:rPr>
        <w:t>embranchement:</w:t>
      </w:r>
      <w:proofErr w:type="gramEnd"/>
      <w:r w:rsidRPr="00664D0A">
        <w:rPr>
          <w:lang w:val="fr-FR"/>
        </w:rPr>
        <w:t xml:space="preserve"> Magnoliophyta, ordre: Asterales et famille: des Asteraceae. Il s’agit d’un sous-arbrisseau vivace ; elle est </w:t>
      </w:r>
      <w:proofErr w:type="gramStart"/>
      <w:r w:rsidRPr="00664D0A">
        <w:rPr>
          <w:lang w:val="fr-FR"/>
        </w:rPr>
        <w:t>répandu</w:t>
      </w:r>
      <w:proofErr w:type="gramEnd"/>
      <w:r w:rsidRPr="00664D0A">
        <w:rPr>
          <w:lang w:val="fr-FR"/>
        </w:rPr>
        <w:t xml:space="preserve"> dans les régions Afrique du Nord  </w:t>
      </w:r>
    </w:p>
    <w:p w14:paraId="3EDEDB76" w14:textId="77777777" w:rsidR="00664D0A" w:rsidRPr="00664D0A" w:rsidRDefault="00664D0A" w:rsidP="00B139C3">
      <w:pPr>
        <w:rPr>
          <w:lang w:val="fr-FR"/>
        </w:rPr>
      </w:pPr>
      <w:proofErr w:type="gramStart"/>
      <w:r w:rsidRPr="00664D0A">
        <w:rPr>
          <w:lang w:val="fr-FR"/>
        </w:rPr>
        <w:t>cette</w:t>
      </w:r>
      <w:proofErr w:type="gramEnd"/>
      <w:r w:rsidRPr="00664D0A">
        <w:rPr>
          <w:lang w:val="fr-FR"/>
        </w:rPr>
        <w:t xml:space="preserve"> plante se distingue, sur le plan morphologique, par des petits capitules regroupe des fleurs jaunâtres, et des feuilles découpées sur un port buissonnant à teinte grisâtre. Ces caractéristiques peuvent l’aider à supporter des conditions de sécheresse. </w:t>
      </w:r>
      <w:proofErr w:type="gramStart"/>
      <w:r w:rsidRPr="00664D0A">
        <w:rPr>
          <w:lang w:val="fr-FR"/>
        </w:rPr>
        <w:t>elle</w:t>
      </w:r>
      <w:proofErr w:type="gramEnd"/>
      <w:r w:rsidRPr="00664D0A">
        <w:rPr>
          <w:lang w:val="fr-FR"/>
        </w:rPr>
        <w:t xml:space="preserve"> est également connue par une odeur intense et particulièrement marquée </w:t>
      </w:r>
    </w:p>
    <w:p w14:paraId="06961204" w14:textId="77777777" w:rsidR="00664D0A" w:rsidRPr="00664D0A" w:rsidRDefault="00664D0A" w:rsidP="00B139C3">
      <w:pPr>
        <w:rPr>
          <w:lang w:val="fr-FR"/>
        </w:rPr>
      </w:pPr>
      <w:r w:rsidRPr="00664D0A">
        <w:rPr>
          <w:lang w:val="fr-FR"/>
        </w:rPr>
        <w:t>.</w:t>
      </w:r>
      <w:r w:rsidRPr="00664D0A">
        <w:rPr>
          <w:noProof/>
          <w:lang w:val="fr-FR"/>
        </w:rPr>
        <w:t xml:space="preserve"> </w:t>
      </w:r>
      <w:r w:rsidRPr="00E71797">
        <w:rPr>
          <w:noProof/>
          <w:lang w:val="fr-FR" w:eastAsia="fr-FR"/>
        </w:rPr>
        <w:drawing>
          <wp:inline distT="0" distB="0" distL="0" distR="0" wp14:anchorId="33DE9063" wp14:editId="7C55EDAB">
            <wp:extent cx="3780644" cy="2520000"/>
            <wp:effectExtent l="95250" t="38100" r="29356" b="70800"/>
            <wp:docPr id="63" name="Image 1" descr="Artemisia herba-al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emisia herba-alba.jpg"/>
                    <pic:cNvPicPr/>
                  </pic:nvPicPr>
                  <pic:blipFill>
                    <a:blip r:embed="rId26" cstate="print"/>
                    <a:stretch>
                      <a:fillRect/>
                    </a:stretch>
                  </pic:blipFill>
                  <pic:spPr>
                    <a:xfrm>
                      <a:off x="0" y="0"/>
                      <a:ext cx="3780644" cy="252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63DD641" w14:textId="6F7C80A4" w:rsidR="00664D0A" w:rsidRPr="00F96B82" w:rsidRDefault="00664D0A" w:rsidP="00B139C3">
      <w:pPr>
        <w:rPr>
          <w:lang w:val="fr-FR"/>
        </w:rPr>
      </w:pPr>
      <w:bookmarkStart w:id="99" w:name="_Toc229617299"/>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9</w:t>
      </w:r>
      <w:r>
        <w:rPr>
          <w:noProof/>
        </w:rPr>
        <w:fldChar w:fldCharType="end"/>
      </w:r>
      <w:r w:rsidRPr="00F96B82">
        <w:rPr>
          <w:lang w:val="fr-FR"/>
        </w:rPr>
        <w:t>: Artemisia herba-alba</w:t>
      </w:r>
      <w:bookmarkEnd w:id="99"/>
    </w:p>
    <w:p w14:paraId="4D515B4C" w14:textId="1018466B" w:rsidR="00664D0A" w:rsidRPr="00664D0A" w:rsidRDefault="00664D0A" w:rsidP="00116A61">
      <w:pPr>
        <w:rPr>
          <w:lang w:val="fr-FR"/>
        </w:rPr>
      </w:pPr>
      <w:r w:rsidRPr="00664D0A">
        <w:rPr>
          <w:lang w:val="fr-FR"/>
        </w:rPr>
        <w:t xml:space="preserve"> </w:t>
      </w:r>
      <w:proofErr w:type="gramStart"/>
      <w:r w:rsidRPr="00664D0A">
        <w:rPr>
          <w:lang w:val="fr-FR"/>
        </w:rPr>
        <w:t>sur</w:t>
      </w:r>
      <w:proofErr w:type="gramEnd"/>
      <w:r w:rsidRPr="00664D0A">
        <w:rPr>
          <w:lang w:val="fr-FR"/>
        </w:rPr>
        <w:t xml:space="preserve"> le plan chimique, elle est riche en métabolites, en particulier en huiles essentielles contenant notamment la thuyone et le camphre, ainsi qu’en flavonoïdes, tanins, coumarines et autres composés phénoliques,  cette plante était traditionnellement employée pour des troubles digestifs, surtout pour leur effets antispasmodiques, anti-inflammatoires et antalgiques. et pour ses effets antidiabétiques, différentes études expérimentales menées sur des modèles animaux  suggèrent qu’Artemisia herba-alba pourrait participer à une baisse de la glycémie, à une meilleure sensibilité à l’insuline, et à une diminution du stress oxydatif grâce à une activité antioxydante, avec, possiblement, un effet protecteur au niveau du pancréas</w:t>
      </w:r>
      <w:r w:rsidR="00116A61">
        <w:rPr>
          <w:lang w:val="fr-FR"/>
        </w:rPr>
        <w:t xml:space="preserve"> </w:t>
      </w:r>
      <w:r w:rsidR="00116A61">
        <w:rPr>
          <w:lang w:val="fr-FR"/>
        </w:rPr>
        <w:fldChar w:fldCharType="begin"/>
      </w:r>
      <w:r w:rsidR="00116A61">
        <w:rPr>
          <w:lang w:val="fr-FR"/>
        </w:rPr>
        <w:instrText xml:space="preserve"> ADDIN ZOTERO_ITEM CSL_CITATION {"citationID":"Lg6CI8t1","properties":{"unsorted":false,"formattedCitation":"(119)","plainCitation":"(119)","noteIndex":0},"citationItems":[{"id":2,"uris":["http://zotero.org/users/local/KRApiUMP/items/FM8YVZCD"],"itemData":{"id":2,"type":"article-journal","abstract":"Diabetes mellitus is a debilitating and often life-threatening disease with increasing incidence in rural populations throughout the world. A scientific investigation of traditional herbal remedies for diabetes may provide valuable leads for the development of alternative drugs and therapeutic strategies. Alternatives are clearly needed because of the inability of current therapies to control all of the pathological aspects of diabetes, and the high cost and poor availability of current therapies for many rural populations, particularly in developing countries. This review provides information on more than 1200 species of plants reported to have been used to treat diabetes and/or investigated for antidiabetic activity, with a detailed review of representative plants and some of great diversity of plant constituents with hypoglycemic activity, their mechanisms of action, methods for the bioassay of hypoglycemic agents, potential toxicity problems, and promising directions for future research on antidiabetic plants. The objective of this work is to provide a starting point for programs leading to the development of indigenous botanical resources as inexpensive sources for standardized crude or purified antidiabetic drugs, and for the discovery of lead compounds for novel hypoglycemic drug development.","container-title":"Phytomedicine","DOI":"10.1016/S0944-7113(11)80059-0","ISSN":"0944-7113","issue":"2","journalAbbreviation":"Phytomedicine","page":"137-189","source":"ScienceDirect","title":"Antidiabetic plants and their active constituents","volume":"2","author":[{"family":"Marles","given":"R. J."},{"family":"Farnsworth","given":"N. R."}],"issued":{"date-parts":[["1995",10,1]]}}}],"schema":"https://github.com/citation-style-language/schema/raw/master/csl-citation.json"} </w:instrText>
      </w:r>
      <w:r w:rsidR="00116A61">
        <w:rPr>
          <w:lang w:val="fr-FR"/>
        </w:rPr>
        <w:fldChar w:fldCharType="separate"/>
      </w:r>
      <w:r w:rsidR="00116A61" w:rsidRPr="00116A61">
        <w:rPr>
          <w:rFonts w:ascii="Times New Roman" w:hAnsi="Times New Roman" w:cs="Times New Roman"/>
          <w:lang w:val="fr-FR"/>
        </w:rPr>
        <w:t>(119)</w:t>
      </w:r>
      <w:r w:rsidR="00116A61">
        <w:rPr>
          <w:lang w:val="fr-FR"/>
        </w:rPr>
        <w:fldChar w:fldCharType="end"/>
      </w:r>
    </w:p>
    <w:p w14:paraId="45284ABA" w14:textId="77777777" w:rsidR="00664D0A" w:rsidRPr="00664D0A" w:rsidRDefault="00664D0A" w:rsidP="00B139C3">
      <w:pPr>
        <w:rPr>
          <w:lang w:val="fr-FR"/>
        </w:rPr>
      </w:pPr>
    </w:p>
    <w:p w14:paraId="35C78C6D" w14:textId="77777777" w:rsidR="00664D0A" w:rsidRPr="00664D0A" w:rsidRDefault="00664D0A" w:rsidP="00B139C3">
      <w:pPr>
        <w:rPr>
          <w:rStyle w:val="Emphasis"/>
          <w:rFonts w:eastAsiaTheme="majorEastAsia" w:cstheme="majorBidi"/>
          <w:b/>
          <w:bCs/>
          <w:i w:val="0"/>
          <w:iCs w:val="0"/>
          <w:sz w:val="28"/>
          <w:szCs w:val="28"/>
          <w:lang w:val="fr-FR"/>
        </w:rPr>
      </w:pPr>
    </w:p>
    <w:p w14:paraId="4362F6AF" w14:textId="77777777" w:rsidR="00664D0A" w:rsidRPr="00664D0A" w:rsidRDefault="00664D0A" w:rsidP="00665FE5">
      <w:pPr>
        <w:pStyle w:val="Heading3"/>
      </w:pPr>
      <w:r w:rsidRPr="00664D0A">
        <w:rPr>
          <w:rStyle w:val="Emphasis"/>
          <w:rFonts w:eastAsiaTheme="majorEastAsia" w:cstheme="majorBidi"/>
          <w:b w:val="0"/>
          <w:bCs w:val="0"/>
          <w:i w:val="0"/>
          <w:iCs w:val="0"/>
          <w:sz w:val="28"/>
          <w:szCs w:val="28"/>
        </w:rPr>
        <w:lastRenderedPageBreak/>
        <w:t>1-1-2/Matricaria chamomilla</w:t>
      </w:r>
      <w:r w:rsidRPr="00664D0A">
        <w:t xml:space="preserve"> (</w:t>
      </w:r>
      <w:r w:rsidRPr="00E71797">
        <w:rPr>
          <w:rtl/>
        </w:rPr>
        <w:t>البابونج</w:t>
      </w:r>
      <w:r w:rsidRPr="00664D0A">
        <w:t>)</w:t>
      </w:r>
    </w:p>
    <w:p w14:paraId="469E5D2F" w14:textId="77777777" w:rsidR="00664D0A" w:rsidRPr="00664D0A" w:rsidRDefault="00664D0A" w:rsidP="00B139C3">
      <w:pPr>
        <w:rPr>
          <w:lang w:val="fr-FR"/>
        </w:rPr>
      </w:pPr>
      <w:r w:rsidRPr="00664D0A">
        <w:rPr>
          <w:lang w:val="fr-FR"/>
        </w:rPr>
        <w:t xml:space="preserve">Matricaria chamomilla, plus souvent désignée sous le nom de </w:t>
      </w:r>
      <w:r w:rsidRPr="00E71797">
        <w:rPr>
          <w:rtl/>
        </w:rPr>
        <w:t>بابونج</w:t>
      </w:r>
      <w:r w:rsidRPr="00664D0A">
        <w:rPr>
          <w:lang w:val="fr-FR"/>
        </w:rPr>
        <w:t xml:space="preserve"> ou de camomille, est une </w:t>
      </w:r>
      <w:proofErr w:type="gramStart"/>
      <w:r w:rsidRPr="00664D0A">
        <w:rPr>
          <w:lang w:val="fr-FR"/>
        </w:rPr>
        <w:t>plante</w:t>
      </w:r>
      <w:proofErr w:type="gramEnd"/>
      <w:r w:rsidRPr="00664D0A">
        <w:rPr>
          <w:lang w:val="fr-FR"/>
        </w:rPr>
        <w:t xml:space="preserve"> médicinale de la famille des Asteraceae. C’est une plante herbacée annuelle, très présente en phytothérapie, aussi bien dans les usages traditionnels que dans des approches plus récentes, en raison de ses effets thérapeutiques rapportés.</w:t>
      </w:r>
    </w:p>
    <w:p w14:paraId="4469A419" w14:textId="77777777" w:rsidR="00664D0A" w:rsidRPr="00664D0A" w:rsidRDefault="00664D0A" w:rsidP="00B139C3">
      <w:pPr>
        <w:rPr>
          <w:lang w:val="fr-FR"/>
        </w:rPr>
      </w:pPr>
      <w:proofErr w:type="gramStart"/>
      <w:r w:rsidRPr="00664D0A">
        <w:rPr>
          <w:lang w:val="fr-FR"/>
        </w:rPr>
        <w:t>cette</w:t>
      </w:r>
      <w:proofErr w:type="gramEnd"/>
      <w:r w:rsidRPr="00664D0A">
        <w:rPr>
          <w:lang w:val="fr-FR"/>
        </w:rPr>
        <w:t xml:space="preserve"> plante se distingue, sur le plan morphologique,  par des petits capitules regroupe des fleurs chacun a une tige plutôt fine, généralement ramifiée avec des feuilles nettement divisées avec des ligules blanches disposées autour d’un centre jaune . Elle dégage une odeur douce liée à la présence de substances aromatiques. </w:t>
      </w:r>
    </w:p>
    <w:p w14:paraId="23C92CA0" w14:textId="77777777" w:rsidR="00664D0A" w:rsidRDefault="00664D0A" w:rsidP="00B139C3">
      <w:r w:rsidRPr="00E71797">
        <w:rPr>
          <w:noProof/>
          <w:lang w:val="fr-FR" w:eastAsia="fr-FR"/>
        </w:rPr>
        <w:drawing>
          <wp:inline distT="0" distB="0" distL="0" distR="0" wp14:anchorId="078BB2CF" wp14:editId="15576214">
            <wp:extent cx="3503338" cy="2628000"/>
            <wp:effectExtent l="95250" t="19050" r="59012" b="39000"/>
            <wp:docPr id="65" name="Image 0" descr="Matricaria_recutita_0.1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caria_recutita_0.1_R.jpg"/>
                    <pic:cNvPicPr/>
                  </pic:nvPicPr>
                  <pic:blipFill>
                    <a:blip r:embed="rId27" cstate="print"/>
                    <a:stretch>
                      <a:fillRect/>
                    </a:stretch>
                  </pic:blipFill>
                  <pic:spPr>
                    <a:xfrm>
                      <a:off x="0" y="0"/>
                      <a:ext cx="3503338" cy="2628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77C1ABEC" w14:textId="23AC5507" w:rsidR="00664D0A" w:rsidRPr="00F96B82" w:rsidRDefault="00664D0A" w:rsidP="00B139C3">
      <w:pPr>
        <w:rPr>
          <w:lang w:val="fr-FR"/>
        </w:rPr>
      </w:pPr>
      <w:bookmarkStart w:id="100" w:name="_Toc229617300"/>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10</w:t>
      </w:r>
      <w:r>
        <w:rPr>
          <w:noProof/>
        </w:rPr>
        <w:fldChar w:fldCharType="end"/>
      </w:r>
      <w:r w:rsidRPr="00F96B82">
        <w:rPr>
          <w:lang w:val="fr-FR"/>
        </w:rPr>
        <w:t>: Matricaria chamomilla</w:t>
      </w:r>
      <w:bookmarkEnd w:id="100"/>
    </w:p>
    <w:p w14:paraId="3D863B79" w14:textId="7713CD92" w:rsidR="00664D0A" w:rsidRPr="00B91DCD" w:rsidRDefault="00664D0A" w:rsidP="00B91DCD">
      <w:pPr>
        <w:rPr>
          <w:lang w:val="fr-FR"/>
        </w:rPr>
      </w:pPr>
      <w:r w:rsidRPr="00664D0A">
        <w:rPr>
          <w:lang w:val="fr-FR"/>
        </w:rPr>
        <w:t>Sur le plan chimique, elle contient surtout des flavonoïdes, dont l’apigénine, et des huiles essentielles. Parmi leurs constituants, on retrouve notamment l’</w:t>
      </w:r>
      <w:r w:rsidRPr="00E71797">
        <w:t>α</w:t>
      </w:r>
      <w:r w:rsidRPr="00664D0A">
        <w:rPr>
          <w:lang w:val="fr-FR"/>
        </w:rPr>
        <w:t xml:space="preserve">-bisabolol et  le chamazulène ,  cette plante était traditionnellement employée comme un sédatif  léger, un soutien digestif ( par leur effet anti-inflammatoire et un antispasmodique) et pour ses effets antidiabétiques plusieurs travaux indiquent que Matricaria chamomilla pourrait présenter une activité antioxydante modérée, susceptible de participer à la diminution du stress oxydatif associé au diabète  et donc </w:t>
      </w:r>
      <w:r w:rsidR="00B91DCD">
        <w:rPr>
          <w:lang w:val="fr-FR"/>
        </w:rPr>
        <w:t>une amelioration de la glycemie</w:t>
      </w:r>
      <w:r w:rsidR="00116A61">
        <w:rPr>
          <w:lang w:val="fr-FR"/>
        </w:rPr>
        <w:t xml:space="preserve"> (119)</w:t>
      </w:r>
    </w:p>
    <w:p w14:paraId="61A471C3" w14:textId="77777777" w:rsidR="00664D0A" w:rsidRPr="00664D0A" w:rsidRDefault="00664D0A" w:rsidP="00665FE5">
      <w:pPr>
        <w:pStyle w:val="Heading3"/>
      </w:pPr>
      <w:r w:rsidRPr="00664D0A">
        <w:t>1-1-3/Centaurea acaulis (Centaurée / Guernina sauvage)</w:t>
      </w:r>
    </w:p>
    <w:p w14:paraId="7CAD39C0" w14:textId="77777777" w:rsidR="00664D0A" w:rsidRPr="00664D0A" w:rsidRDefault="00664D0A" w:rsidP="00B139C3">
      <w:pPr>
        <w:rPr>
          <w:rFonts w:eastAsia="Times New Roman"/>
          <w:lang w:val="fr-FR" w:eastAsia="fr-FR"/>
        </w:rPr>
      </w:pPr>
      <w:proofErr w:type="gramStart"/>
      <w:r w:rsidRPr="00664D0A">
        <w:rPr>
          <w:lang w:val="fr-FR"/>
        </w:rPr>
        <w:t>plus</w:t>
      </w:r>
      <w:proofErr w:type="gramEnd"/>
      <w:r w:rsidRPr="00664D0A">
        <w:rPr>
          <w:lang w:val="fr-FR"/>
        </w:rPr>
        <w:t xml:space="preserve"> souvent désignée sous le nom de</w:t>
      </w:r>
      <w:r w:rsidRPr="00664D0A">
        <w:rPr>
          <w:rFonts w:eastAsia="Times New Roman"/>
          <w:sz w:val="27"/>
          <w:szCs w:val="27"/>
          <w:lang w:val="fr-FR" w:eastAsia="fr-FR"/>
        </w:rPr>
        <w:t xml:space="preserve">(Centaurée / Guernina sauvage) </w:t>
      </w:r>
      <w:r w:rsidRPr="00E71797">
        <w:rPr>
          <w:rFonts w:eastAsia="Times New Roman"/>
          <w:sz w:val="27"/>
          <w:szCs w:val="27"/>
          <w:rtl/>
          <w:lang w:eastAsia="fr-FR" w:bidi="ar-DZ"/>
        </w:rPr>
        <w:t>قرنينة</w:t>
      </w:r>
      <w:r w:rsidRPr="00664D0A">
        <w:rPr>
          <w:rFonts w:eastAsia="Times New Roman"/>
          <w:sz w:val="27"/>
          <w:szCs w:val="27"/>
          <w:lang w:val="fr-FR" w:eastAsia="fr-FR" w:bidi="ar-DZ"/>
        </w:rPr>
        <w:t xml:space="preserve"> ;</w:t>
      </w:r>
      <w:r w:rsidRPr="00664D0A">
        <w:rPr>
          <w:lang w:val="fr-FR"/>
        </w:rPr>
        <w:t>est une plante médicinale de la famille des Asteraceae</w:t>
      </w:r>
      <w:r w:rsidRPr="00664D0A">
        <w:rPr>
          <w:rFonts w:eastAsia="Times New Roman"/>
          <w:sz w:val="27"/>
          <w:szCs w:val="27"/>
          <w:lang w:val="fr-FR" w:eastAsia="fr-FR" w:bidi="ar-DZ"/>
        </w:rPr>
        <w:t xml:space="preserve"> </w:t>
      </w:r>
      <w:r w:rsidRPr="00664D0A">
        <w:rPr>
          <w:lang w:val="fr-FR"/>
        </w:rPr>
        <w:t>très présente dans les usages traditionnels que dans des approches plus récentes</w:t>
      </w:r>
      <w:r w:rsidRPr="00664D0A">
        <w:rPr>
          <w:rFonts w:eastAsia="Times New Roman"/>
          <w:sz w:val="27"/>
          <w:szCs w:val="27"/>
          <w:lang w:val="fr-FR" w:eastAsia="fr-FR" w:bidi="ar-DZ"/>
        </w:rPr>
        <w:t xml:space="preserve"> </w:t>
      </w:r>
      <w:r w:rsidRPr="00664D0A">
        <w:rPr>
          <w:lang w:val="fr-FR"/>
        </w:rPr>
        <w:t>sur le plan morphologique, cest une  plante,</w:t>
      </w:r>
      <w:r w:rsidRPr="00664D0A">
        <w:rPr>
          <w:rFonts w:eastAsia="Times New Roman"/>
          <w:lang w:val="fr-FR" w:eastAsia="fr-FR"/>
        </w:rPr>
        <w:t xml:space="preserve"> herbacée sans tige apparente (acaule), avec des feuilles en rosette plaquées au sol et une grosse fleur centrale jaune ou orangée.</w:t>
      </w:r>
    </w:p>
    <w:p w14:paraId="1C8D7AE1" w14:textId="77777777" w:rsidR="00664D0A" w:rsidRDefault="00664D0A" w:rsidP="00B139C3">
      <w:r w:rsidRPr="00E71797">
        <w:rPr>
          <w:noProof/>
          <w:lang w:val="fr-FR" w:eastAsia="fr-FR"/>
        </w:rPr>
        <w:lastRenderedPageBreak/>
        <w:drawing>
          <wp:inline distT="0" distB="0" distL="0" distR="0" wp14:anchorId="545A598E" wp14:editId="292A7095">
            <wp:extent cx="3456000" cy="2592000"/>
            <wp:effectExtent l="95250" t="19050" r="49200" b="55950"/>
            <wp:docPr id="66" name="Image 4" descr="How To Grow Centaurea acaulis | Eart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Grow Centaurea acaulis | EarthOne"/>
                    <pic:cNvPicPr>
                      <a:picLocks noChangeAspect="1" noChangeArrowheads="1"/>
                    </pic:cNvPicPr>
                  </pic:nvPicPr>
                  <pic:blipFill>
                    <a:blip r:embed="rId28" cstate="print"/>
                    <a:srcRect/>
                    <a:stretch>
                      <a:fillRect/>
                    </a:stretch>
                  </pic:blipFill>
                  <pic:spPr bwMode="auto">
                    <a:xfrm>
                      <a:off x="0" y="0"/>
                      <a:ext cx="3456000" cy="2592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7AAFD497" w14:textId="29CE4F08" w:rsidR="00664D0A" w:rsidRPr="00F96B82" w:rsidRDefault="00664D0A" w:rsidP="00B139C3">
      <w:pPr>
        <w:rPr>
          <w:rFonts w:eastAsia="Times New Roman"/>
          <w:lang w:val="fr-FR" w:eastAsia="fr-FR"/>
        </w:rPr>
      </w:pPr>
      <w:bookmarkStart w:id="101" w:name="_Toc229617301"/>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11</w:t>
      </w:r>
      <w:r>
        <w:rPr>
          <w:noProof/>
        </w:rPr>
        <w:fldChar w:fldCharType="end"/>
      </w:r>
      <w:r w:rsidRPr="00F96B82">
        <w:rPr>
          <w:lang w:val="fr-FR"/>
        </w:rPr>
        <w:t>: Centaurea acaulis</w:t>
      </w:r>
      <w:bookmarkEnd w:id="101"/>
    </w:p>
    <w:p w14:paraId="0D5BC619" w14:textId="56CAA0E5" w:rsidR="00664D0A" w:rsidRPr="00B91DCD" w:rsidRDefault="00664D0A" w:rsidP="00116A61">
      <w:pPr>
        <w:rPr>
          <w:rFonts w:eastAsia="Times New Roman"/>
          <w:lang w:val="fr-FR" w:eastAsia="fr-FR"/>
        </w:rPr>
      </w:pPr>
      <w:r w:rsidRPr="00664D0A">
        <w:rPr>
          <w:lang w:val="fr-FR"/>
        </w:rPr>
        <w:t xml:space="preserve">Sur le plan chimique, elle contient surtout </w:t>
      </w:r>
      <w:r w:rsidRPr="00664D0A">
        <w:rPr>
          <w:rFonts w:eastAsia="Times New Roman"/>
          <w:lang w:val="fr-FR" w:eastAsia="fr-FR"/>
        </w:rPr>
        <w:t xml:space="preserve">Lactones sesquiterpéniques et flavonoïdes. </w:t>
      </w:r>
      <w:proofErr w:type="gramStart"/>
      <w:r w:rsidRPr="00664D0A">
        <w:rPr>
          <w:lang w:val="fr-FR"/>
        </w:rPr>
        <w:t>cette</w:t>
      </w:r>
      <w:proofErr w:type="gramEnd"/>
      <w:r w:rsidRPr="00664D0A">
        <w:rPr>
          <w:lang w:val="fr-FR"/>
        </w:rPr>
        <w:t xml:space="preserve"> plante était traditionnellement employée </w:t>
      </w:r>
      <w:r w:rsidRPr="00664D0A">
        <w:rPr>
          <w:rFonts w:eastAsia="Times New Roman"/>
          <w:lang w:val="fr-FR" w:eastAsia="fr-FR"/>
        </w:rPr>
        <w:t xml:space="preserve">pour purifier le sang et traiter les affections hépatiques. </w:t>
      </w:r>
      <w:r w:rsidRPr="00664D0A">
        <w:rPr>
          <w:lang w:val="fr-FR"/>
        </w:rPr>
        <w:t>et pour ses effets antidiabétiques</w:t>
      </w:r>
      <w:r w:rsidRPr="00664D0A">
        <w:rPr>
          <w:rFonts w:eastAsia="Times New Roman"/>
          <w:lang w:val="fr-FR" w:eastAsia="fr-FR"/>
        </w:rPr>
        <w:t>Mécanisme antidiabétique : Elle possède des propriétés anti-hyperglycémiantes en protégeant les îlots de Langerhans du pancréas et en régulant le métabolisme lipidique souvent altéré chez le diabétique</w:t>
      </w:r>
      <w:r w:rsidR="00B91DCD">
        <w:rPr>
          <w:rFonts w:eastAsia="Times New Roman"/>
          <w:lang w:val="fr-FR" w:eastAsia="fr-FR"/>
        </w:rPr>
        <w:t xml:space="preserve">  </w:t>
      </w:r>
      <w:r w:rsidR="00116A61">
        <w:rPr>
          <w:rFonts w:eastAsia="Times New Roman"/>
          <w:lang w:val="fr-FR" w:eastAsia="fr-FR"/>
        </w:rPr>
        <w:fldChar w:fldCharType="begin"/>
      </w:r>
      <w:r w:rsidR="00116A61">
        <w:rPr>
          <w:rFonts w:eastAsia="Times New Roman"/>
          <w:lang w:val="fr-FR" w:eastAsia="fr-FR"/>
        </w:rPr>
        <w:instrText xml:space="preserve"> ADDIN ZOTERO_ITEM CSL_CITATION {"citationID":"OGiEHkvB","properties":{"unsorted":false,"formattedCitation":"(120)","plainCitation":"(120)","noteIndex":0},"citationItems":[{"id":1,"uris":["http://zotero.org/users/local/KRApiUMP/items/G4ZR8YAZ"],"itemData":{"id":1,"type":"article-journal","abstract":"Diabetes mellitus is one of the major health problems in the world, the incidence and associated mortality are increasing. Inadequate regulation of the blood sugar imposes serious consequences for health. Conventional antidiabetic drugs are effective, however, also with unavoidable side effects. On the other hand, medicinal plants may act as an alternative source of antidiabetic agents. Examples of medicinal plants with antidiabetic potential are described, with focuses on preclinical and clinical studies. The beneficial potential of each plant matrix is given by the combined and concerted action of their profile of biologically active compounds.","container-title":"Biomolecules","DOI":"10.3390/biom9100551","ISSN":"2218-273X","issue":"10","language":"en","license":"http://creativecommons.org/licenses/by/3.0/","page":"551","publisher":"Multidisciplinary Digital Publishing Institute","source":"www.mdpi.com","title":"Antidiabetic Potential of Medicinal Plants and Their Active Components","volume":"9","author":[{"family":"Salehi","given":"Bahare"},{"family":"Ata","given":"Athar"},{"family":"V. Anil Kumar","given":"Nanjangud"},{"family":"Sharopov","given":"Farukh"},{"family":"Ramírez-Alarcón","given":"Karina"},{"family":"Ruiz-Ortega","given":"Ana"},{"family":"Abdulmajid Ayatollahi","given":"Seyed"},{"family":"Valere Tsouh Fokou","given":"Patrick"},{"family":"Kobarfard","given":"Farzad"},{"family":"Amiruddin Zakaria","given":"Zainul"},{"family":"Iriti","given":"Marcello"},{"family":"Taheri","given":"Yasaman"},{"family":"Martorell","given":"Miquel"},{"family":"Sureda","given":"Antoni"},{"family":"N. Setzer","given":"William"},{"family":"Durazzo","given":"Alessandra"},{"family":"Lucarini","given":"Massimo"},{"family":"Santini","given":"Antonello"},{"family":"Capasso","given":"Raffaele"},{"family":"Adrian Ostrander","given":"Elise"},{"family":"Rahman","given":"Atta","non-dropping-particle":"-ur-"},{"family":"Iqbal Choudhary","given":"Muhammad"},{"family":"C. Cho","given":"William"},{"family":"Sharifi-Rad","given":"Javad"}],"issued":{"date-parts":[["2019",10]]}}}],"schema":"https://github.com/citation-style-language/schema/raw/master/csl-citation.json"} </w:instrText>
      </w:r>
      <w:r w:rsidR="00116A61">
        <w:rPr>
          <w:rFonts w:eastAsia="Times New Roman"/>
          <w:lang w:val="fr-FR" w:eastAsia="fr-FR"/>
        </w:rPr>
        <w:fldChar w:fldCharType="separate"/>
      </w:r>
      <w:r w:rsidR="00116A61" w:rsidRPr="00116A61">
        <w:rPr>
          <w:rFonts w:ascii="Times New Roman" w:hAnsi="Times New Roman" w:cs="Times New Roman"/>
          <w:lang w:val="fr-FR"/>
        </w:rPr>
        <w:t>(120)</w:t>
      </w:r>
      <w:r w:rsidR="00116A61">
        <w:rPr>
          <w:rFonts w:eastAsia="Times New Roman"/>
          <w:lang w:val="fr-FR" w:eastAsia="fr-FR"/>
        </w:rPr>
        <w:fldChar w:fldCharType="end"/>
      </w:r>
    </w:p>
    <w:p w14:paraId="14CB64AF" w14:textId="77777777" w:rsidR="00664D0A" w:rsidRPr="00664D0A" w:rsidRDefault="00664D0A" w:rsidP="00665FE5">
      <w:pPr>
        <w:pStyle w:val="Heading3"/>
      </w:pPr>
      <w:r w:rsidRPr="00664D0A">
        <w:t>1-1-4/ Silybum marianum (Chardon-Marie)</w:t>
      </w:r>
    </w:p>
    <w:p w14:paraId="59E23882" w14:textId="77777777" w:rsidR="00664D0A" w:rsidRPr="00E71797" w:rsidRDefault="00664D0A" w:rsidP="00B139C3">
      <w:pPr>
        <w:rPr>
          <w:rFonts w:eastAsia="Times New Roman"/>
          <w:lang w:eastAsia="fr-FR"/>
        </w:rPr>
      </w:pPr>
      <w:proofErr w:type="gramStart"/>
      <w:r w:rsidRPr="00664D0A">
        <w:rPr>
          <w:lang w:val="fr-FR"/>
        </w:rPr>
        <w:t>sur</w:t>
      </w:r>
      <w:proofErr w:type="gramEnd"/>
      <w:r w:rsidRPr="00664D0A">
        <w:rPr>
          <w:lang w:val="fr-FR"/>
        </w:rPr>
        <w:t xml:space="preserve"> le plan morphologique, cest</w:t>
      </w:r>
      <w:r w:rsidRPr="00664D0A">
        <w:rPr>
          <w:rFonts w:eastAsia="Times New Roman"/>
          <w:lang w:val="fr-FR" w:eastAsia="fr-FR"/>
        </w:rPr>
        <w:t xml:space="preserve">  une Grande plante épineuse aux feuilles marbrées de blanc le long des nervures. </w:t>
      </w:r>
      <w:r w:rsidRPr="00E71797">
        <w:rPr>
          <w:rFonts w:eastAsia="Times New Roman"/>
          <w:lang w:eastAsia="fr-FR"/>
        </w:rPr>
        <w:t>Les capitules floraux sont pourpres</w:t>
      </w:r>
    </w:p>
    <w:p w14:paraId="569EB023" w14:textId="77777777" w:rsidR="00664D0A" w:rsidRDefault="00664D0A" w:rsidP="00B139C3">
      <w:r w:rsidRPr="00E71797">
        <w:rPr>
          <w:noProof/>
          <w:lang w:val="fr-FR" w:eastAsia="fr-FR"/>
        </w:rPr>
        <w:drawing>
          <wp:inline distT="0" distB="0" distL="0" distR="0" wp14:anchorId="5C2DCF5B" wp14:editId="6478BDFB">
            <wp:extent cx="4591050" cy="2582466"/>
            <wp:effectExtent l="133350" t="19050" r="57150" b="46434"/>
            <wp:docPr id="68" name="Image 1" descr="Silybum marianum / Chardon-Ma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lybum marianum / Chardon-Marie"/>
                    <pic:cNvPicPr>
                      <a:picLocks noChangeAspect="1" noChangeArrowheads="1"/>
                    </pic:cNvPicPr>
                  </pic:nvPicPr>
                  <pic:blipFill>
                    <a:blip r:embed="rId29" cstate="print"/>
                    <a:srcRect/>
                    <a:stretch>
                      <a:fillRect/>
                    </a:stretch>
                  </pic:blipFill>
                  <pic:spPr bwMode="auto">
                    <a:xfrm>
                      <a:off x="0" y="0"/>
                      <a:ext cx="4593751" cy="25839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20D8118C" w14:textId="7601766C" w:rsidR="00664D0A" w:rsidRPr="00F96B82" w:rsidRDefault="00664D0A" w:rsidP="00B139C3">
      <w:pPr>
        <w:rPr>
          <w:rFonts w:eastAsia="Times New Roman"/>
          <w:lang w:val="fr-FR" w:eastAsia="fr-FR"/>
        </w:rPr>
      </w:pPr>
      <w:bookmarkStart w:id="102" w:name="_Toc229617302"/>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12</w:t>
      </w:r>
      <w:r>
        <w:rPr>
          <w:noProof/>
        </w:rPr>
        <w:fldChar w:fldCharType="end"/>
      </w:r>
      <w:r w:rsidRPr="00F96B82">
        <w:rPr>
          <w:lang w:val="fr-FR"/>
        </w:rPr>
        <w:t>: Silybum marianum (Chardon-Marie)</w:t>
      </w:r>
      <w:bookmarkEnd w:id="102"/>
    </w:p>
    <w:p w14:paraId="76B7BD3E" w14:textId="1AF5D897" w:rsidR="00664D0A" w:rsidRPr="00B91DCD" w:rsidRDefault="00664D0A" w:rsidP="00B91DCD">
      <w:pPr>
        <w:rPr>
          <w:rFonts w:eastAsia="Times New Roman"/>
          <w:lang w:val="fr-FR" w:eastAsia="fr-FR"/>
        </w:rPr>
      </w:pPr>
      <w:r w:rsidRPr="00664D0A">
        <w:rPr>
          <w:lang w:val="fr-FR"/>
        </w:rPr>
        <w:t xml:space="preserve"> Sur le plan chimique, elle contient surtout </w:t>
      </w:r>
      <w:r w:rsidRPr="00664D0A">
        <w:rPr>
          <w:rFonts w:eastAsia="Times New Roman"/>
          <w:lang w:val="fr-FR" w:eastAsia="fr-FR"/>
        </w:rPr>
        <w:t>Le complexe actif est la silymarine (mélange de flavonolignanes).</w:t>
      </w:r>
      <w:r w:rsidRPr="00664D0A">
        <w:rPr>
          <w:lang w:val="fr-FR"/>
        </w:rPr>
        <w:t xml:space="preserve"> </w:t>
      </w:r>
      <w:proofErr w:type="gramStart"/>
      <w:r w:rsidRPr="00664D0A">
        <w:rPr>
          <w:lang w:val="fr-FR"/>
        </w:rPr>
        <w:t>cette</w:t>
      </w:r>
      <w:proofErr w:type="gramEnd"/>
      <w:r w:rsidRPr="00664D0A">
        <w:rPr>
          <w:lang w:val="fr-FR"/>
        </w:rPr>
        <w:t xml:space="preserve"> plante était traditionnellement employée </w:t>
      </w:r>
      <w:r w:rsidRPr="00664D0A">
        <w:rPr>
          <w:rFonts w:eastAsia="Times New Roman"/>
          <w:lang w:val="fr-FR" w:eastAsia="fr-FR"/>
        </w:rPr>
        <w:t xml:space="preserve">pour Le remède de référence pour les troubles du foie (hépatites, cirrhoses). </w:t>
      </w:r>
      <w:proofErr w:type="gramStart"/>
      <w:r w:rsidRPr="00664D0A">
        <w:rPr>
          <w:lang w:val="fr-FR"/>
        </w:rPr>
        <w:t>et</w:t>
      </w:r>
      <w:proofErr w:type="gramEnd"/>
      <w:r w:rsidRPr="00664D0A">
        <w:rPr>
          <w:lang w:val="fr-FR"/>
        </w:rPr>
        <w:t xml:space="preserve"> pour ses effets antidiabétiques </w:t>
      </w:r>
      <w:r w:rsidRPr="00664D0A">
        <w:rPr>
          <w:rFonts w:eastAsia="Times New Roman"/>
          <w:lang w:val="fr-FR" w:eastAsia="fr-FR"/>
        </w:rPr>
        <w:t xml:space="preserve">La silymarine </w:t>
      </w:r>
      <w:r w:rsidRPr="00664D0A">
        <w:rPr>
          <w:rFonts w:eastAsia="Times New Roman"/>
          <w:lang w:val="fr-FR" w:eastAsia="fr-FR"/>
        </w:rPr>
        <w:lastRenderedPageBreak/>
        <w:t>réduit l'insulinorésistance et diminue les taux de glucose sanguin en agissant sur le</w:t>
      </w:r>
      <w:r w:rsidR="00B91DCD">
        <w:rPr>
          <w:rFonts w:eastAsia="Times New Roman"/>
          <w:lang w:val="fr-FR" w:eastAsia="fr-FR"/>
        </w:rPr>
        <w:t xml:space="preserve"> transporteur de glucose GLUT4 .</w:t>
      </w:r>
      <w:r w:rsidR="00116A61">
        <w:rPr>
          <w:rFonts w:eastAsia="Times New Roman"/>
          <w:lang w:val="fr-FR" w:eastAsia="fr-FR"/>
        </w:rPr>
        <w:t>(119)</w:t>
      </w:r>
    </w:p>
    <w:p w14:paraId="01E3EEB6" w14:textId="77777777" w:rsidR="00664D0A" w:rsidRPr="00664D0A" w:rsidRDefault="00664D0A" w:rsidP="00665FE5">
      <w:pPr>
        <w:pStyle w:val="Heading3"/>
      </w:pPr>
      <w:r w:rsidRPr="00664D0A">
        <w:t>1-1-5/ Artemisia campestris (Armoise des champs / Guetoufa)</w:t>
      </w:r>
    </w:p>
    <w:p w14:paraId="204960E9" w14:textId="77777777" w:rsidR="00664D0A" w:rsidRPr="00E71797" w:rsidRDefault="00664D0A" w:rsidP="00B139C3">
      <w:proofErr w:type="gramStart"/>
      <w:r w:rsidRPr="00664D0A">
        <w:rPr>
          <w:lang w:val="fr-FR"/>
        </w:rPr>
        <w:t>sur</w:t>
      </w:r>
      <w:proofErr w:type="gramEnd"/>
      <w:r w:rsidRPr="00664D0A">
        <w:rPr>
          <w:lang w:val="fr-FR"/>
        </w:rPr>
        <w:t xml:space="preserve"> le plan morphologique, cest</w:t>
      </w:r>
      <w:r w:rsidRPr="00664D0A">
        <w:rPr>
          <w:rFonts w:eastAsia="Times New Roman"/>
          <w:lang w:val="fr-FR" w:eastAsia="fr-FR"/>
        </w:rPr>
        <w:t xml:space="preserve">  une  Plante vivace aux tiges rougeâtres et feuilles très découpées, filiformes. </w:t>
      </w:r>
      <w:r w:rsidRPr="00E71797">
        <w:rPr>
          <w:rFonts w:eastAsia="Times New Roman"/>
          <w:lang w:eastAsia="fr-FR"/>
        </w:rPr>
        <w:t>Odeur aromatique forte.</w:t>
      </w:r>
      <w:r w:rsidRPr="00E71797">
        <w:t xml:space="preserve"> </w:t>
      </w:r>
    </w:p>
    <w:p w14:paraId="3A17853E" w14:textId="77777777" w:rsidR="00664D0A" w:rsidRDefault="00664D0A" w:rsidP="00B139C3">
      <w:r w:rsidRPr="00E71797">
        <w:rPr>
          <w:noProof/>
          <w:lang w:val="fr-FR" w:eastAsia="fr-FR"/>
        </w:rPr>
        <w:drawing>
          <wp:inline distT="0" distB="0" distL="0" distR="0" wp14:anchorId="071D43EB" wp14:editId="08C339E8">
            <wp:extent cx="3066858" cy="2664000"/>
            <wp:effectExtent l="95250" t="38100" r="57342" b="60150"/>
            <wp:docPr id="69" name="Image 7" descr="Artemisia campestris (field wormwood): Go Bot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rtemisia campestris (field wormwood): Go Botany"/>
                    <pic:cNvPicPr>
                      <a:picLocks noChangeAspect="1" noChangeArrowheads="1"/>
                    </pic:cNvPicPr>
                  </pic:nvPicPr>
                  <pic:blipFill>
                    <a:blip r:embed="rId30" cstate="print"/>
                    <a:srcRect/>
                    <a:stretch>
                      <a:fillRect/>
                    </a:stretch>
                  </pic:blipFill>
                  <pic:spPr bwMode="auto">
                    <a:xfrm>
                      <a:off x="0" y="0"/>
                      <a:ext cx="3066858" cy="2664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35F67A7" w14:textId="76187BBF" w:rsidR="00664D0A" w:rsidRPr="00F96B82" w:rsidRDefault="00664D0A" w:rsidP="00B139C3">
      <w:pPr>
        <w:rPr>
          <w:lang w:val="fr-FR"/>
        </w:rPr>
      </w:pPr>
      <w:bookmarkStart w:id="103" w:name="_Toc229617303"/>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13</w:t>
      </w:r>
      <w:r>
        <w:rPr>
          <w:noProof/>
        </w:rPr>
        <w:fldChar w:fldCharType="end"/>
      </w:r>
      <w:r w:rsidRPr="00F96B82">
        <w:rPr>
          <w:lang w:val="fr-FR"/>
        </w:rPr>
        <w:t>: Artemisia campestris</w:t>
      </w:r>
      <w:bookmarkEnd w:id="103"/>
    </w:p>
    <w:p w14:paraId="327AA9E7" w14:textId="0E6438A0" w:rsidR="00664D0A" w:rsidRPr="00B91DCD" w:rsidRDefault="00664D0A" w:rsidP="00B91DCD">
      <w:pPr>
        <w:rPr>
          <w:rFonts w:eastAsia="Times New Roman"/>
          <w:lang w:val="fr-FR" w:eastAsia="fr-FR"/>
        </w:rPr>
      </w:pPr>
      <w:r w:rsidRPr="00664D0A">
        <w:rPr>
          <w:lang w:val="fr-FR"/>
        </w:rPr>
        <w:t xml:space="preserve">Sur le plan chimique, elle contient des </w:t>
      </w:r>
      <w:r w:rsidRPr="00664D0A">
        <w:rPr>
          <w:rFonts w:eastAsia="Times New Roman"/>
          <w:lang w:val="fr-FR" w:eastAsia="fr-FR"/>
        </w:rPr>
        <w:t>Coumarines, flavonoïdes et huiles essentielles.</w:t>
      </w:r>
      <w:r w:rsidRPr="00664D0A">
        <w:rPr>
          <w:lang w:val="fr-FR"/>
        </w:rPr>
        <w:t xml:space="preserve"> </w:t>
      </w:r>
      <w:proofErr w:type="gramStart"/>
      <w:r w:rsidRPr="00664D0A">
        <w:rPr>
          <w:lang w:val="fr-FR"/>
        </w:rPr>
        <w:t>cette</w:t>
      </w:r>
      <w:proofErr w:type="gramEnd"/>
      <w:r w:rsidRPr="00664D0A">
        <w:rPr>
          <w:lang w:val="fr-FR"/>
        </w:rPr>
        <w:t xml:space="preserve"> plante était traditionnellement employée </w:t>
      </w:r>
      <w:r w:rsidRPr="00664D0A">
        <w:rPr>
          <w:rFonts w:eastAsia="Times New Roman"/>
          <w:lang w:val="fr-FR" w:eastAsia="fr-FR"/>
        </w:rPr>
        <w:t>pour les problèmes digestifs et comme vermifuge.</w:t>
      </w:r>
      <w:r w:rsidRPr="00664D0A">
        <w:rPr>
          <w:lang w:val="fr-FR"/>
        </w:rPr>
        <w:t xml:space="preserve"> </w:t>
      </w:r>
      <w:proofErr w:type="gramStart"/>
      <w:r w:rsidRPr="00664D0A">
        <w:rPr>
          <w:lang w:val="fr-FR"/>
        </w:rPr>
        <w:t>et</w:t>
      </w:r>
      <w:proofErr w:type="gramEnd"/>
      <w:r w:rsidRPr="00664D0A">
        <w:rPr>
          <w:lang w:val="fr-FR"/>
        </w:rPr>
        <w:t xml:space="preserve"> pour ses effets antidiabétiques </w:t>
      </w:r>
      <w:r w:rsidRPr="00664D0A">
        <w:rPr>
          <w:rFonts w:eastAsia="Times New Roman"/>
          <w:lang w:val="fr-FR" w:eastAsia="fr-FR"/>
        </w:rPr>
        <w:t>Elle exerce une inhibition sur l'alpha-amylase pancréatique, limitant ainsi la décomposition de l'am</w:t>
      </w:r>
      <w:r w:rsidR="00B91DCD">
        <w:rPr>
          <w:rFonts w:eastAsia="Times New Roman"/>
          <w:lang w:val="fr-FR" w:eastAsia="fr-FR"/>
        </w:rPr>
        <w:t>idon en sucres simples.</w:t>
      </w:r>
    </w:p>
    <w:p w14:paraId="26D4D976" w14:textId="77777777" w:rsidR="00664D0A" w:rsidRPr="00664D0A" w:rsidRDefault="00664D0A" w:rsidP="00665FE5">
      <w:pPr>
        <w:pStyle w:val="Heading3"/>
      </w:pPr>
      <w:r w:rsidRPr="00664D0A">
        <w:t>1-1-6/ Inula viscosa (Inule visqueuse / Tarehla)</w:t>
      </w:r>
    </w:p>
    <w:p w14:paraId="0494E802" w14:textId="18DEE5EA" w:rsidR="00664D0A" w:rsidRPr="00B91DCD" w:rsidRDefault="00664D0A" w:rsidP="00B91DCD">
      <w:pPr>
        <w:rPr>
          <w:rFonts w:eastAsia="Times New Roman"/>
          <w:sz w:val="27"/>
          <w:szCs w:val="27"/>
          <w:lang w:val="fr-FR" w:eastAsia="fr-FR"/>
        </w:rPr>
      </w:pPr>
      <w:proofErr w:type="gramStart"/>
      <w:r w:rsidRPr="00664D0A">
        <w:rPr>
          <w:lang w:val="fr-FR"/>
        </w:rPr>
        <w:t>sur</w:t>
      </w:r>
      <w:proofErr w:type="gramEnd"/>
      <w:r w:rsidRPr="00664D0A">
        <w:rPr>
          <w:lang w:val="fr-FR"/>
        </w:rPr>
        <w:t xml:space="preserve"> le plan morphologique, cest</w:t>
      </w:r>
      <w:r w:rsidRPr="00664D0A">
        <w:rPr>
          <w:rFonts w:eastAsia="Times New Roman"/>
          <w:lang w:val="fr-FR" w:eastAsia="fr-FR"/>
        </w:rPr>
        <w:t xml:space="preserve">  une  Plante ligneuse à la base, très collante (visqueuse) au toucher, avec des fleurs</w:t>
      </w:r>
      <w:r w:rsidR="00B91DCD">
        <w:rPr>
          <w:rFonts w:eastAsia="Times New Roman"/>
          <w:lang w:val="fr-FR" w:eastAsia="fr-FR"/>
        </w:rPr>
        <w:t xml:space="preserve"> jaunes regroupées en panicul</w:t>
      </w:r>
      <w:r w:rsidRPr="00E71797">
        <w:rPr>
          <w:noProof/>
          <w:lang w:val="fr-FR" w:eastAsia="fr-FR"/>
        </w:rPr>
        <w:drawing>
          <wp:inline distT="0" distB="0" distL="0" distR="0" wp14:anchorId="44914136" wp14:editId="7616AFE7">
            <wp:extent cx="3778250" cy="2172361"/>
            <wp:effectExtent l="133350" t="76200" r="88900" b="132715"/>
            <wp:docPr id="70" name="Image 70" descr="Inula viscosa - Dittrichia visc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Inula viscosa - Dittrichia viscosa"/>
                    <pic:cNvPicPr>
                      <a:picLocks noChangeAspect="1" noChangeArrowheads="1"/>
                    </pic:cNvPicPr>
                  </pic:nvPicPr>
                  <pic:blipFill>
                    <a:blip r:embed="rId31"/>
                    <a:srcRect/>
                    <a:stretch>
                      <a:fillRect/>
                    </a:stretch>
                  </pic:blipFill>
                  <pic:spPr bwMode="auto">
                    <a:xfrm>
                      <a:off x="0" y="0"/>
                      <a:ext cx="3779267" cy="217294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7E8992D7" w14:textId="1DF3E3EB" w:rsidR="00664D0A" w:rsidRPr="00F96B82" w:rsidRDefault="00664D0A" w:rsidP="00B91DCD">
      <w:pPr>
        <w:rPr>
          <w:lang w:val="fr-FR"/>
        </w:rPr>
      </w:pPr>
      <w:bookmarkStart w:id="104" w:name="_Toc229617304"/>
      <w:r w:rsidRPr="00F96B82">
        <w:rPr>
          <w:lang w:val="fr-FR"/>
        </w:rPr>
        <w:lastRenderedPageBreak/>
        <w:t xml:space="preserve">Figure </w:t>
      </w:r>
      <w:r>
        <w:fldChar w:fldCharType="begin"/>
      </w:r>
      <w:r w:rsidRPr="00F96B82">
        <w:rPr>
          <w:lang w:val="fr-FR"/>
        </w:rPr>
        <w:instrText xml:space="preserve"> SEQ Figure \* ARABIC </w:instrText>
      </w:r>
      <w:r>
        <w:fldChar w:fldCharType="separate"/>
      </w:r>
      <w:r w:rsidR="00983108">
        <w:rPr>
          <w:noProof/>
          <w:lang w:val="fr-FR"/>
        </w:rPr>
        <w:t>14</w:t>
      </w:r>
      <w:r>
        <w:rPr>
          <w:noProof/>
        </w:rPr>
        <w:fldChar w:fldCharType="end"/>
      </w:r>
      <w:r w:rsidRPr="00F96B82">
        <w:rPr>
          <w:lang w:val="fr-FR"/>
        </w:rPr>
        <w:t xml:space="preserve">:  Inula viscosaFigure </w:t>
      </w:r>
      <w:r>
        <w:fldChar w:fldCharType="begin"/>
      </w:r>
      <w:r w:rsidRPr="00F96B82">
        <w:rPr>
          <w:lang w:val="fr-FR"/>
        </w:rPr>
        <w:instrText xml:space="preserve"> SEQ Figure \* ARABIC </w:instrText>
      </w:r>
      <w:r>
        <w:fldChar w:fldCharType="separate"/>
      </w:r>
      <w:r w:rsidR="00983108">
        <w:rPr>
          <w:noProof/>
          <w:lang w:val="fr-FR"/>
        </w:rPr>
        <w:t>15</w:t>
      </w:r>
      <w:r>
        <w:rPr>
          <w:noProof/>
        </w:rPr>
        <w:fldChar w:fldCharType="end"/>
      </w:r>
      <w:r w:rsidRPr="00F96B82">
        <w:rPr>
          <w:lang w:val="fr-FR"/>
        </w:rPr>
        <w:t xml:space="preserve"> : Teucrium polium</w:t>
      </w:r>
      <w:bookmarkEnd w:id="104"/>
    </w:p>
    <w:p w14:paraId="0B33308C" w14:textId="0BC505D3" w:rsidR="00664D0A" w:rsidRPr="00B91DCD" w:rsidRDefault="00664D0A" w:rsidP="00B91DCD">
      <w:pPr>
        <w:rPr>
          <w:rFonts w:eastAsia="Times New Roman"/>
          <w:lang w:val="fr-FR" w:eastAsia="fr-FR"/>
        </w:rPr>
      </w:pPr>
      <w:r w:rsidRPr="00664D0A">
        <w:rPr>
          <w:lang w:val="fr-FR"/>
        </w:rPr>
        <w:t xml:space="preserve">Sur le plan chimique, elle contient </w:t>
      </w:r>
      <w:proofErr w:type="gramStart"/>
      <w:r w:rsidRPr="00664D0A">
        <w:rPr>
          <w:lang w:val="fr-FR"/>
        </w:rPr>
        <w:t xml:space="preserve">des </w:t>
      </w:r>
      <w:r w:rsidRPr="00664D0A">
        <w:rPr>
          <w:rFonts w:eastAsia="Times New Roman"/>
          <w:lang w:val="fr-FR" w:eastAsia="fr-FR"/>
        </w:rPr>
        <w:t>Riche</w:t>
      </w:r>
      <w:proofErr w:type="gramEnd"/>
      <w:r w:rsidRPr="00664D0A">
        <w:rPr>
          <w:rFonts w:eastAsia="Times New Roman"/>
          <w:lang w:val="fr-FR" w:eastAsia="fr-FR"/>
        </w:rPr>
        <w:t xml:space="preserve"> en lactones sesquiterpéniques et en flavonoïdes (sakuranétine).</w:t>
      </w:r>
      <w:r w:rsidRPr="00664D0A">
        <w:rPr>
          <w:rFonts w:eastAsia="Times New Roman"/>
          <w:sz w:val="27"/>
          <w:szCs w:val="27"/>
          <w:lang w:val="fr-FR" w:eastAsia="fr-FR"/>
        </w:rPr>
        <w:t xml:space="preserve"> </w:t>
      </w:r>
      <w:proofErr w:type="gramStart"/>
      <w:r w:rsidRPr="00664D0A">
        <w:rPr>
          <w:lang w:val="fr-FR"/>
        </w:rPr>
        <w:t>cette</w:t>
      </w:r>
      <w:proofErr w:type="gramEnd"/>
      <w:r w:rsidRPr="00664D0A">
        <w:rPr>
          <w:lang w:val="fr-FR"/>
        </w:rPr>
        <w:t xml:space="preserve"> plante était traditionnellement employée </w:t>
      </w:r>
      <w:r w:rsidRPr="00664D0A">
        <w:rPr>
          <w:rFonts w:eastAsia="Times New Roman"/>
          <w:lang w:val="fr-FR" w:eastAsia="fr-FR"/>
        </w:rPr>
        <w:t>Cicatrisante, anti-inflammatoire et utilisée contre le diabète en infusion.</w:t>
      </w:r>
      <w:r w:rsidRPr="00664D0A">
        <w:rPr>
          <w:rFonts w:eastAsia="Times New Roman"/>
          <w:sz w:val="27"/>
          <w:szCs w:val="27"/>
          <w:lang w:val="fr-FR" w:eastAsia="fr-FR"/>
        </w:rPr>
        <w:t xml:space="preserve"> </w:t>
      </w:r>
      <w:proofErr w:type="gramStart"/>
      <w:r w:rsidRPr="00664D0A">
        <w:rPr>
          <w:lang w:val="fr-FR"/>
        </w:rPr>
        <w:t>pour</w:t>
      </w:r>
      <w:proofErr w:type="gramEnd"/>
      <w:r w:rsidRPr="00664D0A">
        <w:rPr>
          <w:lang w:val="fr-FR"/>
        </w:rPr>
        <w:t xml:space="preserve"> ses effets antidiabétiques </w:t>
      </w:r>
      <w:r w:rsidRPr="00664D0A">
        <w:rPr>
          <w:rFonts w:eastAsia="Times New Roman"/>
          <w:lang w:val="fr-FR" w:eastAsia="fr-FR"/>
        </w:rPr>
        <w:t>Elle Elle favorise l'absorption du glucose par les muscles squelettiques et inhibe la néoglucogenèse (fab</w:t>
      </w:r>
      <w:r w:rsidR="00B91DCD">
        <w:rPr>
          <w:rFonts w:eastAsia="Times New Roman"/>
          <w:lang w:val="fr-FR" w:eastAsia="fr-FR"/>
        </w:rPr>
        <w:t>rication de sucre par le foie).</w:t>
      </w:r>
      <w:r w:rsidR="00116A61">
        <w:rPr>
          <w:rFonts w:eastAsia="Times New Roman"/>
          <w:lang w:val="fr-FR" w:eastAsia="fr-FR"/>
        </w:rPr>
        <w:t>(120)</w:t>
      </w:r>
    </w:p>
    <w:p w14:paraId="45DA2E85" w14:textId="77777777" w:rsidR="00664D0A" w:rsidRPr="00664D0A" w:rsidRDefault="00664D0A" w:rsidP="00665FE5">
      <w:pPr>
        <w:pStyle w:val="Heading2"/>
        <w:rPr>
          <w:rStyle w:val="Emphasis"/>
          <w:rFonts w:eastAsia="Times New Roman"/>
          <w:b w:val="0"/>
          <w:bCs w:val="0"/>
          <w:i w:val="0"/>
          <w:iCs w:val="0"/>
          <w:sz w:val="36"/>
          <w:szCs w:val="36"/>
          <w:lang w:eastAsia="fr-FR"/>
        </w:rPr>
      </w:pPr>
      <w:bookmarkStart w:id="105" w:name="_Toc229618827"/>
      <w:r w:rsidRPr="00664D0A">
        <w:t>1-2/ Lamiaceae :</w:t>
      </w:r>
      <w:bookmarkEnd w:id="105"/>
    </w:p>
    <w:p w14:paraId="5E377EFA" w14:textId="77777777" w:rsidR="00664D0A" w:rsidRPr="00664D0A" w:rsidRDefault="00664D0A" w:rsidP="00665FE5">
      <w:pPr>
        <w:pStyle w:val="Heading3"/>
      </w:pPr>
      <w:r w:rsidRPr="00664D0A">
        <w:rPr>
          <w:rStyle w:val="Emphasis"/>
          <w:i w:val="0"/>
          <w:iCs w:val="0"/>
          <w:sz w:val="28"/>
          <w:szCs w:val="28"/>
        </w:rPr>
        <w:t>1-2-1/Teucrium polium</w:t>
      </w:r>
      <w:r w:rsidRPr="00664D0A">
        <w:t xml:space="preserve"> (</w:t>
      </w:r>
      <w:r w:rsidRPr="00E71797">
        <w:rPr>
          <w:rtl/>
        </w:rPr>
        <w:t>الجعيدة</w:t>
      </w:r>
      <w:r w:rsidRPr="00664D0A">
        <w:t>)</w:t>
      </w:r>
    </w:p>
    <w:p w14:paraId="120F34C9" w14:textId="77777777" w:rsidR="00664D0A" w:rsidRPr="00664D0A" w:rsidRDefault="00664D0A" w:rsidP="00B139C3">
      <w:pPr>
        <w:rPr>
          <w:lang w:val="fr-FR"/>
        </w:rPr>
      </w:pPr>
      <w:r w:rsidRPr="00664D0A">
        <w:rPr>
          <w:lang w:val="fr-FR"/>
        </w:rPr>
        <w:t xml:space="preserve">Teucrium polium, aussi appelée en usage courant </w:t>
      </w:r>
      <w:r w:rsidRPr="00E71797">
        <w:rPr>
          <w:rtl/>
        </w:rPr>
        <w:t>الجعيدة</w:t>
      </w:r>
      <w:r w:rsidRPr="00664D0A">
        <w:rPr>
          <w:lang w:val="fr-FR"/>
        </w:rPr>
        <w:t xml:space="preserve"> ou germandrée, est une plante médicinale de la famille des Lamiaceae. On la trouve largement dans l’espace méditerranéen, en Afrique du Nord et au Moyen-Orient, où elle occupe une place ancienne dans les pratiques de médecine traditionnelle. </w:t>
      </w:r>
    </w:p>
    <w:p w14:paraId="6C68AF13" w14:textId="77777777" w:rsidR="00664D0A" w:rsidRPr="00664D0A" w:rsidRDefault="00664D0A" w:rsidP="00B139C3">
      <w:pPr>
        <w:rPr>
          <w:rFonts w:eastAsia="Times New Roman"/>
          <w:noProof/>
          <w:lang w:val="fr-FR" w:eastAsia="fr-FR"/>
        </w:rPr>
      </w:pPr>
      <w:proofErr w:type="gramStart"/>
      <w:r w:rsidRPr="00664D0A">
        <w:rPr>
          <w:lang w:val="fr-FR"/>
        </w:rPr>
        <w:t>cette</w:t>
      </w:r>
      <w:proofErr w:type="gramEnd"/>
      <w:r w:rsidRPr="00664D0A">
        <w:rPr>
          <w:lang w:val="fr-FR"/>
        </w:rPr>
        <w:t xml:space="preserve"> plante se distingue, sur le plan morphologique,  par des feuilles teinte grisâtre, et recouvertes de fins poils qui leur donnent un toucher  et pour la floraison est  souvent blanche ou légèrement rosée collecte en petites grappes à l’extrémité des tiges .</w:t>
      </w:r>
      <w:r w:rsidRPr="00664D0A">
        <w:rPr>
          <w:rFonts w:eastAsia="Times New Roman"/>
          <w:noProof/>
          <w:lang w:val="fr-FR" w:eastAsia="fr-FR"/>
        </w:rPr>
        <w:t xml:space="preserve"> </w:t>
      </w:r>
    </w:p>
    <w:p w14:paraId="0711649E" w14:textId="77777777" w:rsidR="00664D0A" w:rsidRPr="00E71797" w:rsidRDefault="00664D0A" w:rsidP="00B139C3">
      <w:r w:rsidRPr="00E71797">
        <w:rPr>
          <w:rFonts w:eastAsia="Times New Roman"/>
          <w:noProof/>
          <w:lang w:val="fr-FR" w:eastAsia="fr-FR"/>
        </w:rPr>
        <w:drawing>
          <wp:inline distT="0" distB="0" distL="0" distR="0" wp14:anchorId="21B0D759" wp14:editId="184232BF">
            <wp:extent cx="3343360" cy="3204000"/>
            <wp:effectExtent l="133350" t="38100" r="66590" b="72600"/>
            <wp:docPr id="71" name="Image 6" descr="4VirmbTVVLTER-FGhHYxQf3yNo7RwQQFSGEr_LgTSVA6zU6N_phlRvM6BWW_4fM0AGD5IwzPWAMgowjnCbXLRhWwp--H-tM06Ma-qh5wU6zqtRPUUd75fmWon2KJ3w_kBdP2cioXDuhSXTjukDeopkJ79Righ4hZHl00PjMRqjn3BqKEluouCj-JQB42niZ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VirmbTVVLTER-FGhHYxQf3yNo7RwQQFSGEr_LgTSVA6zU6N_phlRvM6BWW_4fM0AGD5IwzPWAMgowjnCbXLRhWwp--H-tM06Ma-qh5wU6zqtRPUUd75fmWon2KJ3w_kBdP2cioXDuhSXTjukDeopkJ79Righ4hZHl00PjMRqjn3BqKEluouCj-JQB42niZg.jpg"/>
                    <pic:cNvPicPr/>
                  </pic:nvPicPr>
                  <pic:blipFill>
                    <a:blip r:embed="rId32"/>
                    <a:stretch>
                      <a:fillRect/>
                    </a:stretch>
                  </pic:blipFill>
                  <pic:spPr>
                    <a:xfrm>
                      <a:off x="0" y="0"/>
                      <a:ext cx="3343360" cy="3204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14DA67D" w14:textId="542FD4ED" w:rsidR="00664D0A" w:rsidRPr="00664D0A" w:rsidRDefault="00664D0A" w:rsidP="00116A61">
      <w:pPr>
        <w:rPr>
          <w:rStyle w:val="Emphasis"/>
          <w:rFonts w:cstheme="majorBidi"/>
          <w:i w:val="0"/>
          <w:iCs w:val="0"/>
          <w:szCs w:val="24"/>
          <w:lang w:val="fr-FR"/>
        </w:rPr>
      </w:pPr>
      <w:r w:rsidRPr="00664D0A">
        <w:rPr>
          <w:lang w:val="fr-FR"/>
        </w:rPr>
        <w:t xml:space="preserve">Sur le plan chimique, elle contient différents métabolites secondaires </w:t>
      </w:r>
      <w:proofErr w:type="gramStart"/>
      <w:r w:rsidRPr="00664D0A">
        <w:rPr>
          <w:lang w:val="fr-FR"/>
        </w:rPr>
        <w:t>comme  des</w:t>
      </w:r>
      <w:proofErr w:type="gramEnd"/>
      <w:r w:rsidRPr="00664D0A">
        <w:rPr>
          <w:lang w:val="fr-FR"/>
        </w:rPr>
        <w:t xml:space="preserve"> flavonoïdes, des diterpènes et des huiles essentielles reconnus par leur activité biologique . </w:t>
      </w:r>
      <w:proofErr w:type="gramStart"/>
      <w:r w:rsidRPr="00664D0A">
        <w:rPr>
          <w:lang w:val="fr-FR"/>
        </w:rPr>
        <w:t>cette</w:t>
      </w:r>
      <w:proofErr w:type="gramEnd"/>
      <w:r w:rsidRPr="00664D0A">
        <w:rPr>
          <w:lang w:val="fr-FR"/>
        </w:rPr>
        <w:t xml:space="preserve"> plante était traditionnellement employée pour les troubles gastro-intestinaux a cause de leurs effets antispasmodiques, anti-inflammatoires et antimicrobiens et pour ses effets antidiabétiques, Teucrium polium pourrait participer à une baisse de la glycémie, à une amélioration du métabolisme du glucose et à une sensibilité métabolique plus favorable mais des études cliniques chez l homme  restent nécessaires pour mieux les étayer.</w:t>
      </w:r>
      <w:r w:rsidR="00116A61">
        <w:rPr>
          <w:lang w:val="fr-FR"/>
        </w:rPr>
        <w:fldChar w:fldCharType="begin"/>
      </w:r>
      <w:r w:rsidR="00116A61">
        <w:rPr>
          <w:lang w:val="fr-FR"/>
        </w:rPr>
        <w:instrText xml:space="preserve"> ADDIN ZOTERO_ITEM CSL_CITATION {"citationID":"Yqm4Kdjc","properties":{"unsorted":false,"formattedCitation":"(121)","plainCitation":"(121)","noteIndex":0},"citationItems":[{"id":3,"uris":["http://zotero.org/users/local/KRApiUMP/items/CXHQ43RG"],"itemData":{"id":3,"type":"article-journal","abstract":"This survey was undertaken in the Errachidia province in south-eastern Morocco in order to inventory the main medicinal plants used in folk medicine to treat arterial hypertension and diabetes mellitus. Four hundred individuals who knew about and/or had used the medicinal plants for the indicated diseases, including some herbal healers, were interviewed throughout different regions of the province. The inventory of medicinal plants is summarized in a synoptic table, which contains the scientific, vernacular and common name of the plant, its ecological distribution, the part of the plant and the preparation used and the therapeutic indication. Extensive investigations have brought to light 64 medicinal plants belonging to 33 families; of these, 45 are used for diabetes, 36 for hypertension, and 18 for both diseases. Of these plants, 34% grow in the wild, 44% are cultivated, and 22% are not indigenous to the area and are brought from other parts of Morocco or from outside the country. The survey shows that 78% of the patients regularly use these medicinal plants. In this region, the most frequently used plants to treat diabetes include Ajuga iva, Allium cepa, Artemisia herba-alba, Carum carvi, Lepidium sativum, Nigella sativa, Olea europaea, Peganum harmala, Phoenix dactylifera, Rosmarinus officinalis, and Zygophyllum gaetulum, and those to treat hypertension include Ajuga iva, Allium cepa, Allium sativum, Artemisia herba-alba Asso, Carum carvi, Nigella sativa, Olea europea, Rosmarinus officinalis, Origanum majorana, Peganum harmala, and Phoenix dactylifera. The local people recognize the toxic plants and are very careful in using such plants, which are Citrullus colocynthis, Datura stramonium, Nerium oleander, Nigella sativa, Peganum harmala and Zygophyllum gaetulum. Our survey shows that traditional medicine in the south-eastern Moroccan population has not only survived but has thrived in the transcultural environment and intermixture of many ethnic traditions and beliefs.","container-title":"Journal of Ethnopharmacology","DOI":"10.1016/j.jep.2006.09.011","ISSN":"0378-8741","issue":"1","journalAbbreviation":"Journal of Ethnopharmacology","page":"105-117","source":"ScienceDirect","title":"Ethnopharmacological survey of plants used in the traditional treatment of hypertension and diabetes in south-eastern Morocco (Errachidia province)","volume":"110","author":[{"family":"Tahraoui","given":"A."},{"family":"El-Hilaly","given":"J."},{"family":"Israili","given":"Z. H."},{"family":"Lyoussi","given":"B."}],"issued":{"date-parts":[["2007",3,1]]}}}],"schema":"https://github.com/citation-style-language/schema/raw/master/csl-citation.json"} </w:instrText>
      </w:r>
      <w:r w:rsidR="00116A61">
        <w:rPr>
          <w:lang w:val="fr-FR"/>
        </w:rPr>
        <w:fldChar w:fldCharType="separate"/>
      </w:r>
      <w:r w:rsidR="00116A61" w:rsidRPr="00116A61">
        <w:rPr>
          <w:rFonts w:ascii="Times New Roman" w:hAnsi="Times New Roman" w:cs="Times New Roman"/>
          <w:lang w:val="fr-FR"/>
        </w:rPr>
        <w:t>(121)</w:t>
      </w:r>
      <w:r w:rsidR="00116A61">
        <w:rPr>
          <w:lang w:val="fr-FR"/>
        </w:rPr>
        <w:fldChar w:fldCharType="end"/>
      </w:r>
    </w:p>
    <w:p w14:paraId="5AF8DFE0" w14:textId="77777777" w:rsidR="00664D0A" w:rsidRPr="00664D0A" w:rsidRDefault="00664D0A" w:rsidP="00B139C3">
      <w:pPr>
        <w:rPr>
          <w:rStyle w:val="Emphasis"/>
          <w:i w:val="0"/>
          <w:iCs w:val="0"/>
          <w:sz w:val="28"/>
          <w:szCs w:val="28"/>
          <w:lang w:val="fr-FR"/>
        </w:rPr>
      </w:pPr>
    </w:p>
    <w:p w14:paraId="18B185BF" w14:textId="77777777" w:rsidR="00664D0A" w:rsidRPr="00664D0A" w:rsidRDefault="00664D0A" w:rsidP="00665FE5">
      <w:pPr>
        <w:pStyle w:val="Heading3"/>
      </w:pPr>
      <w:r w:rsidRPr="00664D0A">
        <w:rPr>
          <w:rStyle w:val="Emphasis"/>
          <w:i w:val="0"/>
          <w:iCs w:val="0"/>
          <w:sz w:val="28"/>
          <w:szCs w:val="28"/>
        </w:rPr>
        <w:lastRenderedPageBreak/>
        <w:t>1-2-2/Mentha spicata</w:t>
      </w:r>
      <w:r w:rsidRPr="00664D0A">
        <w:t xml:space="preserve"> (</w:t>
      </w:r>
      <w:r w:rsidRPr="00E71797">
        <w:rPr>
          <w:rtl/>
        </w:rPr>
        <w:t>النعناع</w:t>
      </w:r>
      <w:r w:rsidRPr="00664D0A">
        <w:t>)</w:t>
      </w:r>
    </w:p>
    <w:p w14:paraId="6D649D0B" w14:textId="77777777" w:rsidR="00664D0A" w:rsidRPr="00664D0A" w:rsidRDefault="00664D0A" w:rsidP="00B139C3">
      <w:pPr>
        <w:rPr>
          <w:lang w:val="fr-FR"/>
        </w:rPr>
      </w:pPr>
      <w:r w:rsidRPr="00664D0A">
        <w:rPr>
          <w:lang w:val="fr-FR"/>
        </w:rPr>
        <w:t xml:space="preserve">Mentha spicata, plus connue sous le nom de </w:t>
      </w:r>
      <w:r w:rsidRPr="00E71797">
        <w:rPr>
          <w:rtl/>
        </w:rPr>
        <w:t>نعناع</w:t>
      </w:r>
      <w:r w:rsidRPr="00664D0A">
        <w:rPr>
          <w:lang w:val="fr-FR"/>
        </w:rPr>
        <w:t xml:space="preserve"> ou de menthe verte, est une plante aromatique et médicinale de la famille des Lamiaceae. Elle est cultivée dans de nombreuses régions du monde, notamment pour la cuisine et pour certains usages thérapeutiques.</w:t>
      </w:r>
    </w:p>
    <w:p w14:paraId="47E992BA" w14:textId="77777777" w:rsidR="00664D0A" w:rsidRPr="00664D0A" w:rsidRDefault="00664D0A" w:rsidP="00B139C3">
      <w:pPr>
        <w:rPr>
          <w:lang w:val="fr-FR"/>
        </w:rPr>
      </w:pPr>
      <w:proofErr w:type="gramStart"/>
      <w:r w:rsidRPr="00664D0A">
        <w:rPr>
          <w:lang w:val="fr-FR"/>
        </w:rPr>
        <w:t>cette</w:t>
      </w:r>
      <w:proofErr w:type="gramEnd"/>
      <w:r w:rsidRPr="00664D0A">
        <w:rPr>
          <w:lang w:val="fr-FR"/>
        </w:rPr>
        <w:t xml:space="preserve"> plante se distingue, sur le plan morphologique, par ces fleurs rosées à lilas de petite apparaissent en épis situés à l’extrémité des tiges et ces derniers  dressées à section quadrangulaire avec  des feuilles opposées de forme lancéolée Sa odeur,particulièrement marqué a cause de la présence d’huiles essentielle</w:t>
      </w:r>
    </w:p>
    <w:p w14:paraId="66AEBA6A" w14:textId="77777777" w:rsidR="00664D0A" w:rsidRPr="00116A61" w:rsidRDefault="00664D0A" w:rsidP="00B139C3">
      <w:pPr>
        <w:rPr>
          <w:lang w:val="fr-FR"/>
        </w:rPr>
      </w:pPr>
      <w:r w:rsidRPr="00E71797">
        <w:rPr>
          <w:rFonts w:eastAsia="Times New Roman"/>
          <w:noProof/>
          <w:rtl/>
          <w:lang w:val="fr-FR" w:eastAsia="fr-FR"/>
        </w:rPr>
        <w:drawing>
          <wp:inline distT="0" distB="0" distL="0" distR="0" wp14:anchorId="3EA192D1" wp14:editId="578A3610">
            <wp:extent cx="2808000" cy="2858166"/>
            <wp:effectExtent l="133350" t="38100" r="68550" b="75534"/>
            <wp:docPr id="72" name="Image 5" descr="1nzkX0kJwisE9lIiI1tZ1eDgfFaCh7kxqS37N4BQCHJCW3KShByg70HuDagswRzAMfZIc82F2r5-OcxqWQkAG-Y4h6ocoum-5y8AwXqU0nFZBlhzFoetNAIvIZAlmU10DFm-k_JtEequwfPp3gyedGknKU07kU65aiHWM_4L9XbDv83FNOT1j1xzbJdXqg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nzkX0kJwisE9lIiI1tZ1eDgfFaCh7kxqS37N4BQCHJCW3KShByg70HuDagswRzAMfZIc82F2r5-OcxqWQkAG-Y4h6ocoum-5y8AwXqU0nFZBlhzFoetNAIvIZAlmU10DFm-k_JtEequwfPp3gyedGknKU07kU65aiHWM_4L9XbDv83FNOT1j1xzbJdXqgET.jpg"/>
                    <pic:cNvPicPr/>
                  </pic:nvPicPr>
                  <pic:blipFill>
                    <a:blip r:embed="rId33"/>
                    <a:stretch>
                      <a:fillRect/>
                    </a:stretch>
                  </pic:blipFill>
                  <pic:spPr>
                    <a:xfrm>
                      <a:off x="0" y="0"/>
                      <a:ext cx="2808000" cy="285816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58327456" w14:textId="78D79702" w:rsidR="00664D0A" w:rsidRPr="00F96B82" w:rsidRDefault="00664D0A" w:rsidP="00B139C3">
      <w:pPr>
        <w:rPr>
          <w:lang w:val="fr-FR"/>
        </w:rPr>
      </w:pPr>
      <w:bookmarkStart w:id="106" w:name="_Toc229617305"/>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16</w:t>
      </w:r>
      <w:r>
        <w:rPr>
          <w:noProof/>
        </w:rPr>
        <w:fldChar w:fldCharType="end"/>
      </w:r>
      <w:r w:rsidRPr="00F96B82">
        <w:rPr>
          <w:lang w:val="fr-FR"/>
        </w:rPr>
        <w:t xml:space="preserve"> : Mentha spicata</w:t>
      </w:r>
      <w:bookmarkEnd w:id="106"/>
    </w:p>
    <w:p w14:paraId="50067C51" w14:textId="1E06ED4D" w:rsidR="00664D0A" w:rsidRPr="00B91DCD" w:rsidRDefault="00664D0A" w:rsidP="00B91DCD">
      <w:pPr>
        <w:rPr>
          <w:lang w:val="fr-FR"/>
        </w:rPr>
      </w:pPr>
      <w:r w:rsidRPr="00664D0A">
        <w:rPr>
          <w:lang w:val="fr-FR"/>
        </w:rPr>
        <w:t xml:space="preserve">Sur le plan chimique, elle contient surtout des huiles essentielles dont les principaux constituants incluent la carvone et un peu de </w:t>
      </w:r>
      <w:proofErr w:type="gramStart"/>
      <w:r w:rsidRPr="00664D0A">
        <w:rPr>
          <w:lang w:val="fr-FR"/>
        </w:rPr>
        <w:t>menthol ,</w:t>
      </w:r>
      <w:proofErr w:type="gramEnd"/>
      <w:r w:rsidRPr="00664D0A">
        <w:rPr>
          <w:lang w:val="fr-FR"/>
        </w:rPr>
        <w:t xml:space="preserve"> ainsi que du limonène et d’autres terpènes. On y trouve aussi des flavonoïdes et des composés </w:t>
      </w:r>
      <w:proofErr w:type="gramStart"/>
      <w:r w:rsidRPr="00664D0A">
        <w:rPr>
          <w:lang w:val="fr-FR"/>
        </w:rPr>
        <w:t>phénoliques .</w:t>
      </w:r>
      <w:proofErr w:type="gramEnd"/>
      <w:r w:rsidRPr="00664D0A">
        <w:rPr>
          <w:lang w:val="fr-FR"/>
        </w:rPr>
        <w:t xml:space="preserve"> </w:t>
      </w:r>
      <w:proofErr w:type="gramStart"/>
      <w:r w:rsidRPr="00664D0A">
        <w:rPr>
          <w:lang w:val="fr-FR"/>
        </w:rPr>
        <w:t>cette</w:t>
      </w:r>
      <w:proofErr w:type="gramEnd"/>
      <w:r w:rsidRPr="00664D0A">
        <w:rPr>
          <w:lang w:val="fr-FR"/>
        </w:rPr>
        <w:t xml:space="preserve"> plante était traditionnellement employée pour  faciliter la digestion et réduire les gaz intestinaux  avec une activite  antimicrobienne et surtout la sensation de fraîcheur aprés son utilisation . </w:t>
      </w:r>
      <w:proofErr w:type="gramStart"/>
      <w:r w:rsidRPr="00664D0A">
        <w:rPr>
          <w:lang w:val="fr-FR"/>
        </w:rPr>
        <w:t>et</w:t>
      </w:r>
      <w:proofErr w:type="gramEnd"/>
      <w:r w:rsidRPr="00664D0A">
        <w:rPr>
          <w:lang w:val="fr-FR"/>
        </w:rPr>
        <w:t xml:space="preserve"> pour ses effets antidiabétiques , elle pourraient participer à la diminution du stress oxydatif  associé au diabète a cause de ces  composés phénoliques et de l’activité antioxydante de la plante</w:t>
      </w:r>
      <w:r w:rsidR="00116A61">
        <w:rPr>
          <w:lang w:val="fr-FR"/>
        </w:rPr>
        <w:t>(120)</w:t>
      </w:r>
      <w:r w:rsidR="00B91DCD">
        <w:rPr>
          <w:lang w:val="fr-FR"/>
        </w:rPr>
        <w:t xml:space="preserve">  </w:t>
      </w:r>
    </w:p>
    <w:p w14:paraId="23DC2225" w14:textId="77777777" w:rsidR="00664D0A" w:rsidRPr="00E71797" w:rsidRDefault="00664D0A" w:rsidP="00665FE5">
      <w:pPr>
        <w:pStyle w:val="Heading3"/>
        <w:rPr>
          <w:rtl/>
        </w:rPr>
      </w:pPr>
      <w:r w:rsidRPr="00664D0A">
        <w:t xml:space="preserve"> 1-2-3/</w:t>
      </w:r>
      <w:r w:rsidRPr="00664D0A">
        <w:rPr>
          <w:rStyle w:val="Emphasis"/>
          <w:i w:val="0"/>
          <w:iCs w:val="0"/>
          <w:sz w:val="28"/>
          <w:szCs w:val="28"/>
        </w:rPr>
        <w:t>Thymus vulgaris</w:t>
      </w:r>
      <w:r w:rsidRPr="00664D0A">
        <w:t xml:space="preserve"> (</w:t>
      </w:r>
      <w:r w:rsidRPr="00E71797">
        <w:rPr>
          <w:rtl/>
        </w:rPr>
        <w:t>الزعتر</w:t>
      </w:r>
      <w:r w:rsidRPr="00664D0A">
        <w:t>)</w:t>
      </w:r>
    </w:p>
    <w:p w14:paraId="4F169C70" w14:textId="77777777" w:rsidR="00664D0A" w:rsidRPr="00E71797" w:rsidRDefault="00664D0A" w:rsidP="00B139C3">
      <w:pPr>
        <w:rPr>
          <w:rStyle w:val="Emphasis"/>
          <w:rFonts w:eastAsia="Times New Roman" w:cstheme="majorBidi"/>
          <w:i w:val="0"/>
          <w:iCs w:val="0"/>
          <w:szCs w:val="24"/>
          <w:rtl/>
          <w:lang w:eastAsia="fr-FR"/>
        </w:rPr>
      </w:pPr>
      <w:r w:rsidRPr="00664D0A">
        <w:rPr>
          <w:rStyle w:val="Emphasis"/>
          <w:rFonts w:eastAsia="Times New Roman" w:cstheme="majorBidi"/>
          <w:i w:val="0"/>
          <w:iCs w:val="0"/>
          <w:szCs w:val="24"/>
          <w:lang w:val="fr-FR" w:eastAsia="fr-FR"/>
        </w:rPr>
        <w:t xml:space="preserve">Thymus vulgaris, plus souvent appelé </w:t>
      </w:r>
      <w:proofErr w:type="gramStart"/>
      <w:r w:rsidRPr="00E71797">
        <w:rPr>
          <w:rStyle w:val="Emphasis"/>
          <w:rFonts w:eastAsia="Times New Roman" w:cstheme="majorBidi"/>
          <w:i w:val="0"/>
          <w:iCs w:val="0"/>
          <w:szCs w:val="24"/>
          <w:rtl/>
          <w:lang w:eastAsia="fr-FR"/>
        </w:rPr>
        <w:t>زعتر</w:t>
      </w:r>
      <w:r w:rsidRPr="00664D0A">
        <w:rPr>
          <w:rStyle w:val="Emphasis"/>
          <w:rFonts w:eastAsia="Times New Roman" w:cstheme="majorBidi"/>
          <w:i w:val="0"/>
          <w:iCs w:val="0"/>
          <w:szCs w:val="24"/>
          <w:lang w:val="fr-FR" w:eastAsia="fr-FR"/>
        </w:rPr>
        <w:t xml:space="preserve">  ou</w:t>
      </w:r>
      <w:proofErr w:type="gramEnd"/>
      <w:r w:rsidRPr="00664D0A">
        <w:rPr>
          <w:rStyle w:val="Emphasis"/>
          <w:rFonts w:eastAsia="Times New Roman" w:cstheme="majorBidi"/>
          <w:i w:val="0"/>
          <w:iCs w:val="0"/>
          <w:szCs w:val="24"/>
          <w:lang w:val="fr-FR" w:eastAsia="fr-FR"/>
        </w:rPr>
        <w:t xml:space="preserve"> thym, est une plante à la fois aromatique et médicinale de la famille des Lamiaceae. Originaire de la région méditerranéenne, elle est couramment utilisée en cuisine et, dans les pratiques traditionnelles de phytothérapie, pour des effets biologiques variés. </w:t>
      </w:r>
    </w:p>
    <w:p w14:paraId="317C5AF7" w14:textId="77777777" w:rsidR="00664D0A" w:rsidRPr="00664D0A" w:rsidRDefault="00664D0A" w:rsidP="00B139C3">
      <w:pPr>
        <w:rPr>
          <w:rStyle w:val="Emphasis"/>
          <w:rFonts w:eastAsia="Times New Roman" w:cstheme="majorBidi"/>
          <w:i w:val="0"/>
          <w:iCs w:val="0"/>
          <w:szCs w:val="24"/>
          <w:lang w:val="fr-FR" w:eastAsia="fr-FR"/>
        </w:rPr>
      </w:pPr>
      <w:proofErr w:type="gramStart"/>
      <w:r w:rsidRPr="00664D0A">
        <w:rPr>
          <w:lang w:val="fr-FR"/>
        </w:rPr>
        <w:t>cette</w:t>
      </w:r>
      <w:proofErr w:type="gramEnd"/>
      <w:r w:rsidRPr="00664D0A">
        <w:rPr>
          <w:lang w:val="fr-FR"/>
        </w:rPr>
        <w:t xml:space="preserve"> plante se distingue, sur le plan morphologique  par</w:t>
      </w:r>
      <w:r w:rsidRPr="00664D0A">
        <w:rPr>
          <w:rStyle w:val="Emphasis"/>
          <w:rFonts w:eastAsia="Times New Roman" w:cstheme="majorBidi"/>
          <w:i w:val="0"/>
          <w:iCs w:val="0"/>
          <w:szCs w:val="24"/>
          <w:lang w:val="fr-FR" w:eastAsia="fr-FR"/>
        </w:rPr>
        <w:t xml:space="preserve"> des tiges ligneuses bien ramifiée avec des petite fleurs  du couleur rose pâle au blanc et se trouvent au sommet avec une odeur speciale  </w:t>
      </w:r>
    </w:p>
    <w:p w14:paraId="0ABA8D40" w14:textId="77777777" w:rsidR="00664D0A" w:rsidRPr="00664D0A" w:rsidRDefault="00664D0A" w:rsidP="00B139C3">
      <w:pPr>
        <w:rPr>
          <w:lang w:val="fr-FR"/>
        </w:rPr>
      </w:pPr>
      <w:r w:rsidRPr="00664D0A">
        <w:rPr>
          <w:rStyle w:val="Emphasis"/>
          <w:rFonts w:eastAsia="Times New Roman" w:cstheme="majorBidi"/>
          <w:i w:val="0"/>
          <w:iCs w:val="0"/>
          <w:szCs w:val="24"/>
          <w:lang w:val="fr-FR" w:eastAsia="fr-FR"/>
        </w:rPr>
        <w:lastRenderedPageBreak/>
        <w:t>.</w:t>
      </w:r>
      <w:r w:rsidRPr="00664D0A">
        <w:rPr>
          <w:lang w:val="fr-FR"/>
        </w:rPr>
        <w:t xml:space="preserve"> </w:t>
      </w:r>
      <w:r w:rsidRPr="00E71797">
        <w:rPr>
          <w:rFonts w:eastAsia="Times New Roman"/>
          <w:noProof/>
          <w:lang w:val="fr-FR" w:eastAsia="fr-FR"/>
        </w:rPr>
        <w:drawing>
          <wp:inline distT="0" distB="0" distL="0" distR="0" wp14:anchorId="6C48F15B" wp14:editId="45601F54">
            <wp:extent cx="2910195" cy="2556000"/>
            <wp:effectExtent l="133350" t="19050" r="42555" b="53850"/>
            <wp:docPr id="73" name="Image 3" descr="THYMUS_VULGARIS_-_AGUDA_-_IB-910_(Tim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YMUS_VULGARIS_-_AGUDA_-_IB-910_(Timó).jpg"/>
                    <pic:cNvPicPr/>
                  </pic:nvPicPr>
                  <pic:blipFill>
                    <a:blip r:embed="rId34" cstate="print"/>
                    <a:stretch>
                      <a:fillRect/>
                    </a:stretch>
                  </pic:blipFill>
                  <pic:spPr>
                    <a:xfrm>
                      <a:off x="0" y="0"/>
                      <a:ext cx="2910195" cy="2556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1C989B9" w14:textId="47CED358" w:rsidR="00664D0A" w:rsidRPr="00F96B82" w:rsidRDefault="00664D0A" w:rsidP="00B139C3">
      <w:pPr>
        <w:rPr>
          <w:lang w:val="fr-FR"/>
        </w:rPr>
      </w:pPr>
      <w:bookmarkStart w:id="107" w:name="_Toc229617306"/>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17</w:t>
      </w:r>
      <w:r>
        <w:rPr>
          <w:noProof/>
        </w:rPr>
        <w:fldChar w:fldCharType="end"/>
      </w:r>
      <w:r w:rsidRPr="00F96B82">
        <w:rPr>
          <w:lang w:val="fr-FR"/>
        </w:rPr>
        <w:t xml:space="preserve"> : Thymus vulgaris</w:t>
      </w:r>
      <w:bookmarkEnd w:id="107"/>
    </w:p>
    <w:p w14:paraId="1314632B" w14:textId="356ED653" w:rsidR="00664D0A" w:rsidRPr="00B91DCD" w:rsidRDefault="00664D0A" w:rsidP="00B91DCD">
      <w:pPr>
        <w:rPr>
          <w:lang w:val="fr-FR" w:bidi="ar-DZ"/>
        </w:rPr>
      </w:pPr>
      <w:r w:rsidRPr="00664D0A">
        <w:rPr>
          <w:lang w:val="fr-FR"/>
        </w:rPr>
        <w:t xml:space="preserve">Sur le plan chimique, elle </w:t>
      </w:r>
      <w:proofErr w:type="gramStart"/>
      <w:r w:rsidRPr="00664D0A">
        <w:rPr>
          <w:lang w:val="fr-FR"/>
        </w:rPr>
        <w:t>contient</w:t>
      </w:r>
      <w:r w:rsidRPr="00664D0A">
        <w:rPr>
          <w:rStyle w:val="Emphasis"/>
          <w:rFonts w:eastAsia="Times New Roman" w:cstheme="majorBidi"/>
          <w:i w:val="0"/>
          <w:iCs w:val="0"/>
          <w:szCs w:val="24"/>
          <w:lang w:val="fr-FR" w:eastAsia="fr-FR"/>
        </w:rPr>
        <w:t xml:space="preserve">  des</w:t>
      </w:r>
      <w:proofErr w:type="gramEnd"/>
      <w:r w:rsidRPr="00664D0A">
        <w:rPr>
          <w:rStyle w:val="Emphasis"/>
          <w:rFonts w:eastAsia="Times New Roman" w:cstheme="majorBidi"/>
          <w:i w:val="0"/>
          <w:iCs w:val="0"/>
          <w:szCs w:val="24"/>
          <w:lang w:val="fr-FR" w:eastAsia="fr-FR"/>
        </w:rPr>
        <w:t xml:space="preserve"> huiles essentielles Parmi les composés les plus souvent cités figurent le thymol et le carvacrol  et d’autres terpènes présents en plus faibles proportions, mais impliqués dans ses effets pharmacologiques. </w:t>
      </w:r>
      <w:proofErr w:type="gramStart"/>
      <w:r w:rsidRPr="00664D0A">
        <w:rPr>
          <w:lang w:val="fr-FR"/>
        </w:rPr>
        <w:t>cette</w:t>
      </w:r>
      <w:proofErr w:type="gramEnd"/>
      <w:r w:rsidRPr="00664D0A">
        <w:rPr>
          <w:lang w:val="fr-FR"/>
        </w:rPr>
        <w:t xml:space="preserve"> plante était traditionnellement employée </w:t>
      </w:r>
      <w:r w:rsidRPr="00664D0A">
        <w:rPr>
          <w:rStyle w:val="Emphasis"/>
          <w:rFonts w:eastAsia="Times New Roman" w:cstheme="majorBidi"/>
          <w:i w:val="0"/>
          <w:iCs w:val="0"/>
          <w:szCs w:val="24"/>
          <w:lang w:val="fr-FR" w:eastAsia="fr-FR"/>
        </w:rPr>
        <w:t>surtout  dans le cadre d’affections respiratoires</w:t>
      </w:r>
      <w:r w:rsidRPr="00664D0A">
        <w:rPr>
          <w:lang w:val="fr-FR"/>
        </w:rPr>
        <w:t xml:space="preserve"> comme un </w:t>
      </w:r>
      <w:r w:rsidRPr="00664D0A">
        <w:rPr>
          <w:rStyle w:val="Emphasis"/>
          <w:rFonts w:eastAsia="Times New Roman" w:cstheme="majorBidi"/>
          <w:i w:val="0"/>
          <w:iCs w:val="0"/>
          <w:szCs w:val="24"/>
          <w:lang w:val="fr-FR" w:eastAsia="fr-FR"/>
        </w:rPr>
        <w:t xml:space="preserve">antiseptiques , expectorants et antimicrobiens . Il est ainsi fréquemment </w:t>
      </w:r>
      <w:proofErr w:type="gramStart"/>
      <w:r w:rsidRPr="00664D0A">
        <w:rPr>
          <w:rStyle w:val="Emphasis"/>
          <w:rFonts w:eastAsia="Times New Roman" w:cstheme="majorBidi"/>
          <w:i w:val="0"/>
          <w:iCs w:val="0"/>
          <w:szCs w:val="24"/>
          <w:lang w:val="fr-FR" w:eastAsia="fr-FR"/>
        </w:rPr>
        <w:t>mentionné  pour</w:t>
      </w:r>
      <w:proofErr w:type="gramEnd"/>
      <w:r w:rsidRPr="00664D0A">
        <w:rPr>
          <w:rStyle w:val="Emphasis"/>
          <w:rFonts w:eastAsia="Times New Roman" w:cstheme="majorBidi"/>
          <w:i w:val="0"/>
          <w:iCs w:val="0"/>
          <w:szCs w:val="24"/>
          <w:lang w:val="fr-FR" w:eastAsia="fr-FR"/>
        </w:rPr>
        <w:t xml:space="preserve"> diverses situations inflammatoires.</w:t>
      </w:r>
      <w:r w:rsidRPr="00664D0A">
        <w:rPr>
          <w:lang w:val="fr-FR"/>
        </w:rPr>
        <w:t xml:space="preserve"> </w:t>
      </w:r>
      <w:proofErr w:type="gramStart"/>
      <w:r w:rsidRPr="00664D0A">
        <w:rPr>
          <w:lang w:val="fr-FR"/>
        </w:rPr>
        <w:t>et</w:t>
      </w:r>
      <w:proofErr w:type="gramEnd"/>
      <w:r w:rsidRPr="00664D0A">
        <w:rPr>
          <w:lang w:val="fr-FR"/>
        </w:rPr>
        <w:t xml:space="preserve"> pour ses effets antidiabétiques</w:t>
      </w:r>
      <w:r w:rsidRPr="00664D0A">
        <w:rPr>
          <w:rStyle w:val="Emphasis"/>
          <w:rFonts w:eastAsia="Times New Roman" w:cstheme="majorBidi"/>
          <w:i w:val="0"/>
          <w:iCs w:val="0"/>
          <w:szCs w:val="24"/>
          <w:lang w:val="fr-FR" w:eastAsia="fr-FR"/>
        </w:rPr>
        <w:t xml:space="preserve">, Thymus vulgaris présente une activité antioxydante qui va aider à limiter le stress oxydatif au cours du  diabète. Des recherches expérimentales rapportent également une amélioration de certains aspects du métabolisme des glucides, ainsi qu’un effet protecteur possible vis-à-vis de complications </w:t>
      </w:r>
      <w:proofErr w:type="gramStart"/>
      <w:r w:rsidRPr="00664D0A">
        <w:rPr>
          <w:rStyle w:val="Emphasis"/>
          <w:rFonts w:eastAsia="Times New Roman" w:cstheme="majorBidi"/>
          <w:i w:val="0"/>
          <w:iCs w:val="0"/>
          <w:szCs w:val="24"/>
          <w:lang w:val="fr-FR" w:eastAsia="fr-FR"/>
        </w:rPr>
        <w:t>métaboliques.</w:t>
      </w:r>
      <w:r w:rsidR="00116A61">
        <w:rPr>
          <w:rStyle w:val="Emphasis"/>
          <w:rFonts w:eastAsia="Times New Roman" w:cstheme="majorBidi"/>
          <w:i w:val="0"/>
          <w:iCs w:val="0"/>
          <w:szCs w:val="24"/>
          <w:lang w:val="fr-FR" w:eastAsia="fr-FR"/>
        </w:rPr>
        <w:t>(</w:t>
      </w:r>
      <w:proofErr w:type="gramEnd"/>
      <w:r w:rsidR="00116A61">
        <w:rPr>
          <w:rStyle w:val="Emphasis"/>
          <w:rFonts w:eastAsia="Times New Roman" w:cstheme="majorBidi"/>
          <w:i w:val="0"/>
          <w:iCs w:val="0"/>
          <w:szCs w:val="24"/>
          <w:lang w:val="fr-FR" w:eastAsia="fr-FR"/>
        </w:rPr>
        <w:t>121)</w:t>
      </w:r>
    </w:p>
    <w:p w14:paraId="102D2E75" w14:textId="77777777" w:rsidR="00664D0A" w:rsidRPr="00E71797" w:rsidRDefault="00664D0A" w:rsidP="00665FE5">
      <w:pPr>
        <w:pStyle w:val="Heading3"/>
        <w:rPr>
          <w:rtl/>
        </w:rPr>
      </w:pPr>
      <w:r w:rsidRPr="00664D0A">
        <w:t xml:space="preserve">1-2-4/Rosmarinus officinalis </w:t>
      </w:r>
    </w:p>
    <w:p w14:paraId="305BFD12" w14:textId="77777777" w:rsidR="00664D0A" w:rsidRPr="00664D0A" w:rsidRDefault="00664D0A" w:rsidP="00B139C3">
      <w:pPr>
        <w:rPr>
          <w:rFonts w:eastAsia="Times New Roman"/>
          <w:kern w:val="36"/>
          <w:lang w:val="fr-FR" w:eastAsia="fr-FR"/>
        </w:rPr>
      </w:pPr>
      <w:r w:rsidRPr="00664D0A">
        <w:rPr>
          <w:rFonts w:eastAsia="Times New Roman"/>
          <w:kern w:val="36"/>
          <w:lang w:val="fr-FR" w:eastAsia="fr-FR"/>
        </w:rPr>
        <w:t xml:space="preserve">Rosmarinus officinalis (aussi appelé Salvia rosmarinus dans certaines classifications botaniques récentes), connu couramment sous le nom de romarin et en arabe sous le nom </w:t>
      </w:r>
      <w:r w:rsidRPr="00E71797">
        <w:rPr>
          <w:rFonts w:eastAsia="Times New Roman"/>
          <w:kern w:val="36"/>
          <w:rtl/>
          <w:lang w:eastAsia="fr-FR"/>
        </w:rPr>
        <w:t>إكليل الجبل</w:t>
      </w:r>
      <w:r w:rsidRPr="00664D0A">
        <w:rPr>
          <w:rFonts w:eastAsia="Times New Roman"/>
          <w:kern w:val="36"/>
          <w:lang w:val="fr-FR" w:eastAsia="fr-FR"/>
        </w:rPr>
        <w:t>, est une plante médicinale de la famille des Lamiaceae. Elle est originaire de la région méditerranéenne et son usage est bien établi, à la fois dans les pratiques traditionnelles de phytothérapie et dans la cuisine.</w:t>
      </w:r>
    </w:p>
    <w:p w14:paraId="540868B7" w14:textId="77777777" w:rsidR="00664D0A" w:rsidRPr="00664D0A" w:rsidRDefault="00664D0A" w:rsidP="00B139C3">
      <w:pPr>
        <w:rPr>
          <w:rFonts w:eastAsia="Times New Roman"/>
          <w:noProof/>
          <w:lang w:val="fr-FR" w:eastAsia="fr-FR"/>
        </w:rPr>
      </w:pPr>
      <w:proofErr w:type="gramStart"/>
      <w:r w:rsidRPr="00664D0A">
        <w:rPr>
          <w:lang w:val="fr-FR"/>
        </w:rPr>
        <w:t>cette</w:t>
      </w:r>
      <w:proofErr w:type="gramEnd"/>
      <w:r w:rsidRPr="00664D0A">
        <w:rPr>
          <w:lang w:val="fr-FR"/>
        </w:rPr>
        <w:t xml:space="preserve"> plante se distingue, sur le plan morphologique par </w:t>
      </w:r>
      <w:r w:rsidRPr="00664D0A">
        <w:rPr>
          <w:rFonts w:eastAsia="Times New Roman"/>
          <w:kern w:val="36"/>
          <w:lang w:val="fr-FR" w:eastAsia="fr-FR"/>
        </w:rPr>
        <w:t xml:space="preserve">des tiges sont ligneuses et très ramifiées. </w:t>
      </w:r>
      <w:proofErr w:type="gramStart"/>
      <w:r w:rsidRPr="00664D0A">
        <w:rPr>
          <w:rFonts w:eastAsia="Times New Roman"/>
          <w:kern w:val="36"/>
          <w:lang w:val="fr-FR" w:eastAsia="fr-FR"/>
        </w:rPr>
        <w:t>avec</w:t>
      </w:r>
      <w:proofErr w:type="gramEnd"/>
      <w:r w:rsidRPr="00664D0A">
        <w:rPr>
          <w:rFonts w:eastAsia="Times New Roman"/>
          <w:kern w:val="36"/>
          <w:lang w:val="fr-FR" w:eastAsia="fr-FR"/>
        </w:rPr>
        <w:t xml:space="preserve"> des fleurs bleu clair à violettes elles dégagent une odeur marquée, liée à la présence de composés volatils  et elles sont présents  tout les saisons de l'année .</w:t>
      </w:r>
      <w:r w:rsidRPr="00664D0A">
        <w:rPr>
          <w:rFonts w:eastAsia="Times New Roman"/>
          <w:noProof/>
          <w:lang w:val="fr-FR" w:eastAsia="fr-FR"/>
        </w:rPr>
        <w:t xml:space="preserve"> </w:t>
      </w:r>
    </w:p>
    <w:p w14:paraId="61A611C4" w14:textId="77777777" w:rsidR="00664D0A" w:rsidRDefault="00664D0A" w:rsidP="00B139C3">
      <w:r w:rsidRPr="00E71797">
        <w:rPr>
          <w:rFonts w:eastAsia="Times New Roman"/>
          <w:noProof/>
          <w:lang w:val="fr-FR" w:eastAsia="fr-FR"/>
        </w:rPr>
        <w:lastRenderedPageBreak/>
        <w:drawing>
          <wp:inline distT="0" distB="0" distL="0" distR="0" wp14:anchorId="139EA951" wp14:editId="48D24D0F">
            <wp:extent cx="2843789" cy="2520000"/>
            <wp:effectExtent l="133350" t="38100" r="51811" b="70800"/>
            <wp:docPr id="74" name="Image 4" descr="P1090247(4x3)-Rosmarinus_officinalis_(41960388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90247(4x3)-Rosmarinus_officinalis_(41960388224).jpg"/>
                    <pic:cNvPicPr/>
                  </pic:nvPicPr>
                  <pic:blipFill>
                    <a:blip r:embed="rId35" cstate="print"/>
                    <a:stretch>
                      <a:fillRect/>
                    </a:stretch>
                  </pic:blipFill>
                  <pic:spPr>
                    <a:xfrm>
                      <a:off x="0" y="0"/>
                      <a:ext cx="2843789" cy="252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B046B83" w14:textId="0E9D2E4A" w:rsidR="00664D0A" w:rsidRPr="00F96B82" w:rsidRDefault="00664D0A" w:rsidP="00B139C3">
      <w:pPr>
        <w:rPr>
          <w:rFonts w:eastAsia="Times New Roman"/>
          <w:kern w:val="36"/>
          <w:lang w:val="fr-FR" w:eastAsia="fr-FR"/>
        </w:rPr>
      </w:pPr>
      <w:bookmarkStart w:id="108" w:name="_Toc229617307"/>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18</w:t>
      </w:r>
      <w:r>
        <w:rPr>
          <w:noProof/>
        </w:rPr>
        <w:fldChar w:fldCharType="end"/>
      </w:r>
      <w:r w:rsidRPr="00F96B82">
        <w:rPr>
          <w:lang w:val="fr-FR"/>
        </w:rPr>
        <w:t xml:space="preserve"> : Rosmarinus officinalis</w:t>
      </w:r>
      <w:bookmarkEnd w:id="108"/>
    </w:p>
    <w:p w14:paraId="36E7FC88" w14:textId="78DBD84B" w:rsidR="00664D0A" w:rsidRPr="00B91DCD" w:rsidRDefault="00664D0A" w:rsidP="00B91DCD">
      <w:pPr>
        <w:rPr>
          <w:rFonts w:eastAsia="Times New Roman"/>
          <w:kern w:val="36"/>
          <w:lang w:val="fr-FR" w:eastAsia="fr-FR"/>
        </w:rPr>
      </w:pPr>
      <w:r w:rsidRPr="00664D0A">
        <w:rPr>
          <w:lang w:val="fr-FR"/>
        </w:rPr>
        <w:t xml:space="preserve">Sur le plan chimique, elle </w:t>
      </w:r>
      <w:proofErr w:type="gramStart"/>
      <w:r w:rsidRPr="00664D0A">
        <w:rPr>
          <w:lang w:val="fr-FR"/>
        </w:rPr>
        <w:t>contient</w:t>
      </w:r>
      <w:r w:rsidRPr="00664D0A">
        <w:rPr>
          <w:rStyle w:val="Emphasis"/>
          <w:rFonts w:eastAsia="Times New Roman" w:cstheme="majorBidi"/>
          <w:i w:val="0"/>
          <w:iCs w:val="0"/>
          <w:szCs w:val="24"/>
          <w:lang w:val="fr-FR" w:eastAsia="fr-FR"/>
        </w:rPr>
        <w:t xml:space="preserve">  </w:t>
      </w:r>
      <w:r w:rsidRPr="00664D0A">
        <w:rPr>
          <w:rFonts w:eastAsia="Times New Roman"/>
          <w:kern w:val="36"/>
          <w:lang w:val="fr-FR" w:eastAsia="fr-FR"/>
        </w:rPr>
        <w:t>notamment</w:t>
      </w:r>
      <w:proofErr w:type="gramEnd"/>
      <w:r w:rsidRPr="00664D0A">
        <w:rPr>
          <w:rFonts w:eastAsia="Times New Roman"/>
          <w:kern w:val="36"/>
          <w:lang w:val="fr-FR" w:eastAsia="fr-FR"/>
        </w:rPr>
        <w:t xml:space="preserve"> de l’acide rosmarinique avec des huiles essentielles (comme le 1,8-cinéole, l’</w:t>
      </w:r>
      <w:r w:rsidRPr="00E71797">
        <w:rPr>
          <w:rFonts w:eastAsia="Times New Roman"/>
          <w:kern w:val="36"/>
          <w:lang w:eastAsia="fr-FR"/>
        </w:rPr>
        <w:t>α</w:t>
      </w:r>
      <w:r w:rsidRPr="00664D0A">
        <w:rPr>
          <w:rFonts w:eastAsia="Times New Roman"/>
          <w:kern w:val="36"/>
          <w:lang w:val="fr-FR" w:eastAsia="fr-FR"/>
        </w:rPr>
        <w:t xml:space="preserve">-pinène et le bornéol). On y retrouve aussi certains diterpènes phénoliques dont l’acide carnosique et le </w:t>
      </w:r>
      <w:proofErr w:type="gramStart"/>
      <w:r w:rsidRPr="00664D0A">
        <w:rPr>
          <w:rFonts w:eastAsia="Times New Roman"/>
          <w:kern w:val="36"/>
          <w:lang w:val="fr-FR" w:eastAsia="fr-FR"/>
        </w:rPr>
        <w:t>carnosol  ;</w:t>
      </w:r>
      <w:proofErr w:type="gramEnd"/>
      <w:r w:rsidRPr="00664D0A">
        <w:rPr>
          <w:rFonts w:eastAsia="Times New Roman"/>
          <w:kern w:val="36"/>
          <w:lang w:val="fr-FR" w:eastAsia="fr-FR"/>
        </w:rPr>
        <w:t>Ces substances ont des effets antioxydants et plusieurs intérêts pharmacologiques.</w:t>
      </w:r>
      <w:r w:rsidRPr="00664D0A">
        <w:rPr>
          <w:rStyle w:val="Emphasis"/>
          <w:rFonts w:eastAsia="Times New Roman" w:cstheme="majorBidi"/>
          <w:i w:val="0"/>
          <w:iCs w:val="0"/>
          <w:szCs w:val="24"/>
          <w:lang w:val="fr-FR" w:eastAsia="fr-FR"/>
        </w:rPr>
        <w:t xml:space="preserve"> . </w:t>
      </w:r>
      <w:proofErr w:type="gramStart"/>
      <w:r w:rsidRPr="00664D0A">
        <w:rPr>
          <w:lang w:val="fr-FR"/>
        </w:rPr>
        <w:t>cette</w:t>
      </w:r>
      <w:proofErr w:type="gramEnd"/>
      <w:r w:rsidRPr="00664D0A">
        <w:rPr>
          <w:lang w:val="fr-FR"/>
        </w:rPr>
        <w:t xml:space="preserve"> plante était traditionnellement employée</w:t>
      </w:r>
      <w:r w:rsidRPr="00664D0A">
        <w:rPr>
          <w:rFonts w:eastAsia="Times New Roman"/>
          <w:kern w:val="36"/>
          <w:lang w:val="fr-FR" w:eastAsia="fr-FR"/>
        </w:rPr>
        <w:t xml:space="preserve"> comme un soutien de la digestion et comme un antispasmodique et comme  un agent tonique et aussi utiliser pour ameliore une fatigue modérée</w:t>
      </w:r>
      <w:r w:rsidRPr="00664D0A">
        <w:rPr>
          <w:lang w:val="fr-FR"/>
        </w:rPr>
        <w:t xml:space="preserve"> et pour ses effets antidiabétiques</w:t>
      </w:r>
      <w:r w:rsidRPr="00664D0A">
        <w:rPr>
          <w:rFonts w:eastAsia="Times New Roman"/>
          <w:kern w:val="36"/>
          <w:lang w:val="fr-FR" w:eastAsia="fr-FR"/>
        </w:rPr>
        <w:t xml:space="preserve">  Rosmarinus officinalis pourrait contribuer à améliorer la sensibilité à l’insuline donc  favoriser  la régulation de la glycémie et apporter </w:t>
      </w:r>
      <w:r w:rsidR="00B91DCD">
        <w:rPr>
          <w:rFonts w:eastAsia="Times New Roman"/>
          <w:kern w:val="36"/>
          <w:lang w:val="fr-FR" w:eastAsia="fr-FR"/>
        </w:rPr>
        <w:t>une action antioxydante notable</w:t>
      </w:r>
      <w:r w:rsidR="00116A61">
        <w:rPr>
          <w:rFonts w:eastAsia="Times New Roman"/>
          <w:kern w:val="36"/>
          <w:lang w:val="fr-FR" w:eastAsia="fr-FR"/>
        </w:rPr>
        <w:t xml:space="preserve"> (121)</w:t>
      </w:r>
    </w:p>
    <w:p w14:paraId="7CCFB09D" w14:textId="77777777" w:rsidR="00664D0A" w:rsidRPr="00664D0A" w:rsidRDefault="00664D0A" w:rsidP="00665FE5">
      <w:pPr>
        <w:pStyle w:val="Heading3"/>
      </w:pPr>
      <w:r w:rsidRPr="00664D0A">
        <w:t>1-2-5/Lavandula stoechas (Lavande / Khouzama)</w:t>
      </w:r>
    </w:p>
    <w:p w14:paraId="46B7749D" w14:textId="77777777" w:rsidR="00664D0A" w:rsidRPr="00E71797" w:rsidRDefault="00664D0A" w:rsidP="00B139C3">
      <w:pPr>
        <w:rPr>
          <w:noProof/>
          <w:lang w:eastAsia="fr-FR"/>
        </w:rPr>
      </w:pPr>
      <w:proofErr w:type="gramStart"/>
      <w:r w:rsidRPr="00664D0A">
        <w:rPr>
          <w:lang w:val="fr-FR"/>
        </w:rPr>
        <w:t>sur</w:t>
      </w:r>
      <w:proofErr w:type="gramEnd"/>
      <w:r w:rsidRPr="00664D0A">
        <w:rPr>
          <w:lang w:val="fr-FR"/>
        </w:rPr>
        <w:t xml:space="preserve"> le plan morphologique </w:t>
      </w:r>
      <w:r w:rsidRPr="00664D0A">
        <w:rPr>
          <w:rFonts w:eastAsia="Times New Roman"/>
          <w:lang w:val="fr-FR" w:eastAsia="fr-FR"/>
        </w:rPr>
        <w:t xml:space="preserve">Sous-arbrisseau vivace caractérisé par des épis floraux denses surmontés d'un toupet de bractées violettes stériles. </w:t>
      </w:r>
      <w:r w:rsidRPr="00E71797">
        <w:rPr>
          <w:rFonts w:eastAsia="Times New Roman"/>
          <w:lang w:eastAsia="fr-FR"/>
        </w:rPr>
        <w:t>Les feuilles sont linéaires et grisâtres.</w:t>
      </w:r>
      <w:r w:rsidRPr="00E71797">
        <w:rPr>
          <w:noProof/>
          <w:lang w:eastAsia="fr-FR"/>
        </w:rPr>
        <w:t xml:space="preserve"> </w:t>
      </w:r>
    </w:p>
    <w:p w14:paraId="0701955D" w14:textId="77777777" w:rsidR="00664D0A" w:rsidRDefault="00664D0A" w:rsidP="00B139C3">
      <w:r w:rsidRPr="00E71797">
        <w:rPr>
          <w:noProof/>
          <w:lang w:val="fr-FR" w:eastAsia="fr-FR"/>
        </w:rPr>
        <w:drawing>
          <wp:inline distT="0" distB="0" distL="0" distR="0" wp14:anchorId="46E320F9" wp14:editId="1274D936">
            <wp:extent cx="2736000" cy="2736000"/>
            <wp:effectExtent l="114300" t="38100" r="64350" b="64350"/>
            <wp:docPr id="75" name="Image 10" descr="Lavande papillon - Le pot de 1 litre | bota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vande papillon - Le pot de 1 litre | botanic®"/>
                    <pic:cNvPicPr>
                      <a:picLocks noChangeAspect="1" noChangeArrowheads="1"/>
                    </pic:cNvPicPr>
                  </pic:nvPicPr>
                  <pic:blipFill>
                    <a:blip r:embed="rId36"/>
                    <a:srcRect/>
                    <a:stretch>
                      <a:fillRect/>
                    </a:stretch>
                  </pic:blipFill>
                  <pic:spPr bwMode="auto">
                    <a:xfrm>
                      <a:off x="0" y="0"/>
                      <a:ext cx="2736000" cy="2736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62CBBA98" w14:textId="0F1264C0" w:rsidR="00664D0A" w:rsidRPr="00F96B82" w:rsidRDefault="00664D0A" w:rsidP="00B139C3">
      <w:pPr>
        <w:rPr>
          <w:rFonts w:eastAsia="Times New Roman"/>
          <w:sz w:val="27"/>
          <w:szCs w:val="27"/>
          <w:lang w:val="fr-FR" w:eastAsia="fr-FR"/>
        </w:rPr>
      </w:pPr>
      <w:bookmarkStart w:id="109" w:name="_Toc229617308"/>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19</w:t>
      </w:r>
      <w:r>
        <w:rPr>
          <w:noProof/>
        </w:rPr>
        <w:fldChar w:fldCharType="end"/>
      </w:r>
      <w:r w:rsidRPr="00F96B82">
        <w:rPr>
          <w:noProof/>
          <w:lang w:val="fr-FR"/>
        </w:rPr>
        <w:t>: Lavandula stoechas</w:t>
      </w:r>
      <w:bookmarkEnd w:id="109"/>
    </w:p>
    <w:p w14:paraId="0338C096" w14:textId="71DCCA21" w:rsidR="00664D0A" w:rsidRPr="00B91DCD" w:rsidRDefault="00664D0A" w:rsidP="00B91DCD">
      <w:pPr>
        <w:rPr>
          <w:rFonts w:eastAsia="Times New Roman"/>
          <w:sz w:val="27"/>
          <w:szCs w:val="27"/>
          <w:lang w:val="fr-FR" w:eastAsia="fr-FR"/>
        </w:rPr>
      </w:pPr>
      <w:r w:rsidRPr="00664D0A">
        <w:rPr>
          <w:lang w:val="fr-FR"/>
        </w:rPr>
        <w:lastRenderedPageBreak/>
        <w:t>Sur le plan chimique,</w:t>
      </w:r>
      <w:r w:rsidRPr="00664D0A">
        <w:rPr>
          <w:rFonts w:eastAsia="Times New Roman"/>
          <w:lang w:val="fr-FR" w:eastAsia="fr-FR"/>
        </w:rPr>
        <w:t xml:space="preserve"> Riche en huile essentielle (fenchone, camphre, cinéole) et en composés phénoliques (acide rosmarinique, flavonoïdes).</w:t>
      </w:r>
      <w:r w:rsidRPr="00664D0A">
        <w:rPr>
          <w:rFonts w:eastAsia="Times New Roman"/>
          <w:sz w:val="27"/>
          <w:szCs w:val="27"/>
          <w:lang w:val="fr-FR" w:eastAsia="fr-FR"/>
        </w:rPr>
        <w:t xml:space="preserve"> </w:t>
      </w:r>
      <w:proofErr w:type="gramStart"/>
      <w:r w:rsidRPr="00664D0A">
        <w:rPr>
          <w:lang w:val="fr-FR"/>
        </w:rPr>
        <w:t>cette</w:t>
      </w:r>
      <w:proofErr w:type="gramEnd"/>
      <w:r w:rsidRPr="00664D0A">
        <w:rPr>
          <w:lang w:val="fr-FR"/>
        </w:rPr>
        <w:t xml:space="preserve"> plante était traditionnellement employée </w:t>
      </w:r>
      <w:r w:rsidRPr="00664D0A">
        <w:rPr>
          <w:rFonts w:eastAsia="Times New Roman"/>
          <w:lang w:val="fr-FR" w:eastAsia="fr-FR"/>
        </w:rPr>
        <w:t xml:space="preserve">Utilisée pour traiter les maux de tête, les rhumatismes et comme antiseptique. </w:t>
      </w:r>
      <w:r w:rsidRPr="00664D0A">
        <w:rPr>
          <w:lang w:val="fr-FR"/>
        </w:rPr>
        <w:t xml:space="preserve"> </w:t>
      </w:r>
      <w:proofErr w:type="gramStart"/>
      <w:r w:rsidRPr="00664D0A">
        <w:rPr>
          <w:lang w:val="fr-FR"/>
        </w:rPr>
        <w:t>pour</w:t>
      </w:r>
      <w:proofErr w:type="gramEnd"/>
      <w:r w:rsidRPr="00664D0A">
        <w:rPr>
          <w:lang w:val="fr-FR"/>
        </w:rPr>
        <w:t xml:space="preserve"> ses effets antidiabétiques</w:t>
      </w:r>
      <w:r w:rsidRPr="00664D0A">
        <w:rPr>
          <w:rFonts w:eastAsia="Times New Roman"/>
          <w:kern w:val="36"/>
          <w:lang w:val="fr-FR" w:eastAsia="fr-FR"/>
        </w:rPr>
        <w:t xml:space="preserve">  </w:t>
      </w:r>
      <w:r w:rsidRPr="00664D0A">
        <w:rPr>
          <w:rFonts w:eastAsia="Times New Roman"/>
          <w:lang w:val="fr-FR" w:eastAsia="fr-FR"/>
        </w:rPr>
        <w:t>Elle agit principalement par son pouvoir antioxydant élevé, protégeant les cellules bêta du pancréas contre le stress oxydatif, et par l'inhibition de l'enzyme alpha-glucosidase, ralentissant l'absorption des glucides</w:t>
      </w:r>
    </w:p>
    <w:p w14:paraId="3340FEC1" w14:textId="77777777" w:rsidR="00664D0A" w:rsidRPr="00B91DCD" w:rsidRDefault="00664D0A" w:rsidP="00665FE5">
      <w:pPr>
        <w:pStyle w:val="Heading3"/>
        <w:rPr>
          <w:lang w:val="en-US"/>
        </w:rPr>
      </w:pPr>
      <w:r w:rsidRPr="00B91DCD">
        <w:rPr>
          <w:lang w:val="en-US"/>
        </w:rPr>
        <w:t>1-2-6/Mentha pulegium (Menthe pouliot / Fliou)</w:t>
      </w:r>
    </w:p>
    <w:p w14:paraId="5F79F7CC" w14:textId="77777777" w:rsidR="00664D0A" w:rsidRPr="00F96B82" w:rsidRDefault="00664D0A" w:rsidP="00665FE5">
      <w:pPr>
        <w:rPr>
          <w:lang w:val="fr-FR"/>
        </w:rPr>
      </w:pPr>
      <w:proofErr w:type="gramStart"/>
      <w:r w:rsidRPr="00F96B82">
        <w:rPr>
          <w:lang w:val="fr-FR"/>
        </w:rPr>
        <w:t>sur</w:t>
      </w:r>
      <w:proofErr w:type="gramEnd"/>
      <w:r w:rsidRPr="00F96B82">
        <w:rPr>
          <w:lang w:val="fr-FR"/>
        </w:rPr>
        <w:t xml:space="preserve"> le plan morphologique Petite plante herbacée rampante aux tiges ramifiées. Les fleurs sont disposées en verticilles globuleux espacés le long de la tige.</w:t>
      </w:r>
    </w:p>
    <w:p w14:paraId="65243B1A" w14:textId="77777777" w:rsidR="00664D0A" w:rsidRDefault="00664D0A" w:rsidP="00B139C3">
      <w:r w:rsidRPr="00E71797">
        <w:rPr>
          <w:noProof/>
          <w:lang w:val="fr-FR" w:eastAsia="fr-FR"/>
        </w:rPr>
        <w:drawing>
          <wp:inline distT="0" distB="0" distL="0" distR="0" wp14:anchorId="27BD9D8C" wp14:editId="3051CECA">
            <wp:extent cx="2781300" cy="3943350"/>
            <wp:effectExtent l="114300" t="19050" r="57150" b="57150"/>
            <wp:docPr id="76" name="Image 13" descr="Mentha pulegium (Peppermint) : MaltaWildPlants.com - the online Flora of the Maltese Is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ntha pulegium (Peppermint) : MaltaWildPlants.com - the online Flora of the Maltese Islands."/>
                    <pic:cNvPicPr>
                      <a:picLocks noChangeAspect="1" noChangeArrowheads="1"/>
                    </pic:cNvPicPr>
                  </pic:nvPicPr>
                  <pic:blipFill>
                    <a:blip r:embed="rId37"/>
                    <a:srcRect/>
                    <a:stretch>
                      <a:fillRect/>
                    </a:stretch>
                  </pic:blipFill>
                  <pic:spPr bwMode="auto">
                    <a:xfrm>
                      <a:off x="0" y="0"/>
                      <a:ext cx="2781300" cy="39433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9FC4729" w14:textId="00402D78" w:rsidR="00664D0A" w:rsidRPr="00F96B82" w:rsidRDefault="00664D0A" w:rsidP="00B139C3">
      <w:pPr>
        <w:rPr>
          <w:rFonts w:eastAsia="Times New Roman"/>
          <w:sz w:val="27"/>
          <w:szCs w:val="27"/>
          <w:lang w:val="fr-FR" w:eastAsia="fr-FR"/>
        </w:rPr>
      </w:pPr>
      <w:bookmarkStart w:id="110" w:name="_Toc229617309"/>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20</w:t>
      </w:r>
      <w:r>
        <w:rPr>
          <w:noProof/>
        </w:rPr>
        <w:fldChar w:fldCharType="end"/>
      </w:r>
      <w:r w:rsidRPr="00F96B82">
        <w:rPr>
          <w:lang w:val="fr-FR"/>
        </w:rPr>
        <w:t xml:space="preserve"> : Mentha pulegium</w:t>
      </w:r>
      <w:bookmarkEnd w:id="110"/>
    </w:p>
    <w:p w14:paraId="03C91CE5" w14:textId="123B17C0" w:rsidR="00664D0A" w:rsidRPr="00B91DCD" w:rsidRDefault="00664D0A" w:rsidP="00116A61">
      <w:pPr>
        <w:rPr>
          <w:rFonts w:eastAsia="Times New Roman"/>
          <w:sz w:val="27"/>
          <w:szCs w:val="27"/>
          <w:lang w:val="fr-FR" w:eastAsia="fr-FR"/>
        </w:rPr>
      </w:pPr>
      <w:r w:rsidRPr="00664D0A">
        <w:rPr>
          <w:lang w:val="fr-FR"/>
        </w:rPr>
        <w:t xml:space="preserve">Sur le plan chimique, </w:t>
      </w:r>
      <w:r w:rsidRPr="00664D0A">
        <w:rPr>
          <w:rFonts w:eastAsia="Times New Roman"/>
          <w:lang w:val="fr-FR" w:eastAsia="fr-FR"/>
        </w:rPr>
        <w:t xml:space="preserve">Dominée par la pulégone (monoterpène cétonique), le menthone et des flavonoïdes. </w:t>
      </w:r>
      <w:proofErr w:type="gramStart"/>
      <w:r w:rsidRPr="00664D0A">
        <w:rPr>
          <w:lang w:val="fr-FR"/>
        </w:rPr>
        <w:t>cette</w:t>
      </w:r>
      <w:proofErr w:type="gramEnd"/>
      <w:r w:rsidRPr="00664D0A">
        <w:rPr>
          <w:lang w:val="fr-FR"/>
        </w:rPr>
        <w:t xml:space="preserve"> plante était traditionnellement employée </w:t>
      </w:r>
      <w:r w:rsidRPr="00664D0A">
        <w:rPr>
          <w:rFonts w:eastAsia="Times New Roman"/>
          <w:lang w:val="fr-FR" w:eastAsia="fr-FR"/>
        </w:rPr>
        <w:t xml:space="preserve">Reconnue pour ses propriétés digestives, carminatives et emménagogues. </w:t>
      </w:r>
      <w:proofErr w:type="gramStart"/>
      <w:r w:rsidRPr="00664D0A">
        <w:rPr>
          <w:lang w:val="fr-FR"/>
        </w:rPr>
        <w:t>pour</w:t>
      </w:r>
      <w:proofErr w:type="gramEnd"/>
      <w:r w:rsidRPr="00664D0A">
        <w:rPr>
          <w:lang w:val="fr-FR"/>
        </w:rPr>
        <w:t xml:space="preserve"> ses effets antidiabétiques</w:t>
      </w:r>
      <w:r w:rsidRPr="00664D0A">
        <w:rPr>
          <w:rFonts w:eastAsia="Times New Roman"/>
          <w:kern w:val="36"/>
          <w:lang w:val="fr-FR" w:eastAsia="fr-FR"/>
        </w:rPr>
        <w:t xml:space="preserve"> </w:t>
      </w:r>
      <w:r w:rsidRPr="00664D0A">
        <w:rPr>
          <w:rFonts w:eastAsia="Times New Roman"/>
          <w:lang w:val="fr-FR" w:eastAsia="fr-FR"/>
        </w:rPr>
        <w:t>Des études suggèrent qu'elle améliore la sensibilité à l'insuline et possède des effets inhibiteurs sur la glycation des protéines, limitant ainsi les complications du diabète.</w:t>
      </w:r>
      <w:r w:rsidR="00116A61">
        <w:rPr>
          <w:rFonts w:eastAsia="Times New Roman"/>
          <w:lang w:val="fr-FR" w:eastAsia="fr-FR"/>
        </w:rPr>
        <w:fldChar w:fldCharType="begin"/>
      </w:r>
      <w:r w:rsidR="00116A61">
        <w:rPr>
          <w:rFonts w:eastAsia="Times New Roman"/>
          <w:lang w:val="fr-FR" w:eastAsia="fr-FR"/>
        </w:rPr>
        <w:instrText xml:space="preserve"> ADDIN ZOTERO_ITEM CSL_CITATION {"citationID":"03sFszwO","properties":{"unsorted":false,"formattedCitation":"(122)","plainCitation":"(122)","noteIndex":0},"citationItems":[{"id":7,"uris":["http://zotero.org/users/local/KRApiUMP/items/CXCDEFY4"],"itemData":{"id":7,"type":"webpage","title":"Medicinal Plants and Phytomedicines. Linking Plant Biochemistry and Physiology to Human Health | Plant Physiology | Oxford Academic","URL":"https://academic.oup.com/plphys/article-abstract/124/2/507/6098853?redirectedFrom=fulltext","accessed":{"date-parts":[["2026",7,15]]}}}],"schema":"https://github.com/citation-style-language/schema/raw/master/csl-citation.json"} </w:instrText>
      </w:r>
      <w:r w:rsidR="00116A61">
        <w:rPr>
          <w:rFonts w:eastAsia="Times New Roman"/>
          <w:lang w:val="fr-FR" w:eastAsia="fr-FR"/>
        </w:rPr>
        <w:fldChar w:fldCharType="separate"/>
      </w:r>
      <w:r w:rsidR="00116A61" w:rsidRPr="00116A61">
        <w:rPr>
          <w:rFonts w:ascii="Times New Roman" w:hAnsi="Times New Roman" w:cs="Times New Roman"/>
        </w:rPr>
        <w:t>(122)</w:t>
      </w:r>
      <w:r w:rsidR="00116A61">
        <w:rPr>
          <w:rFonts w:eastAsia="Times New Roman"/>
          <w:lang w:val="fr-FR" w:eastAsia="fr-FR"/>
        </w:rPr>
        <w:fldChar w:fldCharType="end"/>
      </w:r>
    </w:p>
    <w:p w14:paraId="55662E58" w14:textId="77777777" w:rsidR="00664D0A" w:rsidRPr="00664D0A" w:rsidRDefault="00664D0A" w:rsidP="00665FE5">
      <w:pPr>
        <w:pStyle w:val="Heading3"/>
      </w:pPr>
      <w:r w:rsidRPr="00664D0A">
        <w:t>1-2-7/ Ajuga iva (Ivette musquée / Chendgoura)</w:t>
      </w:r>
    </w:p>
    <w:p w14:paraId="4C0CC5CD" w14:textId="77777777" w:rsidR="00664D0A" w:rsidRPr="00664D0A" w:rsidRDefault="00664D0A" w:rsidP="00B139C3">
      <w:pPr>
        <w:rPr>
          <w:rFonts w:eastAsia="Times New Roman"/>
          <w:lang w:val="fr-FR" w:eastAsia="fr-FR"/>
        </w:rPr>
      </w:pPr>
      <w:proofErr w:type="gramStart"/>
      <w:r w:rsidRPr="00664D0A">
        <w:rPr>
          <w:lang w:val="fr-FR"/>
        </w:rPr>
        <w:t>sur</w:t>
      </w:r>
      <w:proofErr w:type="gramEnd"/>
      <w:r w:rsidRPr="00664D0A">
        <w:rPr>
          <w:lang w:val="fr-FR"/>
        </w:rPr>
        <w:t xml:space="preserve"> le plan morphologique </w:t>
      </w:r>
      <w:r w:rsidRPr="00664D0A">
        <w:rPr>
          <w:rFonts w:eastAsia="Times New Roman"/>
          <w:lang w:val="fr-FR" w:eastAsia="fr-FR"/>
        </w:rPr>
        <w:t xml:space="preserve">Petite plante ligneuse à la base, très velue, exhalant une odeur de musc. Les fleurs sont roses ou pourpres, nichées à l'aisselle des feuilles. </w:t>
      </w:r>
    </w:p>
    <w:p w14:paraId="210D2F87" w14:textId="77777777" w:rsidR="00664D0A" w:rsidRDefault="00664D0A" w:rsidP="00B139C3">
      <w:r w:rsidRPr="00E71797">
        <w:rPr>
          <w:noProof/>
          <w:lang w:val="fr-FR" w:eastAsia="fr-FR"/>
        </w:rPr>
        <w:lastRenderedPageBreak/>
        <w:drawing>
          <wp:inline distT="0" distB="0" distL="0" distR="0" wp14:anchorId="4D76E76F" wp14:editId="6599752C">
            <wp:extent cx="3564000" cy="2672359"/>
            <wp:effectExtent l="114300" t="38100" r="55500" b="70841"/>
            <wp:docPr id="77" name="Image 16" descr="كيف تنمو Ajuga iva | Eart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كيف تنمو Ajuga iva | EarthOne"/>
                    <pic:cNvPicPr>
                      <a:picLocks noChangeAspect="1" noChangeArrowheads="1"/>
                    </pic:cNvPicPr>
                  </pic:nvPicPr>
                  <pic:blipFill>
                    <a:blip r:embed="rId38" cstate="print"/>
                    <a:srcRect/>
                    <a:stretch>
                      <a:fillRect/>
                    </a:stretch>
                  </pic:blipFill>
                  <pic:spPr bwMode="auto">
                    <a:xfrm>
                      <a:off x="0" y="0"/>
                      <a:ext cx="3564000" cy="267235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11E510A8" w14:textId="446C681A" w:rsidR="00664D0A" w:rsidRPr="00F96B82" w:rsidRDefault="00664D0A" w:rsidP="00B139C3">
      <w:pPr>
        <w:rPr>
          <w:rFonts w:eastAsia="Times New Roman"/>
          <w:lang w:val="fr-FR" w:eastAsia="fr-FR"/>
        </w:rPr>
      </w:pPr>
      <w:bookmarkStart w:id="111" w:name="_Toc229617310"/>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21</w:t>
      </w:r>
      <w:r>
        <w:rPr>
          <w:noProof/>
        </w:rPr>
        <w:fldChar w:fldCharType="end"/>
      </w:r>
      <w:r w:rsidRPr="00F96B82">
        <w:rPr>
          <w:lang w:val="fr-FR"/>
        </w:rPr>
        <w:t xml:space="preserve"> : Ajuga iva</w:t>
      </w:r>
      <w:bookmarkEnd w:id="111"/>
    </w:p>
    <w:p w14:paraId="338C7D37" w14:textId="14AA048C" w:rsidR="00664D0A" w:rsidRPr="00B91DCD" w:rsidRDefault="00664D0A" w:rsidP="00B91DCD">
      <w:pPr>
        <w:rPr>
          <w:rFonts w:eastAsia="Times New Roman"/>
          <w:sz w:val="27"/>
          <w:szCs w:val="27"/>
          <w:lang w:val="fr-FR" w:eastAsia="fr-FR"/>
        </w:rPr>
      </w:pPr>
      <w:r w:rsidRPr="00664D0A">
        <w:rPr>
          <w:lang w:val="fr-FR"/>
        </w:rPr>
        <w:t>Sur le plan chimique,</w:t>
      </w:r>
      <w:r w:rsidRPr="00664D0A">
        <w:rPr>
          <w:rFonts w:eastAsia="Times New Roman"/>
          <w:lang w:val="fr-FR" w:eastAsia="fr-FR"/>
        </w:rPr>
        <w:t xml:space="preserve"> Contient des ecdystéroïdes (phytoecdystones), des iridoïdes et des flavonoïdes. </w:t>
      </w:r>
      <w:proofErr w:type="gramStart"/>
      <w:r w:rsidRPr="00664D0A">
        <w:rPr>
          <w:lang w:val="fr-FR"/>
        </w:rPr>
        <w:t>cette</w:t>
      </w:r>
      <w:proofErr w:type="gramEnd"/>
      <w:r w:rsidRPr="00664D0A">
        <w:rPr>
          <w:lang w:val="fr-FR"/>
        </w:rPr>
        <w:t xml:space="preserve"> plante était traditionnellement employée </w:t>
      </w:r>
      <w:r w:rsidRPr="00664D0A">
        <w:rPr>
          <w:rFonts w:eastAsia="Times New Roman"/>
          <w:lang w:val="fr-FR" w:eastAsia="fr-FR"/>
        </w:rPr>
        <w:t>Plante majeure de la pharmacopée maghrébine pour les troubles gastro-intestinaux et le diabète.</w:t>
      </w:r>
      <w:r w:rsidRPr="00664D0A">
        <w:rPr>
          <w:lang w:val="fr-FR"/>
        </w:rPr>
        <w:t xml:space="preserve"> </w:t>
      </w:r>
      <w:proofErr w:type="gramStart"/>
      <w:r w:rsidRPr="00664D0A">
        <w:rPr>
          <w:lang w:val="fr-FR"/>
        </w:rPr>
        <w:t>pour</w:t>
      </w:r>
      <w:proofErr w:type="gramEnd"/>
      <w:r w:rsidRPr="00664D0A">
        <w:rPr>
          <w:lang w:val="fr-FR"/>
        </w:rPr>
        <w:t xml:space="preserve"> ses effets antidiabétiques </w:t>
      </w:r>
      <w:r w:rsidRPr="00664D0A">
        <w:rPr>
          <w:rFonts w:eastAsia="Times New Roman"/>
          <w:lang w:val="fr-FR" w:eastAsia="fr-FR"/>
        </w:rPr>
        <w:t xml:space="preserve">Elle exerce un effet insulino-mimétique puissant et stimule la sécrétion d'insuline par les cellules du pancréas. Elle réduit également la production hépatique de </w:t>
      </w:r>
      <w:proofErr w:type="gramStart"/>
      <w:r w:rsidRPr="00664D0A">
        <w:rPr>
          <w:rFonts w:eastAsia="Times New Roman"/>
          <w:lang w:val="fr-FR" w:eastAsia="fr-FR"/>
        </w:rPr>
        <w:t>glucose.</w:t>
      </w:r>
      <w:r w:rsidR="00116A61">
        <w:rPr>
          <w:rFonts w:eastAsia="Times New Roman"/>
          <w:lang w:val="fr-FR" w:eastAsia="fr-FR"/>
        </w:rPr>
        <w:t>(</w:t>
      </w:r>
      <w:proofErr w:type="gramEnd"/>
      <w:r w:rsidR="00116A61">
        <w:rPr>
          <w:rFonts w:eastAsia="Times New Roman"/>
          <w:lang w:val="fr-FR" w:eastAsia="fr-FR"/>
        </w:rPr>
        <w:t>122)</w:t>
      </w:r>
    </w:p>
    <w:p w14:paraId="2FAC7428" w14:textId="77777777" w:rsidR="00664D0A" w:rsidRPr="00664D0A" w:rsidRDefault="00664D0A" w:rsidP="00665FE5">
      <w:pPr>
        <w:pStyle w:val="Heading3"/>
      </w:pPr>
      <w:r w:rsidRPr="00664D0A">
        <w:t>1-2-8/Marrubium vulgare (Marrube blanc / Merriouet)</w:t>
      </w:r>
    </w:p>
    <w:p w14:paraId="05F0FFD2" w14:textId="77777777" w:rsidR="00664D0A" w:rsidRPr="00664D0A" w:rsidRDefault="00664D0A" w:rsidP="00B139C3">
      <w:pPr>
        <w:rPr>
          <w:noProof/>
          <w:lang w:val="fr-FR" w:eastAsia="fr-FR"/>
        </w:rPr>
      </w:pPr>
      <w:proofErr w:type="gramStart"/>
      <w:r w:rsidRPr="00664D0A">
        <w:rPr>
          <w:lang w:val="fr-FR"/>
        </w:rPr>
        <w:t>sur</w:t>
      </w:r>
      <w:proofErr w:type="gramEnd"/>
      <w:r w:rsidRPr="00664D0A">
        <w:rPr>
          <w:lang w:val="fr-FR"/>
        </w:rPr>
        <w:t xml:space="preserve"> le plan morphologique </w:t>
      </w:r>
      <w:r w:rsidRPr="00664D0A">
        <w:rPr>
          <w:rFonts w:eastAsia="Times New Roman"/>
          <w:lang w:val="fr-FR" w:eastAsia="fr-FR"/>
        </w:rPr>
        <w:t>Plante vivace blanchâtre à l'aspect laineux. Les feuilles sont gaufrées et dentées, et les fleurs blanches sont groupées en boules serrées.</w:t>
      </w:r>
      <w:r w:rsidRPr="00664D0A">
        <w:rPr>
          <w:noProof/>
          <w:lang w:val="fr-FR" w:eastAsia="fr-FR"/>
        </w:rPr>
        <w:t xml:space="preserve"> </w:t>
      </w:r>
    </w:p>
    <w:p w14:paraId="0992D43D" w14:textId="77777777" w:rsidR="00664D0A" w:rsidRDefault="00664D0A" w:rsidP="00B139C3">
      <w:r w:rsidRPr="00E71797">
        <w:rPr>
          <w:noProof/>
          <w:lang w:val="fr-FR" w:eastAsia="fr-FR"/>
        </w:rPr>
        <w:drawing>
          <wp:inline distT="0" distB="0" distL="0" distR="0" wp14:anchorId="4B310FBF" wp14:editId="3435E868">
            <wp:extent cx="3356738" cy="3024000"/>
            <wp:effectExtent l="95250" t="38100" r="72262" b="62100"/>
            <wp:docPr id="78" name="Image 22" descr="The horehound,Marrubium vulgare, medicinal plant in the garden. Leaves smell of apple, but they taste really bitter. This herb has universal effects and supports the work of our 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e horehound,Marrubium vulgare, medicinal plant in the garden. Leaves smell of apple, but they taste really bitter. This herb has universal effects and supports the work of our heart."/>
                    <pic:cNvPicPr>
                      <a:picLocks noChangeAspect="1" noChangeArrowheads="1"/>
                    </pic:cNvPicPr>
                  </pic:nvPicPr>
                  <pic:blipFill>
                    <a:blip r:embed="rId39" cstate="print"/>
                    <a:srcRect/>
                    <a:stretch>
                      <a:fillRect/>
                    </a:stretch>
                  </pic:blipFill>
                  <pic:spPr bwMode="auto">
                    <a:xfrm>
                      <a:off x="0" y="0"/>
                      <a:ext cx="3356738" cy="3024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60E4DD6F" w14:textId="139555B7" w:rsidR="00664D0A" w:rsidRPr="00F96B82" w:rsidRDefault="00664D0A" w:rsidP="00B139C3">
      <w:pPr>
        <w:rPr>
          <w:rFonts w:eastAsia="Times New Roman"/>
          <w:lang w:val="fr-FR" w:eastAsia="fr-FR"/>
        </w:rPr>
      </w:pPr>
      <w:bookmarkStart w:id="112" w:name="_Toc229617311"/>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22</w:t>
      </w:r>
      <w:r>
        <w:rPr>
          <w:noProof/>
        </w:rPr>
        <w:fldChar w:fldCharType="end"/>
      </w:r>
      <w:r w:rsidRPr="00F96B82">
        <w:rPr>
          <w:noProof/>
          <w:lang w:val="fr-FR"/>
        </w:rPr>
        <w:t xml:space="preserve"> : Marrubium vulgare</w:t>
      </w:r>
      <w:bookmarkEnd w:id="112"/>
    </w:p>
    <w:p w14:paraId="43E3443B" w14:textId="52198834" w:rsidR="00664D0A" w:rsidRPr="00B91DCD" w:rsidRDefault="00664D0A" w:rsidP="00B91DCD">
      <w:pPr>
        <w:rPr>
          <w:rFonts w:eastAsia="Times New Roman"/>
          <w:lang w:val="fr-FR" w:eastAsia="fr-FR"/>
        </w:rPr>
      </w:pPr>
      <w:r w:rsidRPr="00664D0A">
        <w:rPr>
          <w:lang w:val="fr-FR"/>
        </w:rPr>
        <w:lastRenderedPageBreak/>
        <w:t>Sur le plan chimique,</w:t>
      </w:r>
      <w:r w:rsidRPr="00664D0A">
        <w:rPr>
          <w:rFonts w:eastAsia="Times New Roman"/>
          <w:lang w:val="fr-FR" w:eastAsia="fr-FR"/>
        </w:rPr>
        <w:t xml:space="preserve"> Riche en principes amers, notamment la marrubiine (diterpène), ainsi qu'en acides </w:t>
      </w:r>
      <w:proofErr w:type="gramStart"/>
      <w:r w:rsidRPr="00664D0A">
        <w:rPr>
          <w:rFonts w:eastAsia="Times New Roman"/>
          <w:lang w:val="fr-FR" w:eastAsia="fr-FR"/>
        </w:rPr>
        <w:t xml:space="preserve">phénoliques  </w:t>
      </w:r>
      <w:r w:rsidRPr="00664D0A">
        <w:rPr>
          <w:lang w:val="fr-FR"/>
        </w:rPr>
        <w:t>cette</w:t>
      </w:r>
      <w:proofErr w:type="gramEnd"/>
      <w:r w:rsidRPr="00664D0A">
        <w:rPr>
          <w:lang w:val="fr-FR"/>
        </w:rPr>
        <w:t xml:space="preserve"> plante était traditionnellement employée</w:t>
      </w:r>
      <w:r w:rsidRPr="00664D0A">
        <w:rPr>
          <w:rFonts w:eastAsia="Times New Roman"/>
          <w:lang w:val="fr-FR" w:eastAsia="fr-FR"/>
        </w:rPr>
        <w:t xml:space="preserve"> Utilisée contre la toux, la fièvre et pour stimuler la bile.</w:t>
      </w:r>
      <w:r w:rsidRPr="00664D0A">
        <w:rPr>
          <w:lang w:val="fr-FR"/>
        </w:rPr>
        <w:t>pour ses effets antidiabétiques</w:t>
      </w:r>
      <w:r w:rsidRPr="00664D0A">
        <w:rPr>
          <w:rFonts w:eastAsia="Times New Roman"/>
          <w:lang w:val="fr-FR" w:eastAsia="fr-FR"/>
        </w:rPr>
        <w:t>: La marrubiine stimule la sécrétion d'insuline et favorise l'utilisation du glucose par les tissus périph</w:t>
      </w:r>
      <w:r w:rsidR="00B91DCD">
        <w:rPr>
          <w:rFonts w:eastAsia="Times New Roman"/>
          <w:lang w:val="fr-FR" w:eastAsia="fr-FR"/>
        </w:rPr>
        <w:t>ériques (effet hypoglycémiant).</w:t>
      </w:r>
      <w:r w:rsidR="00116A61">
        <w:rPr>
          <w:rFonts w:eastAsia="Times New Roman"/>
          <w:lang w:val="fr-FR" w:eastAsia="fr-FR"/>
        </w:rPr>
        <w:t>(119)</w:t>
      </w:r>
    </w:p>
    <w:p w14:paraId="00BD62A8" w14:textId="77777777" w:rsidR="00664D0A" w:rsidRPr="00664D0A" w:rsidRDefault="00664D0A" w:rsidP="00665FE5">
      <w:pPr>
        <w:pStyle w:val="Heading3"/>
      </w:pPr>
      <w:r w:rsidRPr="00664D0A">
        <w:t>1-2-9/Salvia officinalis (Sauge / Swak en-nabi)</w:t>
      </w:r>
    </w:p>
    <w:p w14:paraId="7C7E64A0" w14:textId="77777777" w:rsidR="00664D0A" w:rsidRPr="00E71797" w:rsidRDefault="00664D0A" w:rsidP="00B139C3">
      <w:pPr>
        <w:rPr>
          <w:rFonts w:eastAsia="Times New Roman"/>
          <w:lang w:eastAsia="fr-FR"/>
        </w:rPr>
      </w:pPr>
      <w:proofErr w:type="gramStart"/>
      <w:r w:rsidRPr="00664D0A">
        <w:rPr>
          <w:lang w:val="fr-FR"/>
        </w:rPr>
        <w:t>sur</w:t>
      </w:r>
      <w:proofErr w:type="gramEnd"/>
      <w:r w:rsidRPr="00664D0A">
        <w:rPr>
          <w:lang w:val="fr-FR"/>
        </w:rPr>
        <w:t xml:space="preserve"> le plan morphologique </w:t>
      </w:r>
      <w:r w:rsidRPr="00664D0A">
        <w:rPr>
          <w:rFonts w:eastAsia="Times New Roman"/>
          <w:lang w:val="fr-FR" w:eastAsia="fr-FR"/>
        </w:rPr>
        <w:t xml:space="preserve">Arbrisseau aux feuilles épaisses, ovales, gris-vert et veloutées. </w:t>
      </w:r>
      <w:r w:rsidRPr="00E71797">
        <w:rPr>
          <w:rFonts w:eastAsia="Times New Roman"/>
          <w:lang w:eastAsia="fr-FR"/>
        </w:rPr>
        <w:t xml:space="preserve">Les fleurs sont généralement bleu-violet. </w:t>
      </w:r>
    </w:p>
    <w:p w14:paraId="17E744AA" w14:textId="77777777" w:rsidR="00664D0A" w:rsidRDefault="00664D0A" w:rsidP="00B139C3">
      <w:r w:rsidRPr="00E71797">
        <w:rPr>
          <w:noProof/>
          <w:lang w:val="fr-FR" w:eastAsia="fr-FR"/>
        </w:rPr>
        <w:drawing>
          <wp:inline distT="0" distB="0" distL="0" distR="0" wp14:anchorId="1321A557" wp14:editId="0CD0BFFE">
            <wp:extent cx="3492000" cy="3492000"/>
            <wp:effectExtent l="133350" t="38100" r="51300" b="70350"/>
            <wp:docPr id="79" name="Image 25" descr="Sage herb in the garden -  salvia officina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age herb in the garden -  salvia officinalis."/>
                    <pic:cNvPicPr>
                      <a:picLocks noChangeAspect="1" noChangeArrowheads="1"/>
                    </pic:cNvPicPr>
                  </pic:nvPicPr>
                  <pic:blipFill>
                    <a:blip r:embed="rId40" cstate="print"/>
                    <a:srcRect/>
                    <a:stretch>
                      <a:fillRect/>
                    </a:stretch>
                  </pic:blipFill>
                  <pic:spPr bwMode="auto">
                    <a:xfrm>
                      <a:off x="0" y="0"/>
                      <a:ext cx="3492000" cy="3492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1E41FA69" w14:textId="45F78032" w:rsidR="00664D0A" w:rsidRPr="00F96B82" w:rsidRDefault="00664D0A" w:rsidP="00B139C3">
      <w:pPr>
        <w:rPr>
          <w:rFonts w:eastAsia="Times New Roman"/>
          <w:lang w:val="fr-FR" w:eastAsia="fr-FR"/>
        </w:rPr>
      </w:pPr>
      <w:bookmarkStart w:id="113" w:name="_Toc229617312"/>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23</w:t>
      </w:r>
      <w:r>
        <w:rPr>
          <w:noProof/>
        </w:rPr>
        <w:fldChar w:fldCharType="end"/>
      </w:r>
      <w:r w:rsidRPr="00F96B82">
        <w:rPr>
          <w:lang w:val="fr-FR"/>
        </w:rPr>
        <w:t xml:space="preserve"> : Salvia officinalis</w:t>
      </w:r>
      <w:bookmarkEnd w:id="113"/>
    </w:p>
    <w:p w14:paraId="2F06AC3F" w14:textId="2858C2DF" w:rsidR="00664D0A" w:rsidRPr="00B91DCD" w:rsidRDefault="00664D0A" w:rsidP="00116A61">
      <w:pPr>
        <w:rPr>
          <w:lang w:val="fr-FR"/>
        </w:rPr>
      </w:pPr>
      <w:r w:rsidRPr="00664D0A">
        <w:rPr>
          <w:lang w:val="fr-FR"/>
        </w:rPr>
        <w:t>Sur le plan chimique,</w:t>
      </w:r>
      <w:r w:rsidRPr="00664D0A">
        <w:rPr>
          <w:rFonts w:eastAsia="Times New Roman"/>
          <w:lang w:val="fr-FR" w:eastAsia="fr-FR"/>
        </w:rPr>
        <w:t xml:space="preserve"> Huile essentielle (thuyone, cinéole), tanins et acide rosmarinique. </w:t>
      </w:r>
      <w:proofErr w:type="gramStart"/>
      <w:r w:rsidRPr="00664D0A">
        <w:rPr>
          <w:lang w:val="fr-FR"/>
        </w:rPr>
        <w:t>cette</w:t>
      </w:r>
      <w:proofErr w:type="gramEnd"/>
      <w:r w:rsidRPr="00664D0A">
        <w:rPr>
          <w:lang w:val="fr-FR"/>
        </w:rPr>
        <w:t xml:space="preserve"> plante était traditionnellement </w:t>
      </w:r>
      <w:r w:rsidRPr="00664D0A">
        <w:rPr>
          <w:rFonts w:eastAsia="Times New Roman"/>
          <w:lang w:val="fr-FR" w:eastAsia="fr-FR"/>
        </w:rPr>
        <w:t xml:space="preserve">"Sauge" vient de salvare (sauver). Utilisée pour les troubles hormonaux, la digestion et l'inflammation. </w:t>
      </w:r>
      <w:proofErr w:type="gramStart"/>
      <w:r w:rsidRPr="00664D0A">
        <w:rPr>
          <w:lang w:val="fr-FR"/>
        </w:rPr>
        <w:t>pour</w:t>
      </w:r>
      <w:proofErr w:type="gramEnd"/>
      <w:r w:rsidRPr="00664D0A">
        <w:rPr>
          <w:lang w:val="fr-FR"/>
        </w:rPr>
        <w:t xml:space="preserve"> ses effets antidiabétiques</w:t>
      </w:r>
      <w:r w:rsidRPr="00664D0A">
        <w:rPr>
          <w:rFonts w:eastAsia="Times New Roman"/>
          <w:lang w:val="fr-FR" w:eastAsia="fr-FR"/>
        </w:rPr>
        <w:t>: Elle active les récepteurs PPAR-$\gamma$, augmentant la sensibilité à l'insuline, de manière similaire à certains médicaments antidiabétiques (thiazolidinediones).</w:t>
      </w:r>
      <w:r w:rsidR="00116A61">
        <w:rPr>
          <w:rFonts w:eastAsia="Times New Roman"/>
          <w:lang w:val="fr-FR" w:eastAsia="fr-FR"/>
        </w:rPr>
        <w:fldChar w:fldCharType="begin"/>
      </w:r>
      <w:r w:rsidR="00116A61">
        <w:rPr>
          <w:rFonts w:eastAsia="Times New Roman"/>
          <w:lang w:val="fr-FR" w:eastAsia="fr-FR"/>
        </w:rPr>
        <w:instrText xml:space="preserve"> ADDIN ZOTERO_ITEM CSL_CITATION {"citationID":"cXd99ZmY","properties":{"unsorted":false,"formattedCitation":"(123)","plainCitation":"(123)","noteIndex":0},"citationItems":[{"id":9,"uris":["http://zotero.org/users/local/KRApiUMP/items/47XWQYZY"],"itemData":{"id":9,"type":"article-journal","abstract":"Diabetes mellitus (DM) comprises a range of metabolic disorders characterized by high blood glucose levels caused by defects in insulin release, insulin action, or both. DM is a widespread condition that affects a substantial portion of the global population, causing high morbidity and mortality rates. The prevalence of this major public health crisis is predicted to increase in the forthcoming years. Although several drugs are available to manage DM, these are associated with adverse side effects, which limits their use. In underdeveloped countries, where such drugs are often costly and not widely available, many people continue to rely on alternative traditional medicine, including medicinal plants. The latter serves as a source of primary healthcare and plant-based foods in many low- and middle-income countries. Interestingly, many of the phytochemicals they contain have been demonstrated to possess antidiabetic activity such as lowering blood glucose levels, stimulating insulin secretion, and alleviating diabetic complications. Therefore, such plants may provide protective effects that could be used in the management of DM. The purpose of this article was to review the medicinal plant-based foods traditionally used for the management of DM, including their therapeutic effects, pharmacologically active phytoconstituents, and antidiabetic mode of action at the molecular level. It also presents future avenues for research in this field.","container-title":"Nutrients","DOI":"10.3390/nu15143266","ISSN":"2072-6643","issue":"14","language":"en","license":"http://creativecommons.org/licenses/by/3.0/","page":"3266","publisher":"Multidisciplinary Digital Publishing Institute","source":"www.mdpi.com","title":"Protective Effects of Medicinal Plant-Based Foods against Diabetes: A Review on Pharmacology, Phytochemistry, and Molecular Mechanisms","title-short":"Protective Effects of Medicinal Plant-Based Foods against Diabetes","volume":"15","author":[{"family":"Ansari","given":"Prawej"},{"family":"Samia","given":"Jannatul F."},{"family":"Khan","given":"Joyeeta T."},{"family":"Rafi","given":"Musfiqur R."},{"family":"Rahman","given":"Md Sifat"},{"family":"Rahman","given":"Akib B."},{"family":"Abdel-Wahab","given":"Yasser H. A."},{"family":"Seidel","given":"Veronique"}],"issued":{"date-parts":[["2023",1]]}}}],"schema":"https://github.com/citation-style-language/schema/raw/master/csl-citation.json"} </w:instrText>
      </w:r>
      <w:r w:rsidR="00116A61">
        <w:rPr>
          <w:rFonts w:eastAsia="Times New Roman"/>
          <w:lang w:val="fr-FR" w:eastAsia="fr-FR"/>
        </w:rPr>
        <w:fldChar w:fldCharType="separate"/>
      </w:r>
      <w:r w:rsidR="00116A61" w:rsidRPr="00116A61">
        <w:rPr>
          <w:rFonts w:ascii="Times New Roman" w:hAnsi="Times New Roman" w:cs="Times New Roman"/>
          <w:lang w:val="fr-FR"/>
        </w:rPr>
        <w:t>(123)</w:t>
      </w:r>
      <w:r w:rsidR="00116A61">
        <w:rPr>
          <w:rFonts w:eastAsia="Times New Roman"/>
          <w:lang w:val="fr-FR" w:eastAsia="fr-FR"/>
        </w:rPr>
        <w:fldChar w:fldCharType="end"/>
      </w:r>
    </w:p>
    <w:p w14:paraId="2E0AC5E7" w14:textId="77777777" w:rsidR="00664D0A" w:rsidRPr="00664D0A" w:rsidRDefault="00664D0A" w:rsidP="00665FE5">
      <w:pPr>
        <w:pStyle w:val="Heading3"/>
      </w:pPr>
      <w:r w:rsidRPr="00664D0A">
        <w:t>1-2-10/Ocimum basilicum (Basilic / Habaq)</w:t>
      </w:r>
    </w:p>
    <w:p w14:paraId="6E5700AA" w14:textId="77777777" w:rsidR="00664D0A" w:rsidRPr="00116A61" w:rsidRDefault="00664D0A" w:rsidP="00B139C3">
      <w:pPr>
        <w:rPr>
          <w:noProof/>
          <w:lang w:val="fr-FR" w:eastAsia="fr-FR"/>
        </w:rPr>
      </w:pPr>
      <w:proofErr w:type="gramStart"/>
      <w:r w:rsidRPr="00664D0A">
        <w:rPr>
          <w:lang w:val="fr-FR"/>
        </w:rPr>
        <w:t>sur</w:t>
      </w:r>
      <w:proofErr w:type="gramEnd"/>
      <w:r w:rsidRPr="00664D0A">
        <w:rPr>
          <w:lang w:val="fr-FR"/>
        </w:rPr>
        <w:t xml:space="preserve"> le plan morphologique </w:t>
      </w:r>
      <w:r w:rsidRPr="00664D0A">
        <w:rPr>
          <w:rFonts w:eastAsia="Times New Roman"/>
          <w:lang w:val="fr-FR" w:eastAsia="fr-FR"/>
        </w:rPr>
        <w:t xml:space="preserve">Plante annuelle aux feuilles ovales, lisses et très odorantes. </w:t>
      </w:r>
      <w:r w:rsidRPr="00116A61">
        <w:rPr>
          <w:rFonts w:eastAsia="Times New Roman"/>
          <w:lang w:val="fr-FR" w:eastAsia="fr-FR"/>
        </w:rPr>
        <w:t xml:space="preserve">Les fleurs sont petites et blanches. </w:t>
      </w:r>
    </w:p>
    <w:p w14:paraId="1AC15A1E" w14:textId="77777777" w:rsidR="00664D0A" w:rsidRPr="00116A61" w:rsidRDefault="00664D0A" w:rsidP="00B139C3">
      <w:pPr>
        <w:rPr>
          <w:lang w:val="fr-FR"/>
        </w:rPr>
      </w:pPr>
      <w:r w:rsidRPr="00E71797">
        <w:rPr>
          <w:noProof/>
          <w:lang w:val="fr-FR" w:eastAsia="fr-FR"/>
        </w:rPr>
        <w:lastRenderedPageBreak/>
        <w:drawing>
          <wp:inline distT="0" distB="0" distL="0" distR="0" wp14:anchorId="3F622E64" wp14:editId="349A983B">
            <wp:extent cx="3995699" cy="2664000"/>
            <wp:effectExtent l="95250" t="38100" r="23851" b="60150"/>
            <wp:docPr id="80" name="Image 28" descr="Ocimum basilic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Ocimum basilicum"/>
                    <pic:cNvPicPr>
                      <a:picLocks noChangeAspect="1" noChangeArrowheads="1"/>
                    </pic:cNvPicPr>
                  </pic:nvPicPr>
                  <pic:blipFill>
                    <a:blip r:embed="rId41" cstate="print"/>
                    <a:srcRect/>
                    <a:stretch>
                      <a:fillRect/>
                    </a:stretch>
                  </pic:blipFill>
                  <pic:spPr bwMode="auto">
                    <a:xfrm>
                      <a:off x="0" y="0"/>
                      <a:ext cx="3995699" cy="2664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6AAFB28" w14:textId="5CF2C876" w:rsidR="00664D0A" w:rsidRPr="00F96B82" w:rsidRDefault="00664D0A" w:rsidP="00B139C3">
      <w:pPr>
        <w:rPr>
          <w:lang w:val="fr-FR"/>
        </w:rPr>
      </w:pPr>
      <w:bookmarkStart w:id="114" w:name="_Toc229617313"/>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24</w:t>
      </w:r>
      <w:r>
        <w:rPr>
          <w:noProof/>
        </w:rPr>
        <w:fldChar w:fldCharType="end"/>
      </w:r>
      <w:r w:rsidRPr="00F96B82">
        <w:rPr>
          <w:lang w:val="fr-FR"/>
        </w:rPr>
        <w:t xml:space="preserve"> : Ocimum basilicum</w:t>
      </w:r>
      <w:bookmarkEnd w:id="114"/>
    </w:p>
    <w:p w14:paraId="73DA7B02" w14:textId="0464217F" w:rsidR="00664D0A" w:rsidRPr="00B91DCD" w:rsidRDefault="00664D0A" w:rsidP="00B91DCD">
      <w:pPr>
        <w:rPr>
          <w:rFonts w:eastAsia="Times New Roman"/>
          <w:sz w:val="27"/>
          <w:szCs w:val="27"/>
          <w:lang w:val="fr-FR" w:eastAsia="fr-FR"/>
        </w:rPr>
      </w:pPr>
      <w:r w:rsidRPr="00664D0A">
        <w:rPr>
          <w:lang w:val="fr-FR"/>
        </w:rPr>
        <w:t>Sur le plan chimique,</w:t>
      </w:r>
      <w:r w:rsidRPr="00664D0A">
        <w:rPr>
          <w:rFonts w:eastAsia="Times New Roman"/>
          <w:lang w:val="fr-FR" w:eastAsia="fr-FR"/>
        </w:rPr>
        <w:t xml:space="preserve"> Riche en linalol, estragol et composés phénoliques. </w:t>
      </w:r>
      <w:proofErr w:type="gramStart"/>
      <w:r w:rsidRPr="00664D0A">
        <w:rPr>
          <w:lang w:val="fr-FR"/>
        </w:rPr>
        <w:t>cette</w:t>
      </w:r>
      <w:proofErr w:type="gramEnd"/>
      <w:r w:rsidRPr="00664D0A">
        <w:rPr>
          <w:lang w:val="fr-FR"/>
        </w:rPr>
        <w:t xml:space="preserve"> plante était traditionnellement </w:t>
      </w:r>
      <w:r w:rsidRPr="00664D0A">
        <w:rPr>
          <w:rFonts w:eastAsia="Times New Roman"/>
          <w:lang w:val="fr-FR" w:eastAsia="fr-FR"/>
        </w:rPr>
        <w:t>Utilisé pour la digestion, le stress et comme aromate.</w:t>
      </w:r>
      <w:r w:rsidRPr="00664D0A">
        <w:rPr>
          <w:lang w:val="fr-FR"/>
        </w:rPr>
        <w:t xml:space="preserve"> </w:t>
      </w:r>
      <w:proofErr w:type="gramStart"/>
      <w:r w:rsidRPr="00664D0A">
        <w:rPr>
          <w:lang w:val="fr-FR"/>
        </w:rPr>
        <w:t>pour</w:t>
      </w:r>
      <w:proofErr w:type="gramEnd"/>
      <w:r w:rsidRPr="00664D0A">
        <w:rPr>
          <w:lang w:val="fr-FR"/>
        </w:rPr>
        <w:t xml:space="preserve"> ses effets antidiabétiques</w:t>
      </w:r>
      <w:r w:rsidRPr="00664D0A">
        <w:rPr>
          <w:rFonts w:eastAsia="Times New Roman"/>
          <w:lang w:val="fr-FR" w:eastAsia="fr-FR"/>
        </w:rPr>
        <w:t>: Il réduit la glycémie postprandiale en inhibant les enzymes digestives des glucides et en améliorant la glycogénogenèse hépatique</w:t>
      </w:r>
    </w:p>
    <w:p w14:paraId="1FADEF1E" w14:textId="77777777" w:rsidR="00664D0A" w:rsidRPr="00664D0A" w:rsidRDefault="00664D0A" w:rsidP="00665FE5">
      <w:pPr>
        <w:pStyle w:val="Heading2"/>
        <w:rPr>
          <w:rFonts w:eastAsia="Times New Roman"/>
          <w:kern w:val="36"/>
          <w:lang w:eastAsia="fr-FR"/>
        </w:rPr>
      </w:pPr>
      <w:bookmarkStart w:id="115" w:name="_Toc229618828"/>
      <w:r w:rsidRPr="00664D0A">
        <w:t>1-3/ Apiaceae</w:t>
      </w:r>
      <w:bookmarkEnd w:id="115"/>
      <w:r w:rsidRPr="00664D0A">
        <w:t xml:space="preserve"> </w:t>
      </w:r>
    </w:p>
    <w:p w14:paraId="6EBB213F" w14:textId="77777777" w:rsidR="00664D0A" w:rsidRPr="00664D0A" w:rsidRDefault="00664D0A" w:rsidP="00665FE5">
      <w:pPr>
        <w:pStyle w:val="Heading3"/>
      </w:pPr>
      <w:r w:rsidRPr="00664D0A">
        <w:t>1-3-1/Coriandrum sativum (</w:t>
      </w:r>
      <w:r w:rsidRPr="00E71797">
        <w:rPr>
          <w:rtl/>
        </w:rPr>
        <w:t>قصبر</w:t>
      </w:r>
      <w:r w:rsidRPr="00664D0A">
        <w:t>)</w:t>
      </w:r>
    </w:p>
    <w:p w14:paraId="1BF75571" w14:textId="77777777" w:rsidR="00664D0A" w:rsidRPr="00664D0A" w:rsidRDefault="00664D0A" w:rsidP="00B139C3">
      <w:pPr>
        <w:rPr>
          <w:rFonts w:eastAsia="Times New Roman"/>
          <w:kern w:val="36"/>
          <w:lang w:val="fr-FR" w:eastAsia="fr-FR"/>
        </w:rPr>
      </w:pPr>
      <w:r w:rsidRPr="00664D0A">
        <w:rPr>
          <w:rFonts w:eastAsia="Times New Roman"/>
          <w:kern w:val="36"/>
          <w:lang w:val="fr-FR" w:eastAsia="fr-FR"/>
        </w:rPr>
        <w:t xml:space="preserve">Coriandrum sativum, plus connu sous le nom de coriandre (et </w:t>
      </w:r>
      <w:r w:rsidRPr="00E71797">
        <w:rPr>
          <w:rFonts w:eastAsia="Times New Roman"/>
          <w:kern w:val="36"/>
          <w:rtl/>
          <w:lang w:eastAsia="fr-FR"/>
        </w:rPr>
        <w:t>قصبر</w:t>
      </w:r>
      <w:r w:rsidRPr="00664D0A">
        <w:rPr>
          <w:rFonts w:eastAsia="Times New Roman"/>
          <w:kern w:val="36"/>
          <w:lang w:val="fr-FR" w:eastAsia="fr-FR"/>
        </w:rPr>
        <w:t>), est une plante aromatique annuelle de la famille des Apiaceae. Elle provient à l’origine des régions méditerranéennes et de l’Asie occidentale, mais elle est aujourd’hui cultivée dans de nombreux pays, surtout pour la cuisine et, dans une certaine mesure, pour des usages médicinaux.</w:t>
      </w:r>
    </w:p>
    <w:p w14:paraId="5511A1A5" w14:textId="392ACC35" w:rsidR="00664D0A" w:rsidRPr="00B91DCD" w:rsidRDefault="00664D0A" w:rsidP="00B91DCD">
      <w:pPr>
        <w:rPr>
          <w:noProof/>
          <w:sz w:val="28"/>
          <w:szCs w:val="28"/>
          <w:lang w:val="fr-FR" w:eastAsia="fr-FR"/>
        </w:rPr>
      </w:pPr>
      <w:proofErr w:type="gramStart"/>
      <w:r w:rsidRPr="00664D0A">
        <w:rPr>
          <w:lang w:val="fr-FR"/>
        </w:rPr>
        <w:t>cette</w:t>
      </w:r>
      <w:proofErr w:type="gramEnd"/>
      <w:r w:rsidRPr="00664D0A">
        <w:rPr>
          <w:lang w:val="fr-FR"/>
        </w:rPr>
        <w:t xml:space="preserve"> plante se distingue, sur le plan morphologique par </w:t>
      </w:r>
      <w:r w:rsidRPr="00664D0A">
        <w:rPr>
          <w:rFonts w:eastAsia="Times New Roman"/>
          <w:kern w:val="36"/>
          <w:lang w:val="fr-FR" w:eastAsia="fr-FR"/>
        </w:rPr>
        <w:t>des petites fleurs de couleur blanche à rosée sont rassemblées en ombelles  et une tige se tient droite ou Les feuilles situées a la base sont larges avec des lobes marqués, alors que celles du haut sont plus découpées ce qui donne une silhouette facilement reconnaissable ;</w:t>
      </w:r>
      <w:r w:rsidRPr="00E71797">
        <w:rPr>
          <w:noProof/>
          <w:sz w:val="28"/>
          <w:szCs w:val="28"/>
          <w:rtl/>
          <w:lang w:eastAsia="fr-FR"/>
        </w:rPr>
        <w:t xml:space="preserve"> </w:t>
      </w:r>
      <w:r w:rsidRPr="00E71797">
        <w:rPr>
          <w:noProof/>
          <w:sz w:val="28"/>
          <w:szCs w:val="28"/>
          <w:rtl/>
          <w:lang w:val="fr-FR" w:eastAsia="fr-FR"/>
        </w:rPr>
        <w:drawing>
          <wp:inline distT="0" distB="0" distL="0" distR="0" wp14:anchorId="29CEEA79" wp14:editId="3F9E1DF8">
            <wp:extent cx="4433570" cy="2204074"/>
            <wp:effectExtent l="133350" t="76200" r="81280" b="139700"/>
            <wp:docPr id="81" name="Image 7" descr="A_scene_of_Coriander_lea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scene_of_Coriander_leaves.jpg"/>
                    <pic:cNvPicPr/>
                  </pic:nvPicPr>
                  <pic:blipFill>
                    <a:blip r:embed="rId42" cstate="print"/>
                    <a:stretch>
                      <a:fillRect/>
                    </a:stretch>
                  </pic:blipFill>
                  <pic:spPr>
                    <a:xfrm>
                      <a:off x="0" y="0"/>
                      <a:ext cx="4442721" cy="220862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20731B46" w14:textId="34729CB1" w:rsidR="00664D0A" w:rsidRPr="00F96B82" w:rsidRDefault="00664D0A" w:rsidP="00B139C3">
      <w:pPr>
        <w:rPr>
          <w:lang w:val="fr-FR"/>
        </w:rPr>
      </w:pPr>
      <w:bookmarkStart w:id="116" w:name="_Toc229617314"/>
      <w:r w:rsidRPr="00F96B82">
        <w:rPr>
          <w:lang w:val="fr-FR"/>
        </w:rPr>
        <w:lastRenderedPageBreak/>
        <w:t xml:space="preserve">Figure </w:t>
      </w:r>
      <w:r>
        <w:fldChar w:fldCharType="begin"/>
      </w:r>
      <w:r w:rsidRPr="00F96B82">
        <w:rPr>
          <w:lang w:val="fr-FR"/>
        </w:rPr>
        <w:instrText xml:space="preserve"> SEQ Figure \* ARABIC </w:instrText>
      </w:r>
      <w:r>
        <w:fldChar w:fldCharType="separate"/>
      </w:r>
      <w:r w:rsidR="00983108">
        <w:rPr>
          <w:noProof/>
          <w:lang w:val="fr-FR"/>
        </w:rPr>
        <w:t>25</w:t>
      </w:r>
      <w:r>
        <w:rPr>
          <w:noProof/>
        </w:rPr>
        <w:fldChar w:fldCharType="end"/>
      </w:r>
      <w:r w:rsidRPr="00F96B82">
        <w:rPr>
          <w:lang w:val="fr-FR"/>
        </w:rPr>
        <w:t xml:space="preserve"> : Coriandrum sativum</w:t>
      </w:r>
      <w:bookmarkEnd w:id="116"/>
    </w:p>
    <w:p w14:paraId="7F4A4A98" w14:textId="507D1C6F" w:rsidR="00664D0A" w:rsidRPr="00B91DCD" w:rsidRDefault="00664D0A" w:rsidP="00B91DCD">
      <w:pPr>
        <w:rPr>
          <w:rFonts w:eastAsia="Times New Roman"/>
          <w:kern w:val="36"/>
          <w:lang w:val="fr-FR" w:eastAsia="fr-FR"/>
        </w:rPr>
      </w:pPr>
      <w:r w:rsidRPr="00664D0A">
        <w:rPr>
          <w:lang w:val="fr-FR"/>
        </w:rPr>
        <w:t>Sur le plan chimique, elle contient</w:t>
      </w:r>
      <w:r w:rsidRPr="00664D0A">
        <w:rPr>
          <w:rStyle w:val="Emphasis"/>
          <w:rFonts w:eastAsia="Times New Roman" w:cstheme="majorBidi"/>
          <w:i w:val="0"/>
          <w:iCs w:val="0"/>
          <w:szCs w:val="24"/>
          <w:lang w:val="fr-FR" w:eastAsia="fr-FR"/>
        </w:rPr>
        <w:t xml:space="preserve">  </w:t>
      </w:r>
      <w:r w:rsidRPr="00664D0A">
        <w:rPr>
          <w:rFonts w:eastAsia="Times New Roman"/>
          <w:kern w:val="36"/>
          <w:lang w:val="fr-FR" w:eastAsia="fr-FR"/>
        </w:rPr>
        <w:t xml:space="preserve"> surtout des huiles essentielles dominées par le linalool. On y trouve aussi des flavonoïdes avec des acides </w:t>
      </w:r>
      <w:proofErr w:type="gramStart"/>
      <w:r w:rsidRPr="00664D0A">
        <w:rPr>
          <w:rFonts w:eastAsia="Times New Roman"/>
          <w:kern w:val="36"/>
          <w:lang w:val="fr-FR" w:eastAsia="fr-FR"/>
        </w:rPr>
        <w:t xml:space="preserve">phénoliques  </w:t>
      </w:r>
      <w:r w:rsidRPr="00664D0A">
        <w:rPr>
          <w:lang w:val="fr-FR"/>
        </w:rPr>
        <w:t>cette</w:t>
      </w:r>
      <w:proofErr w:type="gramEnd"/>
      <w:r w:rsidRPr="00664D0A">
        <w:rPr>
          <w:lang w:val="fr-FR"/>
        </w:rPr>
        <w:t xml:space="preserve"> plante était traditionnellement employée</w:t>
      </w:r>
      <w:r w:rsidRPr="00664D0A">
        <w:rPr>
          <w:rFonts w:eastAsia="Times New Roman"/>
          <w:kern w:val="36"/>
          <w:lang w:val="fr-FR" w:eastAsia="fr-FR"/>
        </w:rPr>
        <w:t xml:space="preserve"> comme une plante digestive pour sa effet antispasmodique  et l effet de stimulation de l’appétit. Elle est aussi benefique pour atténuer les ballonnements abdominales .</w:t>
      </w:r>
      <w:r w:rsidRPr="00664D0A">
        <w:rPr>
          <w:lang w:val="fr-FR"/>
        </w:rPr>
        <w:t>et pour ses effets antidiabétiques</w:t>
      </w:r>
      <w:r w:rsidRPr="00664D0A">
        <w:rPr>
          <w:rFonts w:eastAsia="Times New Roman"/>
          <w:kern w:val="36"/>
          <w:lang w:val="fr-FR" w:eastAsia="fr-FR"/>
        </w:rPr>
        <w:t xml:space="preserve">, Coriandrum sativum pourrait participer à une baisse modérée de la glycémie et à une amélioration du profil </w:t>
      </w:r>
      <w:proofErr w:type="gramStart"/>
      <w:r w:rsidRPr="00664D0A">
        <w:rPr>
          <w:rFonts w:eastAsia="Times New Roman"/>
          <w:kern w:val="36"/>
          <w:lang w:val="fr-FR" w:eastAsia="fr-FR"/>
        </w:rPr>
        <w:t>lipidique  notamment</w:t>
      </w:r>
      <w:proofErr w:type="gramEnd"/>
      <w:r w:rsidRPr="00664D0A">
        <w:rPr>
          <w:rFonts w:eastAsia="Times New Roman"/>
          <w:kern w:val="36"/>
          <w:lang w:val="fr-FR" w:eastAsia="fr-FR"/>
        </w:rPr>
        <w:t xml:space="preserve"> via une diminution du cholesté</w:t>
      </w:r>
      <w:r w:rsidR="00B91DCD">
        <w:rPr>
          <w:rFonts w:eastAsia="Times New Roman"/>
          <w:kern w:val="36"/>
          <w:lang w:val="fr-FR" w:eastAsia="fr-FR"/>
        </w:rPr>
        <w:t>rol total et des triglycérides</w:t>
      </w:r>
      <w:r w:rsidR="00116A61">
        <w:rPr>
          <w:rFonts w:eastAsia="Times New Roman"/>
          <w:kern w:val="36"/>
          <w:lang w:val="fr-FR" w:eastAsia="fr-FR"/>
        </w:rPr>
        <w:t xml:space="preserve"> (119)</w:t>
      </w:r>
      <w:r w:rsidR="00B91DCD">
        <w:rPr>
          <w:rFonts w:eastAsia="Times New Roman"/>
          <w:kern w:val="36"/>
          <w:lang w:val="fr-FR" w:eastAsia="fr-FR"/>
        </w:rPr>
        <w:t>.</w:t>
      </w:r>
    </w:p>
    <w:p w14:paraId="601CABF8" w14:textId="77777777" w:rsidR="00664D0A" w:rsidRPr="00664D0A" w:rsidRDefault="00664D0A" w:rsidP="00665FE5">
      <w:pPr>
        <w:pStyle w:val="Heading3"/>
      </w:pPr>
      <w:r w:rsidRPr="00664D0A">
        <w:t>1-3-2/Foeniculum vulgare (</w:t>
      </w:r>
      <w:r w:rsidRPr="00E71797">
        <w:rPr>
          <w:rtl/>
        </w:rPr>
        <w:t>بسباس</w:t>
      </w:r>
      <w:r w:rsidRPr="00664D0A">
        <w:t>)</w:t>
      </w:r>
    </w:p>
    <w:p w14:paraId="46FE2195" w14:textId="77777777" w:rsidR="00664D0A" w:rsidRPr="00664D0A" w:rsidRDefault="00664D0A" w:rsidP="00B139C3">
      <w:pPr>
        <w:rPr>
          <w:lang w:val="fr-FR"/>
        </w:rPr>
      </w:pPr>
      <w:r w:rsidRPr="00664D0A">
        <w:rPr>
          <w:rStyle w:val="Emphasis"/>
          <w:rFonts w:eastAsiaTheme="majorEastAsia" w:cstheme="majorBidi"/>
          <w:i w:val="0"/>
          <w:iCs w:val="0"/>
          <w:lang w:val="fr-FR"/>
        </w:rPr>
        <w:t>Foeniculum vulgare</w:t>
      </w:r>
      <w:r w:rsidRPr="00664D0A">
        <w:rPr>
          <w:lang w:val="fr-FR"/>
        </w:rPr>
        <w:t xml:space="preserve"> (fenouil / </w:t>
      </w:r>
      <w:r w:rsidRPr="00E71797">
        <w:rPr>
          <w:rtl/>
        </w:rPr>
        <w:t>بسباس</w:t>
      </w:r>
      <w:r w:rsidRPr="00664D0A">
        <w:rPr>
          <w:lang w:val="fr-FR"/>
        </w:rPr>
        <w:t xml:space="preserve">) est une plante aromatique appartenant à la famille des </w:t>
      </w:r>
      <w:r w:rsidRPr="00664D0A">
        <w:rPr>
          <w:rStyle w:val="Strong"/>
          <w:rFonts w:eastAsiaTheme="majorEastAsia" w:cstheme="majorBidi"/>
          <w:lang w:val="fr-FR"/>
        </w:rPr>
        <w:t>Apiaceae</w:t>
      </w:r>
      <w:r w:rsidRPr="00664D0A">
        <w:rPr>
          <w:lang w:val="fr-FR"/>
        </w:rPr>
        <w:t>. Elle est largement utilisée en phytothérapie et en alimentation pour ses propriétés digestives et métaboliques.</w:t>
      </w:r>
    </w:p>
    <w:p w14:paraId="1E5B3ED4" w14:textId="77777777" w:rsidR="00664D0A" w:rsidRPr="00664D0A" w:rsidRDefault="00664D0A" w:rsidP="00B139C3">
      <w:pPr>
        <w:rPr>
          <w:lang w:val="fr-FR"/>
        </w:rPr>
      </w:pPr>
      <w:proofErr w:type="gramStart"/>
      <w:r w:rsidRPr="00664D0A">
        <w:rPr>
          <w:lang w:val="fr-FR"/>
        </w:rPr>
        <w:t>c'est</w:t>
      </w:r>
      <w:proofErr w:type="gramEnd"/>
      <w:r w:rsidRPr="00664D0A">
        <w:rPr>
          <w:lang w:val="fr-FR"/>
        </w:rPr>
        <w:t xml:space="preserve"> une plante </w:t>
      </w:r>
      <w:r w:rsidRPr="00664D0A">
        <w:rPr>
          <w:rStyle w:val="Strong"/>
          <w:rFonts w:eastAsiaTheme="majorEastAsia" w:cstheme="majorBidi"/>
          <w:lang w:val="fr-FR"/>
        </w:rPr>
        <w:t>aromatique haute</w:t>
      </w:r>
      <w:r w:rsidRPr="00664D0A">
        <w:rPr>
          <w:lang w:val="fr-FR"/>
        </w:rPr>
        <w:t xml:space="preserve"> se distingue, sur le plan morphologique par tiges dressées portant des feuilles finement découpées très odorantes </w:t>
      </w:r>
    </w:p>
    <w:p w14:paraId="2D85FB7F" w14:textId="77777777" w:rsidR="00664D0A" w:rsidRDefault="00664D0A" w:rsidP="00B139C3">
      <w:r w:rsidRPr="00E71797">
        <w:rPr>
          <w:noProof/>
          <w:sz w:val="28"/>
          <w:szCs w:val="28"/>
          <w:rtl/>
          <w:lang w:val="fr-FR" w:eastAsia="fr-FR"/>
        </w:rPr>
        <w:drawing>
          <wp:inline distT="0" distB="0" distL="0" distR="0" wp14:anchorId="39230116" wp14:editId="0EED7D38">
            <wp:extent cx="3601484" cy="2552700"/>
            <wp:effectExtent l="95250" t="38100" r="56116" b="76200"/>
            <wp:docPr id="82" name="Image 8" descr="n74WauDBDRQFFwWXAlP53_-jKrmOtH8xnidLn4gpaimU5XkvS8wOCwE7S1_UdVf50DZgbQCpMdw8-KtUTX5XjOQL8V1DsKDlTwFFjHUmshCAWESVM90Z3Zsbn3-Yn7hT7TgHmtimUhHzJ7oEl0EcnTqT76982JEetLEXuQoRpo8zDBJ46f5l805MgsZBxz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74WauDBDRQFFwWXAlP53_-jKrmOtH8xnidLn4gpaimU5XkvS8wOCwE7S1_UdVf50DZgbQCpMdw8-KtUTX5XjOQL8V1DsKDlTwFFjHUmshCAWESVM90Z3Zsbn3-Yn7hT7TgHmtimUhHzJ7oEl0EcnTqT76982JEetLEXuQoRpo8zDBJ46f5l805MgsZBxzok.jpg"/>
                    <pic:cNvPicPr/>
                  </pic:nvPicPr>
                  <pic:blipFill>
                    <a:blip r:embed="rId43" cstate="print"/>
                    <a:stretch>
                      <a:fillRect/>
                    </a:stretch>
                  </pic:blipFill>
                  <pic:spPr>
                    <a:xfrm>
                      <a:off x="0" y="0"/>
                      <a:ext cx="3615128" cy="256237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80DFE9F" w14:textId="3BEF0A3B" w:rsidR="00664D0A" w:rsidRPr="00F96B82" w:rsidRDefault="00664D0A" w:rsidP="00B139C3">
      <w:pPr>
        <w:rPr>
          <w:lang w:val="fr-FR"/>
        </w:rPr>
      </w:pPr>
      <w:bookmarkStart w:id="117" w:name="_Toc229617315"/>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26</w:t>
      </w:r>
      <w:r>
        <w:rPr>
          <w:noProof/>
        </w:rPr>
        <w:fldChar w:fldCharType="end"/>
      </w:r>
      <w:r w:rsidRPr="00F96B82">
        <w:rPr>
          <w:lang w:val="fr-FR"/>
        </w:rPr>
        <w:t xml:space="preserve"> : Foeniculum vulgare</w:t>
      </w:r>
      <w:bookmarkEnd w:id="117"/>
    </w:p>
    <w:p w14:paraId="0E8B1BF4" w14:textId="30A045A9" w:rsidR="00664D0A" w:rsidRPr="00B91DCD" w:rsidRDefault="00664D0A" w:rsidP="00B91DCD">
      <w:pPr>
        <w:rPr>
          <w:lang w:val="fr-FR"/>
        </w:rPr>
      </w:pPr>
      <w:r w:rsidRPr="00664D0A">
        <w:rPr>
          <w:lang w:val="fr-FR"/>
        </w:rPr>
        <w:t>Sur le plan chimique, elle contient</w:t>
      </w:r>
      <w:r w:rsidRPr="00664D0A">
        <w:rPr>
          <w:rStyle w:val="Emphasis"/>
          <w:rFonts w:eastAsiaTheme="majorEastAsia" w:cstheme="majorBidi"/>
          <w:i w:val="0"/>
          <w:iCs w:val="0"/>
          <w:lang w:val="fr-FR"/>
        </w:rPr>
        <w:t xml:space="preserve">  </w:t>
      </w:r>
      <w:r w:rsidRPr="00664D0A">
        <w:rPr>
          <w:kern w:val="36"/>
          <w:lang w:val="fr-FR"/>
        </w:rPr>
        <w:t xml:space="preserve"> les </w:t>
      </w:r>
      <w:r w:rsidRPr="00664D0A">
        <w:rPr>
          <w:rStyle w:val="Strong"/>
          <w:rFonts w:eastAsiaTheme="majorEastAsia" w:cstheme="majorBidi"/>
          <w:lang w:val="fr-FR"/>
        </w:rPr>
        <w:t>huiles essentielles</w:t>
      </w:r>
      <w:r w:rsidRPr="00664D0A">
        <w:rPr>
          <w:lang w:val="fr-FR"/>
        </w:rPr>
        <w:t xml:space="preserve"> notamment l’</w:t>
      </w:r>
      <w:r w:rsidRPr="00664D0A">
        <w:rPr>
          <w:rStyle w:val="Strong"/>
          <w:rFonts w:eastAsiaTheme="majorEastAsia" w:cstheme="majorBidi"/>
          <w:lang w:val="fr-FR"/>
        </w:rPr>
        <w:t>anéthol</w:t>
      </w:r>
      <w:r w:rsidRPr="00664D0A">
        <w:rPr>
          <w:lang w:val="fr-FR"/>
        </w:rPr>
        <w:t xml:space="preserve"> ainsi que des flavonoïdes et autres composés bioactifs cette plante était traditionnellement utiliser pour soulager les ballonnements </w:t>
      </w:r>
      <w:proofErr w:type="gramStart"/>
      <w:r w:rsidRPr="00664D0A">
        <w:rPr>
          <w:lang w:val="fr-FR"/>
        </w:rPr>
        <w:t>et  favoriser</w:t>
      </w:r>
      <w:proofErr w:type="gramEnd"/>
      <w:r w:rsidRPr="00664D0A">
        <w:rPr>
          <w:lang w:val="fr-FR"/>
        </w:rPr>
        <w:t xml:space="preserve"> l’élimination urinaire. </w:t>
      </w:r>
      <w:proofErr w:type="gramStart"/>
      <w:r w:rsidRPr="00664D0A">
        <w:rPr>
          <w:lang w:val="fr-FR"/>
        </w:rPr>
        <w:t>et</w:t>
      </w:r>
      <w:proofErr w:type="gramEnd"/>
      <w:r w:rsidRPr="00664D0A">
        <w:rPr>
          <w:lang w:val="fr-FR"/>
        </w:rPr>
        <w:t xml:space="preserve"> pour ses effets antidiabétiques, plusieurs études expérimentales montrent que </w:t>
      </w:r>
      <w:r w:rsidRPr="00664D0A">
        <w:rPr>
          <w:rStyle w:val="Emphasis"/>
          <w:rFonts w:eastAsiaTheme="majorEastAsia" w:cstheme="majorBidi"/>
          <w:i w:val="0"/>
          <w:iCs w:val="0"/>
          <w:lang w:val="fr-FR"/>
        </w:rPr>
        <w:t>Foeniculum vulgare</w:t>
      </w:r>
      <w:r w:rsidRPr="00664D0A">
        <w:rPr>
          <w:lang w:val="fr-FR"/>
        </w:rPr>
        <w:t xml:space="preserve"> peut améliorer le </w:t>
      </w:r>
      <w:r w:rsidRPr="00664D0A">
        <w:rPr>
          <w:rStyle w:val="Strong"/>
          <w:rFonts w:eastAsiaTheme="majorEastAsia" w:cstheme="majorBidi"/>
          <w:lang w:val="fr-FR"/>
        </w:rPr>
        <w:t>métabolisme du glucose</w:t>
      </w:r>
      <w:r w:rsidRPr="00664D0A">
        <w:rPr>
          <w:lang w:val="fr-FR"/>
        </w:rPr>
        <w:t xml:space="preserve"> et exercer un </w:t>
      </w:r>
      <w:r w:rsidRPr="00664D0A">
        <w:rPr>
          <w:rStyle w:val="Strong"/>
          <w:rFonts w:eastAsiaTheme="majorEastAsia" w:cstheme="majorBidi"/>
          <w:lang w:val="fr-FR"/>
        </w:rPr>
        <w:t>effet antioxydant</w:t>
      </w:r>
      <w:r w:rsidR="00116A61">
        <w:rPr>
          <w:rStyle w:val="Strong"/>
          <w:rFonts w:eastAsiaTheme="majorEastAsia" w:cstheme="majorBidi"/>
          <w:lang w:val="fr-FR"/>
        </w:rPr>
        <w:t>(122)</w:t>
      </w:r>
    </w:p>
    <w:p w14:paraId="10F6A366" w14:textId="2E2BE42A" w:rsidR="00664D0A" w:rsidRPr="00B91DCD" w:rsidRDefault="00664D0A" w:rsidP="00B91DCD">
      <w:pPr>
        <w:pStyle w:val="Heading3"/>
        <w:rPr>
          <w:rtl/>
        </w:rPr>
      </w:pPr>
      <w:r w:rsidRPr="00664D0A">
        <w:t>1-3-3/Cuminum cyminum (</w:t>
      </w:r>
      <w:r w:rsidRPr="00E71797">
        <w:rPr>
          <w:rtl/>
        </w:rPr>
        <w:t>كمون</w:t>
      </w:r>
      <w:r w:rsidRPr="00664D0A">
        <w:t>)</w:t>
      </w:r>
    </w:p>
    <w:p w14:paraId="60E73C5F" w14:textId="77777777" w:rsidR="00664D0A" w:rsidRPr="00664D0A" w:rsidRDefault="00664D0A" w:rsidP="00B139C3">
      <w:pPr>
        <w:rPr>
          <w:rFonts w:eastAsia="Times New Roman"/>
          <w:lang w:val="fr-FR" w:eastAsia="fr-FR"/>
        </w:rPr>
      </w:pPr>
      <w:r w:rsidRPr="00664D0A">
        <w:rPr>
          <w:rFonts w:eastAsia="Times New Roman"/>
          <w:lang w:val="fr-FR" w:eastAsia="fr-FR"/>
        </w:rPr>
        <w:t xml:space="preserve">Cuminum cyminum (cumin / </w:t>
      </w:r>
      <w:r w:rsidRPr="00E71797">
        <w:rPr>
          <w:rFonts w:eastAsia="Times New Roman"/>
          <w:rtl/>
          <w:lang w:eastAsia="fr-FR"/>
        </w:rPr>
        <w:t>كمون</w:t>
      </w:r>
      <w:r w:rsidRPr="00664D0A">
        <w:rPr>
          <w:rFonts w:eastAsia="Times New Roman"/>
          <w:lang w:val="fr-FR" w:eastAsia="fr-FR"/>
        </w:rPr>
        <w:t>) est une plante aromatique de la famille des Apiaceae. On l’emploie couramment comme épice, mais aussi dans les pratiques de médecine traditionnelle, notamment pour ses effets supposés sur la digestion et certains aspects du métabolisme.</w:t>
      </w:r>
    </w:p>
    <w:p w14:paraId="2203EAD2" w14:textId="77777777" w:rsidR="00664D0A" w:rsidRPr="00664D0A" w:rsidRDefault="00664D0A" w:rsidP="00B139C3">
      <w:pPr>
        <w:rPr>
          <w:noProof/>
          <w:sz w:val="28"/>
          <w:szCs w:val="28"/>
          <w:lang w:val="fr-FR" w:eastAsia="fr-FR"/>
        </w:rPr>
      </w:pPr>
      <w:proofErr w:type="gramStart"/>
      <w:r w:rsidRPr="00664D0A">
        <w:rPr>
          <w:lang w:val="fr-FR"/>
        </w:rPr>
        <w:lastRenderedPageBreak/>
        <w:t>cest</w:t>
      </w:r>
      <w:proofErr w:type="gramEnd"/>
      <w:r w:rsidRPr="00664D0A">
        <w:rPr>
          <w:lang w:val="fr-FR"/>
        </w:rPr>
        <w:t xml:space="preserve"> une plante </w:t>
      </w:r>
      <w:r w:rsidRPr="00664D0A">
        <w:rPr>
          <w:rFonts w:eastAsia="Times New Roman"/>
          <w:lang w:val="fr-FR" w:eastAsia="fr-FR"/>
        </w:rPr>
        <w:t>de petite taille  annuelle</w:t>
      </w:r>
      <w:r w:rsidRPr="00664D0A">
        <w:rPr>
          <w:lang w:val="fr-FR"/>
        </w:rPr>
        <w:t xml:space="preserve">, sur le plan morphologique ; elle se caracterise  par </w:t>
      </w:r>
      <w:r w:rsidRPr="00664D0A">
        <w:rPr>
          <w:rFonts w:eastAsia="Times New Roman"/>
          <w:lang w:val="fr-FR" w:eastAsia="fr-FR"/>
        </w:rPr>
        <w:t>des tiges fines ramifiées; Elle porte des feuilles très découpées et de petites fleurs blanches à rosées regroupées en ombelles .</w:t>
      </w:r>
    </w:p>
    <w:p w14:paraId="0B5439C2" w14:textId="77777777" w:rsidR="00664D0A" w:rsidRDefault="00664D0A" w:rsidP="00B139C3">
      <w:r w:rsidRPr="00E71797">
        <w:rPr>
          <w:noProof/>
          <w:sz w:val="28"/>
          <w:szCs w:val="28"/>
          <w:rtl/>
          <w:lang w:val="fr-FR" w:eastAsia="fr-FR"/>
        </w:rPr>
        <w:drawing>
          <wp:inline distT="0" distB="0" distL="0" distR="0" wp14:anchorId="47E977C1" wp14:editId="62A3F99C">
            <wp:extent cx="3334053" cy="2556000"/>
            <wp:effectExtent l="114300" t="19050" r="56847" b="53850"/>
            <wp:docPr id="83" name="Image 9" descr="Cuminum_cyminum_-_Köhler–s_Medizinal-Pflanzen-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minum_cyminum_-_Köhler–s_Medizinal-Pflanzen-198.jpg"/>
                    <pic:cNvPicPr/>
                  </pic:nvPicPr>
                  <pic:blipFill>
                    <a:blip r:embed="rId44"/>
                    <a:stretch>
                      <a:fillRect/>
                    </a:stretch>
                  </pic:blipFill>
                  <pic:spPr>
                    <a:xfrm>
                      <a:off x="0" y="0"/>
                      <a:ext cx="3334053" cy="2556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938752F" w14:textId="3BB2FF0A" w:rsidR="00664D0A" w:rsidRPr="00F96B82" w:rsidRDefault="00664D0A" w:rsidP="00B139C3">
      <w:pPr>
        <w:rPr>
          <w:rFonts w:eastAsia="Times New Roman"/>
          <w:lang w:val="fr-FR" w:eastAsia="fr-FR"/>
        </w:rPr>
      </w:pPr>
      <w:bookmarkStart w:id="118" w:name="_Toc229617316"/>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27</w:t>
      </w:r>
      <w:r>
        <w:rPr>
          <w:noProof/>
        </w:rPr>
        <w:fldChar w:fldCharType="end"/>
      </w:r>
      <w:r w:rsidRPr="00F96B82">
        <w:rPr>
          <w:lang w:val="fr-FR"/>
        </w:rPr>
        <w:t xml:space="preserve"> : Cuminum cyminum</w:t>
      </w:r>
      <w:bookmarkEnd w:id="118"/>
    </w:p>
    <w:p w14:paraId="4AD160DF" w14:textId="1E680BF7" w:rsidR="00664D0A" w:rsidRPr="00F96B82" w:rsidRDefault="00664D0A" w:rsidP="00B91DCD">
      <w:pPr>
        <w:rPr>
          <w:rFonts w:eastAsia="Times New Roman"/>
          <w:lang w:val="fr-FR" w:eastAsia="fr-FR"/>
        </w:rPr>
      </w:pPr>
      <w:proofErr w:type="gramStart"/>
      <w:r w:rsidRPr="00664D0A">
        <w:rPr>
          <w:rFonts w:eastAsia="Times New Roman"/>
          <w:lang w:val="fr-FR" w:eastAsia="fr-FR"/>
        </w:rPr>
        <w:t>sur</w:t>
      </w:r>
      <w:proofErr w:type="gramEnd"/>
      <w:r w:rsidRPr="00664D0A">
        <w:rPr>
          <w:rFonts w:eastAsia="Times New Roman"/>
          <w:lang w:val="fr-FR" w:eastAsia="fr-FR"/>
        </w:rPr>
        <w:t xml:space="preserve"> le plan chimique il est surtout caractérisé par sa fraction d’huiles essentielles où le cuminaldéhyde occupe une place importante. </w:t>
      </w:r>
      <w:proofErr w:type="gramStart"/>
      <w:r w:rsidRPr="00664D0A">
        <w:rPr>
          <w:lang w:val="fr-FR"/>
        </w:rPr>
        <w:t>cette</w:t>
      </w:r>
      <w:proofErr w:type="gramEnd"/>
      <w:r w:rsidRPr="00664D0A">
        <w:rPr>
          <w:lang w:val="fr-FR"/>
        </w:rPr>
        <w:t xml:space="preserve"> plante était traditionnellement </w:t>
      </w:r>
      <w:r w:rsidRPr="00664D0A">
        <w:rPr>
          <w:rFonts w:eastAsia="Times New Roman"/>
          <w:lang w:val="fr-FR" w:eastAsia="fr-FR"/>
        </w:rPr>
        <w:t xml:space="preserve">présenté comme un agent digestif, carminatif et comme un soutien de l’appétit .Concernant </w:t>
      </w:r>
      <w:r w:rsidRPr="00664D0A">
        <w:rPr>
          <w:lang w:val="fr-FR"/>
        </w:rPr>
        <w:t>ses effets antidiabétiques</w:t>
      </w:r>
      <w:r w:rsidRPr="00664D0A">
        <w:rPr>
          <w:rFonts w:eastAsia="Times New Roman"/>
          <w:lang w:val="fr-FR" w:eastAsia="fr-FR"/>
        </w:rPr>
        <w:t xml:space="preserve"> le cumin pourrait être associé à une baisse de la glycémie et à une amélioration du profil lipidique (cholestérol et triglycérides). Ces effets seraient liés à la présence de composés bioactifs et à une activité </w:t>
      </w:r>
      <w:proofErr w:type="gramStart"/>
      <w:r w:rsidRPr="00664D0A">
        <w:rPr>
          <w:rFonts w:eastAsia="Times New Roman"/>
          <w:lang w:val="fr-FR" w:eastAsia="fr-FR"/>
        </w:rPr>
        <w:t>antioxydante.</w:t>
      </w:r>
      <w:r w:rsidR="009D1D3B">
        <w:rPr>
          <w:rFonts w:eastAsia="Times New Roman"/>
          <w:lang w:val="fr-FR" w:eastAsia="fr-FR"/>
        </w:rPr>
        <w:t>(</w:t>
      </w:r>
      <w:proofErr w:type="gramEnd"/>
      <w:r w:rsidR="009D1D3B">
        <w:rPr>
          <w:rFonts w:eastAsia="Times New Roman"/>
          <w:lang w:val="fr-FR" w:eastAsia="fr-FR"/>
        </w:rPr>
        <w:t>119)</w:t>
      </w:r>
    </w:p>
    <w:p w14:paraId="5D7E22C0" w14:textId="77777777" w:rsidR="00664D0A" w:rsidRPr="00E71797" w:rsidRDefault="00664D0A" w:rsidP="00665FE5">
      <w:pPr>
        <w:pStyle w:val="Heading2"/>
        <w:rPr>
          <w:rtl/>
        </w:rPr>
      </w:pPr>
      <w:bookmarkStart w:id="119" w:name="_Toc229618829"/>
      <w:r w:rsidRPr="00664D0A">
        <w:t>1-4/Fabaceae</w:t>
      </w:r>
      <w:bookmarkEnd w:id="119"/>
      <w:r w:rsidRPr="00664D0A">
        <w:t xml:space="preserve"> </w:t>
      </w:r>
    </w:p>
    <w:p w14:paraId="4B08147D" w14:textId="77777777" w:rsidR="00664D0A" w:rsidRPr="00664D0A" w:rsidRDefault="00664D0A" w:rsidP="00665FE5">
      <w:pPr>
        <w:pStyle w:val="Heading3"/>
        <w:rPr>
          <w:lang w:bidi="ar-DZ"/>
        </w:rPr>
      </w:pPr>
      <w:r w:rsidRPr="00664D0A">
        <w:rPr>
          <w:rStyle w:val="Strong"/>
          <w:rFonts w:cstheme="majorBidi"/>
          <w:sz w:val="28"/>
          <w:szCs w:val="28"/>
        </w:rPr>
        <w:t>1-4-1/Trigonella foenum-graecum</w:t>
      </w:r>
    </w:p>
    <w:p w14:paraId="1006D91A" w14:textId="77777777" w:rsidR="00664D0A" w:rsidRPr="00664D0A" w:rsidRDefault="00664D0A" w:rsidP="00B139C3">
      <w:pPr>
        <w:rPr>
          <w:rStyle w:val="Strong"/>
          <w:rFonts w:cstheme="majorBidi"/>
          <w:b w:val="0"/>
          <w:bCs w:val="0"/>
          <w:szCs w:val="24"/>
          <w:lang w:val="fr-FR"/>
        </w:rPr>
      </w:pPr>
      <w:r w:rsidRPr="00664D0A">
        <w:rPr>
          <w:rStyle w:val="Strong"/>
          <w:rFonts w:cstheme="majorBidi"/>
          <w:b w:val="0"/>
          <w:bCs w:val="0"/>
          <w:szCs w:val="24"/>
          <w:lang w:val="fr-FR"/>
        </w:rPr>
        <w:t xml:space="preserve">Trigonella foenum-graecum (fenugrec / </w:t>
      </w:r>
      <w:r w:rsidRPr="00E71797">
        <w:rPr>
          <w:rStyle w:val="Strong"/>
          <w:rFonts w:cstheme="majorBidi"/>
          <w:b w:val="0"/>
          <w:bCs w:val="0"/>
          <w:szCs w:val="24"/>
          <w:rtl/>
        </w:rPr>
        <w:t>الحلبة</w:t>
      </w:r>
      <w:r w:rsidRPr="00664D0A">
        <w:rPr>
          <w:rStyle w:val="Strong"/>
          <w:rFonts w:cstheme="majorBidi"/>
          <w:b w:val="0"/>
          <w:bCs w:val="0"/>
          <w:szCs w:val="24"/>
          <w:lang w:val="fr-FR"/>
        </w:rPr>
        <w:t xml:space="preserve">) est une plante annuelle de la famille des Fabaceae. On la retrouve fréquemment en médecine traditionnelle, notamment pour des usages liés au métabolisme, à la digestion et à certaines fonctions hormonales. </w:t>
      </w:r>
    </w:p>
    <w:p w14:paraId="71C37E2E" w14:textId="761B7016" w:rsidR="00664D0A" w:rsidRPr="00664D0A" w:rsidRDefault="00664D0A" w:rsidP="00B139C3">
      <w:pPr>
        <w:rPr>
          <w:rStyle w:val="Strong"/>
          <w:rFonts w:cstheme="majorBidi"/>
          <w:b w:val="0"/>
          <w:bCs w:val="0"/>
          <w:szCs w:val="24"/>
          <w:lang w:val="fr-FR"/>
        </w:rPr>
      </w:pPr>
      <w:proofErr w:type="gramStart"/>
      <w:r w:rsidRPr="00664D0A">
        <w:rPr>
          <w:lang w:val="fr-FR"/>
        </w:rPr>
        <w:t>cette</w:t>
      </w:r>
      <w:proofErr w:type="gramEnd"/>
      <w:r w:rsidRPr="00664D0A">
        <w:rPr>
          <w:lang w:val="fr-FR"/>
        </w:rPr>
        <w:t xml:space="preserve"> plante se distingue, sur le plan morphologique par </w:t>
      </w:r>
      <w:r w:rsidRPr="00664D0A">
        <w:rPr>
          <w:rStyle w:val="Strong"/>
          <w:rFonts w:cstheme="majorBidi"/>
          <w:b w:val="0"/>
          <w:bCs w:val="0"/>
          <w:szCs w:val="24"/>
          <w:lang w:val="fr-FR"/>
        </w:rPr>
        <w:t>des  tiges dressées avec des feuilles typiquement trifoliées et des gousses qui renferment des graines jaunes au parfum marqué</w:t>
      </w:r>
      <w:r w:rsidR="00B91DCD" w:rsidRPr="00E71797">
        <w:rPr>
          <w:noProof/>
          <w:lang w:val="fr-FR" w:eastAsia="fr-FR"/>
        </w:rPr>
        <w:drawing>
          <wp:inline distT="0" distB="0" distL="0" distR="0" wp14:anchorId="15A7EC8A" wp14:editId="4DBE44F6">
            <wp:extent cx="4443885" cy="1807405"/>
            <wp:effectExtent l="133350" t="76200" r="71120" b="135890"/>
            <wp:docPr id="84" name="Image 10" descr="iUL8Hp-owQ9dIj4Zs0NFGTt3ks1W1cLifswIFbm2gi7UFUFFv6mjalb9V8vpoT98-E9ovv4ta-CE4Iq9jafLwzBWGzGwgFgOwbJlwzrc1oF0h3htzKermY3r8zI2R-TEFGX7YbgfWPKocqbDOAmijBI8H9Rap41Cw1CplXOZzxUTe3BqSvPNifBQ036y7yX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UL8Hp-owQ9dIj4Zs0NFGTt3ks1W1cLifswIFbm2gi7UFUFFv6mjalb9V8vpoT98-E9ovv4ta-CE4Iq9jafLwzBWGzGwgFgOwbJlwzrc1oF0h3htzKermY3r8zI2R-TEFGX7YbgfWPKocqbDOAmijBI8H9Rap41Cw1CplXOZzxUTe3BqSvPNifBQ036y7yXV.jpg"/>
                    <pic:cNvPicPr/>
                  </pic:nvPicPr>
                  <pic:blipFill>
                    <a:blip r:embed="rId45"/>
                    <a:stretch>
                      <a:fillRect/>
                    </a:stretch>
                  </pic:blipFill>
                  <pic:spPr>
                    <a:xfrm>
                      <a:off x="0" y="0"/>
                      <a:ext cx="4447431" cy="180884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73CC8C57" w14:textId="08CDE056" w:rsidR="00664D0A" w:rsidRPr="00B91DCD" w:rsidRDefault="00664D0A" w:rsidP="00B139C3">
      <w:pPr>
        <w:rPr>
          <w:lang w:val="fr-FR"/>
        </w:rPr>
      </w:pPr>
    </w:p>
    <w:p w14:paraId="0930D986" w14:textId="249334E0" w:rsidR="00664D0A" w:rsidRPr="00F96B82" w:rsidRDefault="00664D0A" w:rsidP="00B139C3">
      <w:pPr>
        <w:rPr>
          <w:rFonts w:eastAsia="Times New Roman"/>
          <w:lang w:val="fr-FR" w:eastAsia="fr-FR"/>
        </w:rPr>
      </w:pPr>
      <w:bookmarkStart w:id="120" w:name="_Toc229617317"/>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28</w:t>
      </w:r>
      <w:r>
        <w:rPr>
          <w:noProof/>
        </w:rPr>
        <w:fldChar w:fldCharType="end"/>
      </w:r>
      <w:r w:rsidRPr="00F96B82">
        <w:rPr>
          <w:lang w:val="fr-FR"/>
        </w:rPr>
        <w:t xml:space="preserve"> : Trigonella foenum-graecum</w:t>
      </w:r>
      <w:bookmarkEnd w:id="120"/>
    </w:p>
    <w:p w14:paraId="023AD935" w14:textId="78622FBF" w:rsidR="00664D0A" w:rsidRPr="00B91DCD" w:rsidRDefault="00664D0A" w:rsidP="00B91DCD">
      <w:pPr>
        <w:rPr>
          <w:rFonts w:eastAsia="Times New Roman" w:cstheme="majorBidi"/>
          <w:szCs w:val="24"/>
          <w:lang w:val="fr-FR" w:eastAsia="fr-FR"/>
        </w:rPr>
      </w:pPr>
      <w:r w:rsidRPr="00664D0A">
        <w:rPr>
          <w:rFonts w:eastAsia="Times New Roman"/>
          <w:lang w:val="fr-FR" w:eastAsia="fr-FR"/>
        </w:rPr>
        <w:t xml:space="preserve">Sur le plan chimique il </w:t>
      </w:r>
      <w:r w:rsidRPr="00664D0A">
        <w:rPr>
          <w:rStyle w:val="Strong"/>
          <w:rFonts w:cstheme="majorBidi"/>
          <w:b w:val="0"/>
          <w:bCs w:val="0"/>
          <w:szCs w:val="24"/>
          <w:lang w:val="fr-FR"/>
        </w:rPr>
        <w:t xml:space="preserve">se distingue par une composition </w:t>
      </w:r>
      <w:proofErr w:type="gramStart"/>
      <w:r w:rsidRPr="00664D0A">
        <w:rPr>
          <w:rStyle w:val="Strong"/>
          <w:rFonts w:cstheme="majorBidi"/>
          <w:b w:val="0"/>
          <w:bCs w:val="0"/>
          <w:szCs w:val="24"/>
          <w:lang w:val="fr-FR"/>
        </w:rPr>
        <w:t>variée  On</w:t>
      </w:r>
      <w:proofErr w:type="gramEnd"/>
      <w:r w:rsidRPr="00664D0A">
        <w:rPr>
          <w:rStyle w:val="Strong"/>
          <w:rFonts w:cstheme="majorBidi"/>
          <w:b w:val="0"/>
          <w:bCs w:val="0"/>
          <w:szCs w:val="24"/>
          <w:lang w:val="fr-FR"/>
        </w:rPr>
        <w:t xml:space="preserve"> y trouve en particulier des saponines stéroïdiennes et des fibres solubles comme les galactomannanes  ainsi que des alcaloïdes (dont la trigonelline) ; Il contient aussi des protéines et divers acides aminés. </w:t>
      </w:r>
      <w:proofErr w:type="gramStart"/>
      <w:r w:rsidRPr="00664D0A">
        <w:rPr>
          <w:lang w:val="fr-FR"/>
        </w:rPr>
        <w:t>cette</w:t>
      </w:r>
      <w:proofErr w:type="gramEnd"/>
      <w:r w:rsidRPr="00664D0A">
        <w:rPr>
          <w:lang w:val="fr-FR"/>
        </w:rPr>
        <w:t xml:space="preserve"> plante était traditionnellement </w:t>
      </w:r>
      <w:r w:rsidRPr="00664D0A">
        <w:rPr>
          <w:rStyle w:val="Strong"/>
          <w:rFonts w:cstheme="majorBidi"/>
          <w:b w:val="0"/>
          <w:bCs w:val="0"/>
          <w:szCs w:val="24"/>
          <w:lang w:val="fr-FR"/>
        </w:rPr>
        <w:t xml:space="preserve">employé comme aide à la digestion, comme tonique d’usage général et comme lactogène, c’est-à-dire pour soutenir la lactation. </w:t>
      </w:r>
      <w:proofErr w:type="gramStart"/>
      <w:r w:rsidRPr="00664D0A">
        <w:rPr>
          <w:lang w:val="fr-FR"/>
        </w:rPr>
        <w:t>pour</w:t>
      </w:r>
      <w:proofErr w:type="gramEnd"/>
      <w:r w:rsidRPr="00664D0A">
        <w:rPr>
          <w:lang w:val="fr-FR"/>
        </w:rPr>
        <w:t xml:space="preserve"> ses effets antidiabétiques</w:t>
      </w:r>
      <w:r w:rsidRPr="00664D0A">
        <w:rPr>
          <w:rFonts w:eastAsia="Times New Roman"/>
          <w:lang w:val="fr-FR" w:eastAsia="fr-FR"/>
        </w:rPr>
        <w:t xml:space="preserve"> </w:t>
      </w:r>
      <w:r w:rsidRPr="00664D0A">
        <w:rPr>
          <w:rStyle w:val="Strong"/>
          <w:rFonts w:cstheme="majorBidi"/>
          <w:b w:val="0"/>
          <w:bCs w:val="0"/>
          <w:szCs w:val="24"/>
          <w:lang w:val="fr-FR"/>
        </w:rPr>
        <w:t>le fenugrec pourrait contribuer à diminuer la glycémie. Ces effets seraient liés selon les études à une stimulation de la sécrétion d’insuline et à un ralentissement de l’absorption intestinale du glucose</w:t>
      </w:r>
      <w:r w:rsidR="009D1D3B">
        <w:rPr>
          <w:rStyle w:val="Strong"/>
          <w:rFonts w:cstheme="majorBidi"/>
          <w:b w:val="0"/>
          <w:bCs w:val="0"/>
          <w:szCs w:val="24"/>
          <w:lang w:val="fr-FR"/>
        </w:rPr>
        <w:t xml:space="preserve"> (122)</w:t>
      </w:r>
    </w:p>
    <w:p w14:paraId="26AB7948" w14:textId="77777777" w:rsidR="00664D0A" w:rsidRPr="00664D0A" w:rsidRDefault="00664D0A" w:rsidP="00665FE5">
      <w:pPr>
        <w:pStyle w:val="Heading3"/>
      </w:pPr>
      <w:r w:rsidRPr="00664D0A">
        <w:t xml:space="preserve">1-4-2/Ceratonia siliqua (Caroubier / Kharroub) </w:t>
      </w:r>
    </w:p>
    <w:p w14:paraId="1B588D63" w14:textId="77777777" w:rsidR="00664D0A" w:rsidRPr="00664D0A" w:rsidRDefault="00664D0A" w:rsidP="00B139C3">
      <w:pPr>
        <w:rPr>
          <w:lang w:val="fr-FR"/>
        </w:rPr>
      </w:pPr>
      <w:proofErr w:type="gramStart"/>
      <w:r w:rsidRPr="00664D0A">
        <w:rPr>
          <w:lang w:val="fr-FR"/>
        </w:rPr>
        <w:t>sur</w:t>
      </w:r>
      <w:proofErr w:type="gramEnd"/>
      <w:r w:rsidRPr="00664D0A">
        <w:rPr>
          <w:lang w:val="fr-FR"/>
        </w:rPr>
        <w:t xml:space="preserve"> le plan morphologique par</w:t>
      </w:r>
      <w:r w:rsidRPr="00664D0A">
        <w:rPr>
          <w:rFonts w:eastAsia="Times New Roman"/>
          <w:lang w:val="fr-FR" w:eastAsia="fr-FR"/>
        </w:rPr>
        <w:t>: Arbre robuste à feuilles persistantes coriaces. Le fruit est une gousse (caroube) épaisse, brune à maturité.</w:t>
      </w:r>
      <w:r w:rsidRPr="00664D0A">
        <w:rPr>
          <w:lang w:val="fr-FR"/>
        </w:rPr>
        <w:t xml:space="preserve"> </w:t>
      </w:r>
    </w:p>
    <w:p w14:paraId="2F34CB5C" w14:textId="77777777" w:rsidR="00664D0A" w:rsidRDefault="00664D0A" w:rsidP="00B139C3">
      <w:r w:rsidRPr="00E71797">
        <w:rPr>
          <w:noProof/>
          <w:lang w:val="fr-FR" w:eastAsia="fr-FR"/>
        </w:rPr>
        <w:drawing>
          <wp:inline distT="0" distB="0" distL="0" distR="0" wp14:anchorId="5A052C7E" wp14:editId="1388CFBE">
            <wp:extent cx="4429125" cy="2485696"/>
            <wp:effectExtent l="133350" t="38100" r="47625" b="67004"/>
            <wp:docPr id="85" name="Image 31" descr="Le Caroube à découvrir et à privilégier pour ses graines et sa pulpe – Esse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e Caroube à découvrir et à privilégier pour ses graines et sa pulpe – Esseha"/>
                    <pic:cNvPicPr>
                      <a:picLocks noChangeAspect="1" noChangeArrowheads="1"/>
                    </pic:cNvPicPr>
                  </pic:nvPicPr>
                  <pic:blipFill>
                    <a:blip r:embed="rId46"/>
                    <a:srcRect/>
                    <a:stretch>
                      <a:fillRect/>
                    </a:stretch>
                  </pic:blipFill>
                  <pic:spPr bwMode="auto">
                    <a:xfrm>
                      <a:off x="0" y="0"/>
                      <a:ext cx="4428911" cy="248557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176A4B56" w14:textId="6631DD40" w:rsidR="00664D0A" w:rsidRPr="00F96B82" w:rsidRDefault="00664D0A" w:rsidP="00B139C3">
      <w:pPr>
        <w:rPr>
          <w:lang w:val="fr-FR"/>
        </w:rPr>
      </w:pPr>
      <w:bookmarkStart w:id="121" w:name="_Toc229617318"/>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29</w:t>
      </w:r>
      <w:r>
        <w:rPr>
          <w:noProof/>
        </w:rPr>
        <w:fldChar w:fldCharType="end"/>
      </w:r>
      <w:r w:rsidRPr="00F96B82">
        <w:rPr>
          <w:lang w:val="fr-FR"/>
        </w:rPr>
        <w:t xml:space="preserve"> : Ceratonia siliqua</w:t>
      </w:r>
      <w:bookmarkEnd w:id="121"/>
    </w:p>
    <w:p w14:paraId="11B997F1" w14:textId="5FDBB5FA" w:rsidR="00664D0A" w:rsidRPr="00B91DCD" w:rsidRDefault="00664D0A" w:rsidP="00B91DCD">
      <w:pPr>
        <w:rPr>
          <w:lang w:val="fr-FR"/>
        </w:rPr>
      </w:pPr>
      <w:proofErr w:type="gramStart"/>
      <w:r w:rsidRPr="00664D0A">
        <w:rPr>
          <w:rFonts w:eastAsia="Times New Roman"/>
          <w:lang w:val="fr-FR" w:eastAsia="fr-FR"/>
        </w:rPr>
        <w:t>le</w:t>
      </w:r>
      <w:proofErr w:type="gramEnd"/>
      <w:r w:rsidRPr="00664D0A">
        <w:rPr>
          <w:rFonts w:eastAsia="Times New Roman"/>
          <w:lang w:val="fr-FR" w:eastAsia="fr-FR"/>
        </w:rPr>
        <w:t xml:space="preserve"> plan chimique il Riche en sucres naturels (pulpe), fibres (gomme) et polyphénols (tanins) </w:t>
      </w:r>
      <w:r w:rsidRPr="00664D0A">
        <w:rPr>
          <w:lang w:val="fr-FR"/>
        </w:rPr>
        <w:t xml:space="preserve">cette plante était traditionnellement </w:t>
      </w:r>
      <w:r w:rsidRPr="00664D0A">
        <w:rPr>
          <w:rStyle w:val="Strong"/>
          <w:rFonts w:cstheme="majorBidi"/>
          <w:b w:val="0"/>
          <w:bCs w:val="0"/>
          <w:szCs w:val="24"/>
          <w:lang w:val="fr-FR"/>
        </w:rPr>
        <w:t xml:space="preserve">employé comme </w:t>
      </w:r>
      <w:r w:rsidRPr="00664D0A">
        <w:rPr>
          <w:rFonts w:eastAsia="Times New Roman"/>
          <w:lang w:val="fr-FR" w:eastAsia="fr-FR"/>
        </w:rPr>
        <w:t>Anti-diarrhéique et substitut du cacao.</w:t>
      </w:r>
      <w:r w:rsidRPr="00664D0A">
        <w:rPr>
          <w:rStyle w:val="Strong"/>
          <w:rFonts w:cstheme="majorBidi"/>
          <w:b w:val="0"/>
          <w:bCs w:val="0"/>
          <w:szCs w:val="24"/>
          <w:lang w:val="fr-FR"/>
        </w:rPr>
        <w:t xml:space="preserve"> </w:t>
      </w:r>
      <w:proofErr w:type="gramStart"/>
      <w:r w:rsidRPr="00664D0A">
        <w:rPr>
          <w:lang w:val="fr-FR"/>
        </w:rPr>
        <w:t>pour</w:t>
      </w:r>
      <w:proofErr w:type="gramEnd"/>
      <w:r w:rsidRPr="00664D0A">
        <w:rPr>
          <w:lang w:val="fr-FR"/>
        </w:rPr>
        <w:t xml:space="preserve"> ses effets antidiabétiques </w:t>
      </w:r>
      <w:r w:rsidRPr="00664D0A">
        <w:rPr>
          <w:rFonts w:eastAsia="Times New Roman"/>
          <w:lang w:val="fr-FR" w:eastAsia="fr-FR"/>
        </w:rPr>
        <w:t>Les fibres (gomme de caroube) ralentissent l'absorption des sucres, tandis que le pinitol (un cyclitol) possède une action insulino-mimétique directe.</w:t>
      </w:r>
    </w:p>
    <w:p w14:paraId="1806A0DD" w14:textId="77777777" w:rsidR="00664D0A" w:rsidRPr="00664D0A" w:rsidRDefault="00664D0A" w:rsidP="00665FE5">
      <w:pPr>
        <w:pStyle w:val="Heading3"/>
      </w:pPr>
      <w:r w:rsidRPr="00664D0A">
        <w:t>1-4-3/ Acacia raddiana (Acacia / Talh)</w:t>
      </w:r>
    </w:p>
    <w:p w14:paraId="51560D7C" w14:textId="77777777" w:rsidR="00664D0A" w:rsidRPr="00664D0A" w:rsidRDefault="00664D0A" w:rsidP="00B139C3">
      <w:pPr>
        <w:rPr>
          <w:rFonts w:eastAsia="Times New Roman"/>
          <w:lang w:val="fr-FR" w:eastAsia="fr-FR"/>
        </w:rPr>
      </w:pPr>
      <w:proofErr w:type="gramStart"/>
      <w:r w:rsidRPr="00664D0A">
        <w:rPr>
          <w:lang w:val="fr-FR"/>
        </w:rPr>
        <w:t>sur</w:t>
      </w:r>
      <w:proofErr w:type="gramEnd"/>
      <w:r w:rsidRPr="00664D0A">
        <w:rPr>
          <w:lang w:val="fr-FR"/>
        </w:rPr>
        <w:t xml:space="preserve"> le plan morphologique par </w:t>
      </w:r>
      <w:r w:rsidRPr="00664D0A">
        <w:rPr>
          <w:rFonts w:eastAsia="Times New Roman"/>
          <w:lang w:val="fr-FR" w:eastAsia="fr-FR"/>
        </w:rPr>
        <w:t>Arbre épineux typique des zones arides, avec des feuilles bipennées et des fleurs en boules jaunes</w:t>
      </w:r>
    </w:p>
    <w:p w14:paraId="6D5027A9" w14:textId="77777777" w:rsidR="00664D0A" w:rsidRDefault="00664D0A" w:rsidP="00B139C3">
      <w:r w:rsidRPr="00E71797">
        <w:rPr>
          <w:noProof/>
          <w:lang w:val="fr-FR" w:eastAsia="fr-FR"/>
        </w:rPr>
        <w:lastRenderedPageBreak/>
        <w:drawing>
          <wp:inline distT="0" distB="0" distL="0" distR="0" wp14:anchorId="02966A11" wp14:editId="4CA442E4">
            <wp:extent cx="4233545" cy="2204074"/>
            <wp:effectExtent l="133350" t="76200" r="71755" b="139700"/>
            <wp:docPr id="86" name="Image 34" descr="Face à l'aridité, la puissance de l'arbre -&#10;                Chapitre 5. L’acacia, une autre forme d’agroforêt du désert - &#10;                IRD É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ace à l'aridité, la puissance de l'arbre -&#10;                Chapitre 5. L’acacia, une autre forme d’agroforêt du désert - &#10;                IRD Éditions"/>
                    <pic:cNvPicPr>
                      <a:picLocks noChangeAspect="1" noChangeArrowheads="1"/>
                    </pic:cNvPicPr>
                  </pic:nvPicPr>
                  <pic:blipFill>
                    <a:blip r:embed="rId47"/>
                    <a:srcRect/>
                    <a:stretch>
                      <a:fillRect/>
                    </a:stretch>
                  </pic:blipFill>
                  <pic:spPr bwMode="auto">
                    <a:xfrm>
                      <a:off x="0" y="0"/>
                      <a:ext cx="4237820" cy="2206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70E6187" w14:textId="32920E3C" w:rsidR="00664D0A" w:rsidRPr="00F96B82" w:rsidRDefault="00664D0A" w:rsidP="00B139C3">
      <w:pPr>
        <w:rPr>
          <w:lang w:val="fr-FR"/>
        </w:rPr>
      </w:pPr>
      <w:bookmarkStart w:id="122" w:name="_Toc229617319"/>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30</w:t>
      </w:r>
      <w:r>
        <w:rPr>
          <w:noProof/>
        </w:rPr>
        <w:fldChar w:fldCharType="end"/>
      </w:r>
      <w:r w:rsidRPr="00F96B82">
        <w:rPr>
          <w:lang w:val="fr-FR"/>
        </w:rPr>
        <w:t xml:space="preserve"> : Acacia raddiana</w:t>
      </w:r>
      <w:bookmarkEnd w:id="122"/>
    </w:p>
    <w:p w14:paraId="121E4A4D" w14:textId="7CF520AC" w:rsidR="00664D0A" w:rsidRPr="00664D0A" w:rsidRDefault="00664D0A" w:rsidP="00B91DCD">
      <w:pPr>
        <w:rPr>
          <w:lang w:val="fr-FR"/>
        </w:rPr>
      </w:pPr>
      <w:proofErr w:type="gramStart"/>
      <w:r w:rsidRPr="00664D0A">
        <w:rPr>
          <w:rFonts w:eastAsia="Times New Roman"/>
          <w:lang w:val="fr-FR" w:eastAsia="fr-FR"/>
        </w:rPr>
        <w:t>le</w:t>
      </w:r>
      <w:proofErr w:type="gramEnd"/>
      <w:r w:rsidRPr="00664D0A">
        <w:rPr>
          <w:rFonts w:eastAsia="Times New Roman"/>
          <w:lang w:val="fr-FR" w:eastAsia="fr-FR"/>
        </w:rPr>
        <w:t xml:space="preserve"> plan chimique Riche en tanins, gommes (polysaccharides) et flavonoïdes. </w:t>
      </w:r>
      <w:proofErr w:type="gramStart"/>
      <w:r w:rsidRPr="00664D0A">
        <w:rPr>
          <w:lang w:val="fr-FR"/>
        </w:rPr>
        <w:t>cette</w:t>
      </w:r>
      <w:proofErr w:type="gramEnd"/>
      <w:r w:rsidRPr="00664D0A">
        <w:rPr>
          <w:lang w:val="fr-FR"/>
        </w:rPr>
        <w:t xml:space="preserve"> plante était traditionnellement </w:t>
      </w:r>
      <w:r w:rsidRPr="00664D0A">
        <w:rPr>
          <w:rStyle w:val="Strong"/>
          <w:rFonts w:cstheme="majorBidi"/>
          <w:b w:val="0"/>
          <w:bCs w:val="0"/>
          <w:szCs w:val="24"/>
          <w:lang w:val="fr-FR"/>
        </w:rPr>
        <w:t xml:space="preserve">employé comme </w:t>
      </w:r>
      <w:r w:rsidRPr="00664D0A">
        <w:rPr>
          <w:rFonts w:eastAsia="Times New Roman"/>
          <w:lang w:val="fr-FR" w:eastAsia="fr-FR"/>
        </w:rPr>
        <w:t xml:space="preserve">Traitement des problèmes cutanés et gastro-intestinaux </w:t>
      </w:r>
      <w:r w:rsidRPr="00664D0A">
        <w:rPr>
          <w:lang w:val="fr-FR"/>
        </w:rPr>
        <w:t xml:space="preserve">pour ses effets antidiabétiques </w:t>
      </w:r>
      <w:r w:rsidRPr="00664D0A">
        <w:rPr>
          <w:rFonts w:eastAsia="Times New Roman"/>
          <w:lang w:val="fr-FR" w:eastAsia="fr-FR"/>
        </w:rPr>
        <w:t>: La gomme agit comme une fibre prébiotique améliorant le métabolisme du glucose et réduisant l'inflammation systémique liée au diabète de type 2.</w:t>
      </w:r>
      <w:r w:rsidR="009D1D3B">
        <w:rPr>
          <w:rFonts w:eastAsia="Times New Roman"/>
          <w:lang w:val="fr-FR" w:eastAsia="fr-FR"/>
        </w:rPr>
        <w:t>(120)</w:t>
      </w:r>
    </w:p>
    <w:p w14:paraId="2F1517CF" w14:textId="77777777" w:rsidR="00664D0A" w:rsidRPr="00664D0A" w:rsidRDefault="00664D0A" w:rsidP="001C2505">
      <w:pPr>
        <w:pStyle w:val="Heading2"/>
      </w:pPr>
      <w:r w:rsidRPr="00664D0A">
        <w:t xml:space="preserve"> </w:t>
      </w:r>
      <w:bookmarkStart w:id="123" w:name="_Toc229618830"/>
      <w:r w:rsidRPr="00664D0A">
        <w:t>1-5/ Oleaceae :</w:t>
      </w:r>
      <w:bookmarkEnd w:id="123"/>
    </w:p>
    <w:p w14:paraId="573F1DA4" w14:textId="77777777" w:rsidR="00664D0A" w:rsidRPr="00664D0A" w:rsidRDefault="00664D0A" w:rsidP="001C2505">
      <w:pPr>
        <w:pStyle w:val="Heading3"/>
      </w:pPr>
      <w:r w:rsidRPr="00664D0A">
        <w:rPr>
          <w:rStyle w:val="Emphasis"/>
          <w:i w:val="0"/>
          <w:iCs w:val="0"/>
          <w:sz w:val="28"/>
          <w:szCs w:val="28"/>
        </w:rPr>
        <w:t>1-5-1/Olea europaea</w:t>
      </w:r>
      <w:r w:rsidRPr="00664D0A">
        <w:t xml:space="preserve"> :</w:t>
      </w:r>
    </w:p>
    <w:p w14:paraId="2B60F452" w14:textId="77777777" w:rsidR="00664D0A" w:rsidRPr="00664D0A" w:rsidRDefault="00664D0A" w:rsidP="00B139C3">
      <w:pPr>
        <w:rPr>
          <w:lang w:val="fr-FR"/>
        </w:rPr>
      </w:pPr>
      <w:r w:rsidRPr="00664D0A">
        <w:rPr>
          <w:lang w:val="fr-FR"/>
        </w:rPr>
        <w:t xml:space="preserve">Olea europaea (olivier / </w:t>
      </w:r>
      <w:r w:rsidRPr="00E71797">
        <w:rPr>
          <w:rtl/>
        </w:rPr>
        <w:t>ورق الزيتون</w:t>
      </w:r>
      <w:r w:rsidRPr="00664D0A">
        <w:rPr>
          <w:lang w:val="fr-FR"/>
        </w:rPr>
        <w:t>) est une espèce de la famille des Oleaceae. Il s’agit d’un arbre méditerranéen très cultivé, surtout pour ses feuilles et ses fruits (les olives), qui sont utilisés à la fois en alimentation et dans certaines pratiques de médecine traditionnelle.</w:t>
      </w:r>
    </w:p>
    <w:p w14:paraId="4189BC2A" w14:textId="77777777" w:rsidR="00664D0A" w:rsidRPr="00664D0A" w:rsidRDefault="00664D0A" w:rsidP="00B139C3">
      <w:pPr>
        <w:rPr>
          <w:rFonts w:eastAsia="Times New Roman"/>
          <w:lang w:val="fr-FR" w:eastAsia="fr-FR"/>
        </w:rPr>
      </w:pPr>
      <w:r w:rsidRPr="00664D0A">
        <w:rPr>
          <w:lang w:val="fr-FR"/>
        </w:rPr>
        <w:t xml:space="preserve"> </w:t>
      </w:r>
      <w:proofErr w:type="gramStart"/>
      <w:r w:rsidRPr="00664D0A">
        <w:rPr>
          <w:lang w:val="fr-FR"/>
        </w:rPr>
        <w:t>cette</w:t>
      </w:r>
      <w:proofErr w:type="gramEnd"/>
      <w:r w:rsidRPr="00664D0A">
        <w:rPr>
          <w:lang w:val="fr-FR"/>
        </w:rPr>
        <w:t xml:space="preserve"> plante se distingue, sur le plan morphologique par, des feuilles coriace disposées par paires et de forme allongée de couleur vert grisâtre ainsi que des fruits ovales appelés olives ; elle est aussi  un arbre persistant à croissance plutôt lente .</w:t>
      </w:r>
      <w:r w:rsidRPr="00664D0A">
        <w:rPr>
          <w:rFonts w:eastAsia="Times New Roman"/>
          <w:lang w:val="fr-FR" w:eastAsia="fr-FR"/>
        </w:rPr>
        <w:t xml:space="preserve"> </w:t>
      </w:r>
    </w:p>
    <w:p w14:paraId="5C0470F2" w14:textId="77777777" w:rsidR="00664D0A" w:rsidRDefault="00664D0A" w:rsidP="00B139C3">
      <w:r w:rsidRPr="00E71797">
        <w:rPr>
          <w:noProof/>
          <w:lang w:val="fr-FR" w:eastAsia="fr-FR"/>
        </w:rPr>
        <w:drawing>
          <wp:inline distT="0" distB="0" distL="0" distR="0" wp14:anchorId="5FAF5AF5" wp14:editId="65415CB1">
            <wp:extent cx="3648209" cy="2556000"/>
            <wp:effectExtent l="133350" t="19050" r="47491" b="53850"/>
            <wp:docPr id="87" name="Image 12" descr="zeg3waTT2-FKRTytnQu6LshgEL06n5-y5YplR8Y6AW8Au3FxBjPQDxmYR4Hn9YPZ7ZU__0Y_Wvw3bsAWyJSzzziKY2yq6PTbJCCDKJ5G5Cz6kUgwHEt4SHvQ53LI8-f6bP942jPVN8u2BH7RW9x95DKPNr4grItoo2bQs5sgeXFOjuFcSKp89AlUMxW8mfu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g3waTT2-FKRTytnQu6LshgEL06n5-y5YplR8Y6AW8Au3FxBjPQDxmYR4Hn9YPZ7ZU__0Y_Wvw3bsAWyJSzzziKY2yq6PTbJCCDKJ5G5Cz6kUgwHEt4SHvQ53LI8-f6bP942jPVN8u2BH7RW9x95DKPNr4grItoo2bQs5sgeXFOjuFcSKp89AlUMxW8mfu7.jpg"/>
                    <pic:cNvPicPr/>
                  </pic:nvPicPr>
                  <pic:blipFill>
                    <a:blip r:embed="rId48" cstate="print"/>
                    <a:stretch>
                      <a:fillRect/>
                    </a:stretch>
                  </pic:blipFill>
                  <pic:spPr>
                    <a:xfrm>
                      <a:off x="0" y="0"/>
                      <a:ext cx="3648209" cy="2556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16DDE04" w14:textId="4AD4F370" w:rsidR="00664D0A" w:rsidRPr="00F96B82" w:rsidRDefault="00664D0A" w:rsidP="00B139C3">
      <w:pPr>
        <w:rPr>
          <w:rFonts w:eastAsia="Times New Roman"/>
          <w:lang w:val="fr-FR" w:eastAsia="fr-FR"/>
        </w:rPr>
      </w:pPr>
      <w:bookmarkStart w:id="124" w:name="_Toc229617320"/>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31</w:t>
      </w:r>
      <w:r>
        <w:rPr>
          <w:noProof/>
        </w:rPr>
        <w:fldChar w:fldCharType="end"/>
      </w:r>
      <w:r w:rsidRPr="00F96B82">
        <w:rPr>
          <w:lang w:val="fr-FR"/>
        </w:rPr>
        <w:t xml:space="preserve"> : Olea europaea :</w:t>
      </w:r>
      <w:bookmarkEnd w:id="124"/>
    </w:p>
    <w:p w14:paraId="77A158AE" w14:textId="33C38EE4" w:rsidR="00664D0A" w:rsidRPr="00B91DCD" w:rsidRDefault="00664D0A" w:rsidP="00B91DCD">
      <w:pPr>
        <w:rPr>
          <w:lang w:val="fr-FR"/>
        </w:rPr>
      </w:pPr>
      <w:r w:rsidRPr="00664D0A">
        <w:rPr>
          <w:rFonts w:eastAsia="Times New Roman"/>
          <w:lang w:val="fr-FR" w:eastAsia="fr-FR"/>
        </w:rPr>
        <w:lastRenderedPageBreak/>
        <w:t>Sur le plan chimique</w:t>
      </w:r>
      <w:r w:rsidRPr="00664D0A">
        <w:rPr>
          <w:lang w:val="fr-FR"/>
        </w:rPr>
        <w:t xml:space="preserve"> leur composition </w:t>
      </w:r>
      <w:proofErr w:type="gramStart"/>
      <w:r w:rsidRPr="00664D0A">
        <w:rPr>
          <w:lang w:val="fr-FR"/>
        </w:rPr>
        <w:t>sont  bien</w:t>
      </w:r>
      <w:proofErr w:type="gramEnd"/>
      <w:r w:rsidRPr="00664D0A">
        <w:rPr>
          <w:lang w:val="fr-FR"/>
        </w:rPr>
        <w:t xml:space="preserve"> documentée et se caractérise par une forte présence de polyphénols en particulier l’oleuropéine. On y trouve également des flavonoïdes et d’autres composés phénoliques, souvent considérés comme les principaux contributeurs de ses effets biologiques. </w:t>
      </w:r>
      <w:proofErr w:type="gramStart"/>
      <w:r w:rsidRPr="00664D0A">
        <w:rPr>
          <w:lang w:val="fr-FR"/>
        </w:rPr>
        <w:t>cette</w:t>
      </w:r>
      <w:proofErr w:type="gramEnd"/>
      <w:r w:rsidRPr="00664D0A">
        <w:rPr>
          <w:lang w:val="fr-FR"/>
        </w:rPr>
        <w:t xml:space="preserve"> plante était traditionnellement employés pour leurs effets potentiellement hypotenseurs antioxydants et cardioprotecteurs. Ils sont notamment associés à la régulation de la pression artérielle et au soutien de la fonction cardiovasculaire. </w:t>
      </w:r>
      <w:proofErr w:type="gramStart"/>
      <w:r w:rsidRPr="00664D0A">
        <w:rPr>
          <w:lang w:val="fr-FR"/>
        </w:rPr>
        <w:t>pour</w:t>
      </w:r>
      <w:proofErr w:type="gramEnd"/>
      <w:r w:rsidRPr="00664D0A">
        <w:rPr>
          <w:lang w:val="fr-FR"/>
        </w:rPr>
        <w:t xml:space="preserve"> ses effets antidiabétiques</w:t>
      </w:r>
      <w:r w:rsidRPr="00664D0A">
        <w:rPr>
          <w:rFonts w:eastAsia="Times New Roman"/>
          <w:lang w:val="fr-FR" w:eastAsia="fr-FR"/>
        </w:rPr>
        <w:t xml:space="preserve"> </w:t>
      </w:r>
      <w:r w:rsidRPr="00664D0A">
        <w:rPr>
          <w:lang w:val="fr-FR"/>
        </w:rPr>
        <w:t>plusieurs travaux suggèrent qu’Olea europaea pourrait améliorer la sensibilité à l’insuline et participer à une diminution de la glycémie. Ces effets sont généralement attribués à ses composés phénoliques, ainsi qu’à une activité antioxydante susceptible de jou</w:t>
      </w:r>
      <w:r w:rsidR="00B91DCD">
        <w:rPr>
          <w:lang w:val="fr-FR"/>
        </w:rPr>
        <w:t xml:space="preserve">er un rôle dans ces </w:t>
      </w:r>
      <w:proofErr w:type="gramStart"/>
      <w:r w:rsidR="00B91DCD">
        <w:rPr>
          <w:lang w:val="fr-FR"/>
        </w:rPr>
        <w:t>mécanismes.</w:t>
      </w:r>
      <w:r w:rsidR="009D1D3B">
        <w:rPr>
          <w:lang w:val="fr-FR"/>
        </w:rPr>
        <w:t>(</w:t>
      </w:r>
      <w:proofErr w:type="gramEnd"/>
      <w:r w:rsidR="009D1D3B">
        <w:rPr>
          <w:lang w:val="fr-FR"/>
        </w:rPr>
        <w:t>122)</w:t>
      </w:r>
    </w:p>
    <w:p w14:paraId="03D40460" w14:textId="77777777" w:rsidR="00664D0A" w:rsidRPr="00664D0A" w:rsidRDefault="00664D0A" w:rsidP="001C2505">
      <w:pPr>
        <w:pStyle w:val="Heading2"/>
      </w:pPr>
      <w:bookmarkStart w:id="125" w:name="_Toc229618831"/>
      <w:r w:rsidRPr="00664D0A">
        <w:t>1-6/ Lauraceae :</w:t>
      </w:r>
      <w:bookmarkEnd w:id="125"/>
    </w:p>
    <w:p w14:paraId="77B87F68" w14:textId="77777777" w:rsidR="00664D0A" w:rsidRPr="00664D0A" w:rsidRDefault="00664D0A" w:rsidP="001C2505">
      <w:pPr>
        <w:pStyle w:val="Heading3"/>
      </w:pPr>
      <w:r w:rsidRPr="00664D0A">
        <w:t xml:space="preserve"> 1-6-1/</w:t>
      </w:r>
      <w:r w:rsidRPr="00664D0A">
        <w:rPr>
          <w:rStyle w:val="Emphasis"/>
          <w:i w:val="0"/>
          <w:iCs w:val="0"/>
          <w:sz w:val="28"/>
          <w:szCs w:val="28"/>
        </w:rPr>
        <w:t>Laurus nobilis</w:t>
      </w:r>
      <w:r w:rsidRPr="00664D0A">
        <w:t xml:space="preserve"> </w:t>
      </w:r>
    </w:p>
    <w:p w14:paraId="7BFCC33F" w14:textId="77777777" w:rsidR="00664D0A" w:rsidRPr="00664D0A" w:rsidRDefault="00664D0A" w:rsidP="00B139C3">
      <w:pPr>
        <w:rPr>
          <w:lang w:val="fr-FR"/>
        </w:rPr>
      </w:pPr>
      <w:r w:rsidRPr="00664D0A">
        <w:rPr>
          <w:lang w:val="fr-FR"/>
        </w:rPr>
        <w:t xml:space="preserve">Laurus nobilis (laurier / </w:t>
      </w:r>
      <w:r w:rsidRPr="00E71797">
        <w:rPr>
          <w:rtl/>
        </w:rPr>
        <w:t>رند</w:t>
      </w:r>
      <w:r w:rsidRPr="00664D0A">
        <w:rPr>
          <w:lang w:val="fr-FR"/>
        </w:rPr>
        <w:t xml:space="preserve">) est une plante aromatique de la famille des Lauraceae. On l’emploie couramment en cuisine, et elle occupe aussi une place en phytothérapie traditionnelle, notamment pour des effets associés à la digestion et à l’activité antimicrobienne. </w:t>
      </w:r>
    </w:p>
    <w:p w14:paraId="2ADB3B81" w14:textId="77777777" w:rsidR="00664D0A" w:rsidRPr="00664D0A" w:rsidRDefault="00664D0A" w:rsidP="00B139C3">
      <w:pPr>
        <w:rPr>
          <w:lang w:val="fr-FR"/>
        </w:rPr>
      </w:pPr>
      <w:proofErr w:type="gramStart"/>
      <w:r w:rsidRPr="00664D0A">
        <w:rPr>
          <w:lang w:val="fr-FR"/>
        </w:rPr>
        <w:t>cette</w:t>
      </w:r>
      <w:proofErr w:type="gramEnd"/>
      <w:r w:rsidRPr="00664D0A">
        <w:rPr>
          <w:lang w:val="fr-FR"/>
        </w:rPr>
        <w:t xml:space="preserve"> arbres se distingue, sur le plan morphologique par d’un petit arbre à feuillage persistant, avec des feuilles coriaces vert foncé aromatiques qui restent présentes tout au long de l’année</w:t>
      </w:r>
    </w:p>
    <w:p w14:paraId="378681D4" w14:textId="77777777" w:rsidR="00664D0A" w:rsidRDefault="00664D0A" w:rsidP="00B139C3">
      <w:r w:rsidRPr="00E71797">
        <w:rPr>
          <w:noProof/>
          <w:lang w:val="fr-FR" w:eastAsia="fr-FR"/>
        </w:rPr>
        <w:drawing>
          <wp:inline distT="0" distB="0" distL="0" distR="0" wp14:anchorId="178DDD87" wp14:editId="387834BF">
            <wp:extent cx="3076575" cy="2838450"/>
            <wp:effectExtent l="133350" t="38100" r="47625" b="76200"/>
            <wp:docPr id="88" name="Image 13" descr="wZoD_UBCSt-Op459zpXwixNEg-uEs3bx1bui-rrh8SHCHkgvIETwUA3E15ju8QbUKbHrsXDZ6WhHMtp11ylcuY4E-JDjZgh492E0GIwQqQTohIrEqIGpPCgKyn6Kt82i44eTiIR6t8foc62i504dO8ifnmdUlHm3IMyq3mfo44PPJmgPNnlJ9UVqEhwKWA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ZoD_UBCSt-Op459zpXwixNEg-uEs3bx1bui-rrh8SHCHkgvIETwUA3E15ju8QbUKbHrsXDZ6WhHMtp11ylcuY4E-JDjZgh492E0GIwQqQTohIrEqIGpPCgKyn6Kt82i44eTiIR6t8foc62i504dO8ifnmdUlHm3IMyq3mfo44PPJmgPNnlJ9UVqEhwKWAJB.jpg"/>
                    <pic:cNvPicPr/>
                  </pic:nvPicPr>
                  <pic:blipFill>
                    <a:blip r:embed="rId49"/>
                    <a:stretch>
                      <a:fillRect/>
                    </a:stretch>
                  </pic:blipFill>
                  <pic:spPr>
                    <a:xfrm>
                      <a:off x="0" y="0"/>
                      <a:ext cx="3081286" cy="284279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E2F842C" w14:textId="41B2E07F" w:rsidR="00664D0A" w:rsidRPr="00F96B82" w:rsidRDefault="00664D0A" w:rsidP="00B139C3">
      <w:pPr>
        <w:rPr>
          <w:rFonts w:eastAsia="Times New Roman"/>
          <w:lang w:val="fr-FR" w:eastAsia="fr-FR"/>
        </w:rPr>
      </w:pPr>
      <w:bookmarkStart w:id="126" w:name="_Toc229617321"/>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32</w:t>
      </w:r>
      <w:r>
        <w:rPr>
          <w:noProof/>
        </w:rPr>
        <w:fldChar w:fldCharType="end"/>
      </w:r>
      <w:r w:rsidRPr="00F96B82">
        <w:rPr>
          <w:lang w:val="fr-FR"/>
        </w:rPr>
        <w:t xml:space="preserve"> : Laurus nobilis</w:t>
      </w:r>
      <w:bookmarkEnd w:id="126"/>
    </w:p>
    <w:p w14:paraId="377A64B0" w14:textId="292838A4" w:rsidR="00664D0A" w:rsidRPr="00B91DCD" w:rsidRDefault="00664D0A" w:rsidP="00B91DCD">
      <w:pPr>
        <w:rPr>
          <w:rFonts w:eastAsia="Times New Roman"/>
          <w:lang w:val="fr-FR" w:eastAsia="fr-FR"/>
        </w:rPr>
      </w:pPr>
      <w:proofErr w:type="gramStart"/>
      <w:r w:rsidRPr="00664D0A">
        <w:rPr>
          <w:rFonts w:eastAsia="Times New Roman"/>
          <w:lang w:val="fr-FR" w:eastAsia="fr-FR"/>
        </w:rPr>
        <w:t>sur</w:t>
      </w:r>
      <w:proofErr w:type="gramEnd"/>
      <w:r w:rsidRPr="00664D0A">
        <w:rPr>
          <w:rFonts w:eastAsia="Times New Roman"/>
          <w:lang w:val="fr-FR" w:eastAsia="fr-FR"/>
        </w:rPr>
        <w:t xml:space="preserve"> le plan chimique</w:t>
      </w:r>
      <w:r w:rsidRPr="00664D0A">
        <w:rPr>
          <w:lang w:val="fr-FR"/>
        </w:rPr>
        <w:t xml:space="preserve"> le laurier contient des huiles essentielles  dont une proportion notable de 1,8-cinéole (eucalyptol) et d’eugénol. On y trouve également des flavonoïdes et d’autres composés phénoliques cette plante était traditionnellement Laurus nobilis est mentionné comme antiseptique pour des infections jugées mineures et carminatif. Il est aussu utiliser pour des inconforts gastro-intestinaux pour ses effets antidiabétiques le laurier pourrait être associé à une baisse modérée de la glycémie et à une amélioration du p</w:t>
      </w:r>
      <w:r w:rsidR="00B91DCD">
        <w:rPr>
          <w:lang w:val="fr-FR"/>
        </w:rPr>
        <w:t>rofil lipidique</w:t>
      </w:r>
    </w:p>
    <w:p w14:paraId="6D758562" w14:textId="77777777" w:rsidR="00664D0A" w:rsidRPr="00664D0A" w:rsidRDefault="00664D0A" w:rsidP="001C2505">
      <w:pPr>
        <w:pStyle w:val="Heading2"/>
      </w:pPr>
      <w:bookmarkStart w:id="127" w:name="_Toc229618832"/>
      <w:r w:rsidRPr="00664D0A">
        <w:lastRenderedPageBreak/>
        <w:t>1-7/ Zingiberaceae :</w:t>
      </w:r>
      <w:bookmarkEnd w:id="127"/>
    </w:p>
    <w:p w14:paraId="508AEB73" w14:textId="77777777" w:rsidR="00664D0A" w:rsidRPr="00664D0A" w:rsidRDefault="00664D0A" w:rsidP="001C2505">
      <w:pPr>
        <w:pStyle w:val="Heading3"/>
      </w:pPr>
      <w:r w:rsidRPr="00664D0A">
        <w:t xml:space="preserve"> 1-7-1/</w:t>
      </w:r>
      <w:r w:rsidRPr="00664D0A">
        <w:rPr>
          <w:rStyle w:val="Emphasis"/>
          <w:i w:val="0"/>
          <w:iCs w:val="0"/>
          <w:sz w:val="28"/>
          <w:szCs w:val="28"/>
        </w:rPr>
        <w:t>Zingiber officinale</w:t>
      </w:r>
      <w:r w:rsidRPr="00664D0A">
        <w:t xml:space="preserve"> :</w:t>
      </w:r>
    </w:p>
    <w:p w14:paraId="7C777583" w14:textId="77777777" w:rsidR="00664D0A" w:rsidRPr="00664D0A" w:rsidRDefault="00664D0A" w:rsidP="00B139C3">
      <w:pPr>
        <w:rPr>
          <w:lang w:val="fr-FR"/>
        </w:rPr>
      </w:pPr>
      <w:r w:rsidRPr="00664D0A">
        <w:rPr>
          <w:lang w:val="fr-FR"/>
        </w:rPr>
        <w:t xml:space="preserve">Zingiber officinale (gingembre / </w:t>
      </w:r>
      <w:r w:rsidRPr="00E71797">
        <w:rPr>
          <w:rtl/>
        </w:rPr>
        <w:t>زنجبيل</w:t>
      </w:r>
      <w:r w:rsidRPr="00664D0A">
        <w:rPr>
          <w:lang w:val="fr-FR"/>
        </w:rPr>
        <w:t>) est une plante médicinale de la famille des Zingiberaceae. On l’emploie depuis longtemps dans les médecines traditionnelles asiatique et méditerranéenne, notamment pour ses effets sur la digestion et certains aspects du métabolisme.</w:t>
      </w:r>
    </w:p>
    <w:p w14:paraId="0DE42186" w14:textId="77777777" w:rsidR="00664D0A" w:rsidRPr="00664D0A" w:rsidRDefault="00664D0A" w:rsidP="00B139C3">
      <w:pPr>
        <w:rPr>
          <w:lang w:val="fr-FR"/>
        </w:rPr>
      </w:pPr>
      <w:r w:rsidRPr="00664D0A">
        <w:rPr>
          <w:lang w:val="fr-FR"/>
        </w:rPr>
        <w:t xml:space="preserve"> </w:t>
      </w:r>
      <w:proofErr w:type="gramStart"/>
      <w:r w:rsidRPr="00664D0A">
        <w:rPr>
          <w:lang w:val="fr-FR"/>
        </w:rPr>
        <w:t>cette</w:t>
      </w:r>
      <w:proofErr w:type="gramEnd"/>
      <w:r w:rsidRPr="00664D0A">
        <w:rPr>
          <w:lang w:val="fr-FR"/>
        </w:rPr>
        <w:t xml:space="preserve"> plante, sur le plan morphologique c’est une plante vivace dotée d’un rhizome souterrain épais et charnu. Elle développe des tiges feuillées avec des feuilles longues et lancéolée   </w:t>
      </w:r>
      <w:proofErr w:type="gramStart"/>
      <w:r w:rsidRPr="00664D0A">
        <w:rPr>
          <w:lang w:val="fr-FR"/>
        </w:rPr>
        <w:t>et  la</w:t>
      </w:r>
      <w:proofErr w:type="gramEnd"/>
      <w:r w:rsidRPr="00664D0A">
        <w:rPr>
          <w:lang w:val="fr-FR"/>
        </w:rPr>
        <w:t xml:space="preserve"> partie le plus utilisée correspond au rhizome. </w:t>
      </w:r>
    </w:p>
    <w:p w14:paraId="03E6B9C5" w14:textId="77777777" w:rsidR="00664D0A" w:rsidRDefault="00664D0A" w:rsidP="00B139C3">
      <w:r w:rsidRPr="00E71797">
        <w:rPr>
          <w:noProof/>
          <w:rtl/>
          <w:lang w:val="fr-FR" w:eastAsia="fr-FR"/>
        </w:rPr>
        <w:drawing>
          <wp:inline distT="0" distB="0" distL="0" distR="0" wp14:anchorId="768C5FC5" wp14:editId="02430759">
            <wp:extent cx="3381375" cy="2930241"/>
            <wp:effectExtent l="76200" t="38100" r="66675" b="60609"/>
            <wp:docPr id="89" name="Image 14" descr="Gingembre_(marché_de_Berger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ngembre_(marché_de_Bergerac).jpg"/>
                    <pic:cNvPicPr/>
                  </pic:nvPicPr>
                  <pic:blipFill>
                    <a:blip r:embed="rId50" cstate="print"/>
                    <a:stretch>
                      <a:fillRect/>
                    </a:stretch>
                  </pic:blipFill>
                  <pic:spPr>
                    <a:xfrm>
                      <a:off x="0" y="0"/>
                      <a:ext cx="3391800" cy="2939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57174DC" w14:textId="1E35B18F" w:rsidR="00664D0A" w:rsidRPr="00F96B82" w:rsidRDefault="00664D0A" w:rsidP="00B139C3">
      <w:pPr>
        <w:rPr>
          <w:lang w:val="fr-FR"/>
        </w:rPr>
      </w:pPr>
      <w:bookmarkStart w:id="128" w:name="_Toc229617322"/>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33</w:t>
      </w:r>
      <w:r>
        <w:rPr>
          <w:noProof/>
        </w:rPr>
        <w:fldChar w:fldCharType="end"/>
      </w:r>
      <w:r w:rsidRPr="00F96B82">
        <w:rPr>
          <w:lang w:val="fr-FR"/>
        </w:rPr>
        <w:t xml:space="preserve"> : Zingiber officinale</w:t>
      </w:r>
      <w:bookmarkEnd w:id="128"/>
    </w:p>
    <w:p w14:paraId="1E5EB690" w14:textId="4B28A320" w:rsidR="00664D0A" w:rsidRPr="00B91DCD" w:rsidRDefault="00664D0A" w:rsidP="00B91DCD">
      <w:pPr>
        <w:rPr>
          <w:lang w:val="fr-FR"/>
        </w:rPr>
      </w:pPr>
      <w:r w:rsidRPr="00664D0A">
        <w:rPr>
          <w:lang w:val="fr-FR"/>
        </w:rPr>
        <w:t>Sur le plan chimique, elle contient</w:t>
      </w:r>
      <w:r w:rsidRPr="00664D0A">
        <w:rPr>
          <w:rStyle w:val="Emphasis"/>
          <w:rFonts w:eastAsia="Times New Roman" w:cstheme="majorBidi"/>
          <w:i w:val="0"/>
          <w:iCs w:val="0"/>
          <w:szCs w:val="24"/>
          <w:lang w:val="fr-FR" w:eastAsia="fr-FR"/>
        </w:rPr>
        <w:t xml:space="preserve">  </w:t>
      </w:r>
      <w:r w:rsidRPr="00664D0A">
        <w:rPr>
          <w:rFonts w:eastAsia="Times New Roman"/>
          <w:kern w:val="36"/>
          <w:lang w:val="fr-FR" w:eastAsia="fr-FR"/>
        </w:rPr>
        <w:t xml:space="preserve"> </w:t>
      </w:r>
      <w:r w:rsidRPr="00664D0A">
        <w:rPr>
          <w:lang w:val="fr-FR"/>
        </w:rPr>
        <w:t xml:space="preserve">en particulier des gingérols ; des shogaols et des huiles essentielles (comme le zingibérène et le </w:t>
      </w:r>
      <w:proofErr w:type="gramStart"/>
      <w:r w:rsidRPr="00664D0A">
        <w:rPr>
          <w:lang w:val="fr-FR"/>
        </w:rPr>
        <w:t>bisabolène)  Ces</w:t>
      </w:r>
      <w:proofErr w:type="gramEnd"/>
      <w:r w:rsidRPr="00664D0A">
        <w:rPr>
          <w:lang w:val="fr-FR"/>
        </w:rPr>
        <w:t xml:space="preserve"> composés sont généralement associés à ses effets pharmacologiques et à son odeur caractéristique.cette plante était traditionnellement employee comme anti-inflammatoire et comme antiémétique ou face  à divers inconforts digestifs. </w:t>
      </w:r>
      <w:proofErr w:type="gramStart"/>
      <w:r w:rsidRPr="00664D0A">
        <w:rPr>
          <w:lang w:val="fr-FR"/>
        </w:rPr>
        <w:t>pour</w:t>
      </w:r>
      <w:proofErr w:type="gramEnd"/>
      <w:r w:rsidRPr="00664D0A">
        <w:rPr>
          <w:lang w:val="fr-FR"/>
        </w:rPr>
        <w:t xml:space="preserve"> ses effets antidiabétiques</w:t>
      </w:r>
      <w:r w:rsidRPr="00664D0A">
        <w:rPr>
          <w:rFonts w:eastAsia="Times New Roman"/>
          <w:lang w:val="fr-FR" w:eastAsia="fr-FR"/>
        </w:rPr>
        <w:t xml:space="preserve"> </w:t>
      </w:r>
      <w:r w:rsidRPr="00664D0A">
        <w:rPr>
          <w:lang w:val="fr-FR"/>
        </w:rPr>
        <w:t xml:space="preserve"> elle pourrait participer à la baisse de la glycémiepar l amelioration </w:t>
      </w:r>
      <w:r w:rsidR="00B91DCD">
        <w:rPr>
          <w:lang w:val="fr-FR"/>
        </w:rPr>
        <w:t>de la  sensibilité à l’insuline</w:t>
      </w:r>
      <w:r w:rsidR="009D1D3B">
        <w:rPr>
          <w:lang w:val="fr-FR"/>
        </w:rPr>
        <w:t xml:space="preserve"> (120)</w:t>
      </w:r>
    </w:p>
    <w:p w14:paraId="328E7C45" w14:textId="77777777" w:rsidR="00664D0A" w:rsidRPr="00664D0A" w:rsidRDefault="00664D0A" w:rsidP="001C2505">
      <w:pPr>
        <w:pStyle w:val="Heading2"/>
      </w:pPr>
      <w:r w:rsidRPr="00664D0A">
        <w:t xml:space="preserve"> </w:t>
      </w:r>
      <w:bookmarkStart w:id="129" w:name="_Toc229618833"/>
      <w:r w:rsidRPr="00664D0A">
        <w:t>1-8/ Rutaceae :</w:t>
      </w:r>
      <w:bookmarkEnd w:id="129"/>
    </w:p>
    <w:p w14:paraId="1F422142" w14:textId="77777777" w:rsidR="00664D0A" w:rsidRPr="00664D0A" w:rsidRDefault="00664D0A" w:rsidP="001C2505">
      <w:pPr>
        <w:pStyle w:val="Heading3"/>
      </w:pPr>
      <w:r w:rsidRPr="00664D0A">
        <w:t xml:space="preserve"> 1-8-1/</w:t>
      </w:r>
      <w:r w:rsidRPr="00664D0A">
        <w:rPr>
          <w:rStyle w:val="Emphasis"/>
          <w:i w:val="0"/>
          <w:iCs w:val="0"/>
          <w:sz w:val="28"/>
          <w:szCs w:val="28"/>
        </w:rPr>
        <w:t>Citrus limon</w:t>
      </w:r>
      <w:r w:rsidRPr="00664D0A">
        <w:t xml:space="preserve"> :</w:t>
      </w:r>
    </w:p>
    <w:p w14:paraId="4702B1AD" w14:textId="77777777" w:rsidR="00664D0A" w:rsidRPr="00664D0A" w:rsidRDefault="00664D0A" w:rsidP="00B139C3">
      <w:pPr>
        <w:rPr>
          <w:lang w:val="fr-FR"/>
        </w:rPr>
      </w:pPr>
      <w:r w:rsidRPr="00664D0A">
        <w:rPr>
          <w:lang w:val="fr-FR"/>
        </w:rPr>
        <w:t xml:space="preserve">Citrus limon (citron / </w:t>
      </w:r>
      <w:r w:rsidRPr="00E71797">
        <w:rPr>
          <w:rtl/>
        </w:rPr>
        <w:t>ليمون</w:t>
      </w:r>
      <w:r w:rsidRPr="00664D0A">
        <w:rPr>
          <w:lang w:val="fr-FR"/>
        </w:rPr>
        <w:t xml:space="preserve">) est une espèce fruitière de la famille des Rutaceae. On la cultive largement dans les zones méditerranéennes et tropicales, principalement pour ses fruits, connus pour leur teneur en vitamine C et la présence de composés bioactifs. </w:t>
      </w:r>
    </w:p>
    <w:p w14:paraId="4D670560" w14:textId="77777777" w:rsidR="00664D0A" w:rsidRPr="00664D0A" w:rsidRDefault="00664D0A" w:rsidP="00B139C3">
      <w:pPr>
        <w:rPr>
          <w:lang w:val="fr-FR"/>
        </w:rPr>
      </w:pPr>
      <w:proofErr w:type="gramStart"/>
      <w:r w:rsidRPr="00664D0A">
        <w:rPr>
          <w:lang w:val="fr-FR"/>
        </w:rPr>
        <w:lastRenderedPageBreak/>
        <w:t>sur</w:t>
      </w:r>
      <w:proofErr w:type="gramEnd"/>
      <w:r w:rsidRPr="00664D0A">
        <w:rPr>
          <w:lang w:val="fr-FR"/>
        </w:rPr>
        <w:t xml:space="preserve"> le plan morphologique par il s’agit d’un arbre de petite taille persistant avec des feuilles vert foncé au parfum marqué. Il produit des fruits jaunes acides le plus souvent de forme ovale.</w:t>
      </w:r>
    </w:p>
    <w:p w14:paraId="04461151" w14:textId="77777777" w:rsidR="00664D0A" w:rsidRDefault="00664D0A" w:rsidP="00B139C3">
      <w:r w:rsidRPr="00E71797">
        <w:rPr>
          <w:noProof/>
          <w:rtl/>
          <w:lang w:val="fr-FR" w:eastAsia="fr-FR"/>
        </w:rPr>
        <w:drawing>
          <wp:inline distT="0" distB="0" distL="0" distR="0" wp14:anchorId="607DA1B2" wp14:editId="4EB104A1">
            <wp:extent cx="3812853" cy="2520000"/>
            <wp:effectExtent l="114300" t="38100" r="35247" b="70800"/>
            <wp:docPr id="90" name="Image 16" descr="LxSULtYRagW9oWXOdwJD3nKX7HOSneBHJvwgvg5AMv5zes6P8Y36FAjARXkKsXTXnX7WSKOznN7rsZrkUtyWljzKUsxvWMT8c1_gHxj1JywaxMobH8qWp-YgBoTcPIWMAhjXyEt3o9IYrPc6OHJor4QwqEfN4BeJyO43NVHTrfZXMmBTDgoiFCg8UVMUYQj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xSULtYRagW9oWXOdwJD3nKX7HOSneBHJvwgvg5AMv5zes6P8Y36FAjARXkKsXTXnX7WSKOznN7rsZrkUtyWljzKUsxvWMT8c1_gHxj1JywaxMobH8qWp-YgBoTcPIWMAhjXyEt3o9IYrPc6OHJor4QwqEfN4BeJyO43NVHTrfZXMmBTDgoiFCg8UVMUYQjL.jpg"/>
                    <pic:cNvPicPr/>
                  </pic:nvPicPr>
                  <pic:blipFill>
                    <a:blip r:embed="rId51"/>
                    <a:stretch>
                      <a:fillRect/>
                    </a:stretch>
                  </pic:blipFill>
                  <pic:spPr>
                    <a:xfrm>
                      <a:off x="0" y="0"/>
                      <a:ext cx="3812853" cy="252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F12F0F3" w14:textId="466E79B8" w:rsidR="00664D0A" w:rsidRPr="00F96B82" w:rsidRDefault="00664D0A" w:rsidP="00B139C3">
      <w:pPr>
        <w:rPr>
          <w:noProof/>
          <w:lang w:val="fr-FR" w:eastAsia="fr-FR"/>
        </w:rPr>
      </w:pPr>
      <w:bookmarkStart w:id="130" w:name="_Toc229617323"/>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34</w:t>
      </w:r>
      <w:r>
        <w:rPr>
          <w:noProof/>
        </w:rPr>
        <w:fldChar w:fldCharType="end"/>
      </w:r>
      <w:r w:rsidRPr="00F96B82">
        <w:rPr>
          <w:noProof/>
          <w:lang w:val="fr-FR"/>
        </w:rPr>
        <w:t>: Citrus limon</w:t>
      </w:r>
      <w:bookmarkEnd w:id="130"/>
    </w:p>
    <w:p w14:paraId="266681E9" w14:textId="149D07BA" w:rsidR="00664D0A" w:rsidRPr="00F96B82" w:rsidRDefault="00664D0A" w:rsidP="00B91DCD">
      <w:pPr>
        <w:rPr>
          <w:lang w:val="fr-FR"/>
        </w:rPr>
      </w:pPr>
      <w:r w:rsidRPr="00664D0A">
        <w:rPr>
          <w:lang w:val="fr-FR"/>
        </w:rPr>
        <w:t>Sur le plan chimique, elle contient</w:t>
      </w:r>
      <w:r w:rsidRPr="00664D0A">
        <w:rPr>
          <w:rStyle w:val="Emphasis"/>
          <w:rFonts w:eastAsia="Times New Roman" w:cstheme="majorBidi"/>
          <w:i w:val="0"/>
          <w:iCs w:val="0"/>
          <w:szCs w:val="24"/>
          <w:lang w:val="fr-FR" w:eastAsia="fr-FR"/>
        </w:rPr>
        <w:t xml:space="preserve">  </w:t>
      </w:r>
      <w:r w:rsidRPr="00664D0A">
        <w:rPr>
          <w:rFonts w:eastAsia="Times New Roman"/>
          <w:kern w:val="36"/>
          <w:lang w:val="fr-FR" w:eastAsia="fr-FR"/>
        </w:rPr>
        <w:t xml:space="preserve"> </w:t>
      </w:r>
      <w:r w:rsidRPr="00664D0A">
        <w:rPr>
          <w:lang w:val="fr-FR"/>
        </w:rPr>
        <w:t xml:space="preserve">surtout la vitamine C (acide ascorbique) </w:t>
      </w:r>
      <w:proofErr w:type="gramStart"/>
      <w:r w:rsidRPr="00664D0A">
        <w:rPr>
          <w:lang w:val="fr-FR"/>
        </w:rPr>
        <w:t>et  des</w:t>
      </w:r>
      <w:proofErr w:type="gramEnd"/>
      <w:r w:rsidRPr="00664D0A">
        <w:rPr>
          <w:lang w:val="fr-FR"/>
        </w:rPr>
        <w:t xml:space="preserve"> flavonoïdes tels que l’hespéridine et l’eriocitrine, ainsi que sur des huiles essentielles riches en limonène. Ces éléments sont associés à ses effets biologiques et expliquent en grande partie son odeur </w:t>
      </w:r>
      <w:proofErr w:type="gramStart"/>
      <w:r w:rsidRPr="00664D0A">
        <w:rPr>
          <w:lang w:val="fr-FR"/>
        </w:rPr>
        <w:t>typique .cette</w:t>
      </w:r>
      <w:proofErr w:type="gramEnd"/>
      <w:r w:rsidRPr="00664D0A">
        <w:rPr>
          <w:lang w:val="fr-FR"/>
        </w:rPr>
        <w:t xml:space="preserve"> plante était traditionnellement utiliser notamment dans l’idée de renforcer l’immunité et d’améliorer le confort digestif. </w:t>
      </w:r>
      <w:proofErr w:type="gramStart"/>
      <w:r w:rsidRPr="00664D0A">
        <w:rPr>
          <w:lang w:val="fr-FR"/>
        </w:rPr>
        <w:t>pour</w:t>
      </w:r>
      <w:proofErr w:type="gramEnd"/>
      <w:r w:rsidRPr="00664D0A">
        <w:rPr>
          <w:lang w:val="fr-FR"/>
        </w:rPr>
        <w:t xml:space="preserve"> ses effets antidiabétiques</w:t>
      </w:r>
      <w:r w:rsidRPr="00664D0A">
        <w:rPr>
          <w:rFonts w:eastAsia="Times New Roman"/>
          <w:lang w:val="fr-FR" w:eastAsia="fr-FR"/>
        </w:rPr>
        <w:t xml:space="preserve"> </w:t>
      </w:r>
      <w:r w:rsidRPr="00664D0A">
        <w:rPr>
          <w:lang w:val="fr-FR"/>
        </w:rPr>
        <w:t>le citron est souvent décrit comme ayant une activité antioxydante importante, en lien avec la vitamine C et les flavonoïdes. Cette action pourrait contribuer à limiter le stress oxydatif et, de manière indirecte, à soutenir certains équilibres métaboliques, ce qui peut présenter un intérêt dans des situations telles que les troubles métaboliques, y compris le diabète.</w:t>
      </w:r>
    </w:p>
    <w:p w14:paraId="459283D0" w14:textId="77777777" w:rsidR="00664D0A" w:rsidRPr="00664D0A" w:rsidRDefault="00664D0A" w:rsidP="001C2505">
      <w:pPr>
        <w:pStyle w:val="Heading2"/>
      </w:pPr>
      <w:bookmarkStart w:id="131" w:name="_Toc229618834"/>
      <w:r w:rsidRPr="00664D0A">
        <w:t>1-9 /Cupressaceae :</w:t>
      </w:r>
      <w:bookmarkEnd w:id="131"/>
    </w:p>
    <w:p w14:paraId="20D796EF" w14:textId="77777777" w:rsidR="00664D0A" w:rsidRPr="00E71797" w:rsidRDefault="00664D0A" w:rsidP="00B139C3">
      <w:pPr>
        <w:rPr>
          <w:sz w:val="28"/>
          <w:szCs w:val="28"/>
          <w:rtl/>
          <w:lang w:bidi="ar-DZ"/>
        </w:rPr>
      </w:pPr>
      <w:r w:rsidRPr="001C2505">
        <w:rPr>
          <w:rStyle w:val="Heading3Char"/>
          <w:rFonts w:eastAsiaTheme="minorHAnsi"/>
        </w:rPr>
        <w:t>1-9-1/Juniperus phoenicea</w:t>
      </w:r>
      <w:r w:rsidRPr="00664D0A">
        <w:rPr>
          <w:sz w:val="28"/>
          <w:szCs w:val="28"/>
          <w:lang w:val="fr-FR"/>
        </w:rPr>
        <w:t xml:space="preserve"> :</w:t>
      </w:r>
    </w:p>
    <w:p w14:paraId="09C61689" w14:textId="77777777" w:rsidR="00664D0A" w:rsidRPr="00664D0A" w:rsidRDefault="00664D0A" w:rsidP="00B139C3">
      <w:pPr>
        <w:rPr>
          <w:lang w:val="fr-FR"/>
        </w:rPr>
      </w:pPr>
      <w:r w:rsidRPr="00664D0A">
        <w:rPr>
          <w:lang w:val="fr-FR"/>
        </w:rPr>
        <w:t xml:space="preserve">Juniperus phoenicea (genévrier / </w:t>
      </w:r>
      <w:r w:rsidRPr="00E71797">
        <w:rPr>
          <w:rtl/>
        </w:rPr>
        <w:t>العرعار</w:t>
      </w:r>
      <w:r w:rsidRPr="00664D0A">
        <w:rPr>
          <w:lang w:val="fr-FR"/>
        </w:rPr>
        <w:t xml:space="preserve">) est une espèce de la famille des Cupressaceae. On la rencontre fréquemment dans les régions méditerranéennes, où elle se développe surtout sur des terrains secs et rocheux. </w:t>
      </w:r>
    </w:p>
    <w:p w14:paraId="0F5B32BB" w14:textId="77777777" w:rsidR="00664D0A" w:rsidRPr="00664D0A" w:rsidRDefault="00664D0A" w:rsidP="00B139C3">
      <w:pPr>
        <w:rPr>
          <w:lang w:val="fr-FR"/>
        </w:rPr>
      </w:pPr>
      <w:proofErr w:type="gramStart"/>
      <w:r w:rsidRPr="00664D0A">
        <w:rPr>
          <w:lang w:val="fr-FR"/>
        </w:rPr>
        <w:t>sur</w:t>
      </w:r>
      <w:proofErr w:type="gramEnd"/>
      <w:r w:rsidRPr="00664D0A">
        <w:rPr>
          <w:lang w:val="fr-FR"/>
        </w:rPr>
        <w:t xml:space="preserve"> le plan morphologique  elle constitue  généralement par un arbuste parfois un petit arbre qui reste vert toute l’année  avec des petites feuilles  dense et dégage une odeur marquée ; elle forme aussi des cônes charnus qui prennent une teinte rouge-brun lorsqu’ils arrivent à maturité.</w:t>
      </w:r>
    </w:p>
    <w:p w14:paraId="38B5E2D0" w14:textId="77777777" w:rsidR="00664D0A" w:rsidRDefault="00664D0A" w:rsidP="00B139C3">
      <w:r w:rsidRPr="00E71797">
        <w:rPr>
          <w:noProof/>
          <w:rtl/>
          <w:lang w:val="fr-FR" w:eastAsia="fr-FR"/>
        </w:rPr>
        <w:lastRenderedPageBreak/>
        <w:drawing>
          <wp:inline distT="0" distB="0" distL="0" distR="0" wp14:anchorId="780B7298" wp14:editId="1B41F15A">
            <wp:extent cx="3835385" cy="1627949"/>
            <wp:effectExtent l="133350" t="76200" r="70485" b="125095"/>
            <wp:docPr id="91" name="Image 15" descr="17KUe4BPzZp2SgnlFg3gOHl_SUeijVpK3LHBbReaeJsm0X-lPN_7YMWHb_noMum-5_VoLKbrB6vD7q5jppn4V3UNjZRpSh95W5U2Lui3R__BN9F6qLD3wpw-kGrjGgll6Hil0bi0Kknrp3IMtpAmEbWzr9ijhkCtrdR3oWX-K2QiU9gRhH0OFJyHTOUtOeR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KUe4BPzZp2SgnlFg3gOHl_SUeijVpK3LHBbReaeJsm0X-lPN_7YMWHb_noMum-5_VoLKbrB6vD7q5jppn4V3UNjZRpSh95W5U2Lui3R__BN9F6qLD3wpw-kGrjGgll6Hil0bi0Kknrp3IMtpAmEbWzr9ijhkCtrdR3oWX-K2QiU9gRhH0OFJyHTOUtOeRP (1).jpg"/>
                    <pic:cNvPicPr/>
                  </pic:nvPicPr>
                  <pic:blipFill>
                    <a:blip r:embed="rId52" cstate="print"/>
                    <a:stretch>
                      <a:fillRect/>
                    </a:stretch>
                  </pic:blipFill>
                  <pic:spPr>
                    <a:xfrm>
                      <a:off x="0" y="0"/>
                      <a:ext cx="3853142" cy="163548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4CB05DA" w14:textId="5C3B9D2C" w:rsidR="00664D0A" w:rsidRPr="00F96B82" w:rsidRDefault="00664D0A" w:rsidP="00B139C3">
      <w:pPr>
        <w:rPr>
          <w:lang w:val="fr-FR"/>
        </w:rPr>
      </w:pPr>
      <w:bookmarkStart w:id="132" w:name="_Toc229617324"/>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35</w:t>
      </w:r>
      <w:r>
        <w:rPr>
          <w:noProof/>
        </w:rPr>
        <w:fldChar w:fldCharType="end"/>
      </w:r>
      <w:r w:rsidRPr="00F96B82">
        <w:rPr>
          <w:lang w:val="fr-FR"/>
        </w:rPr>
        <w:t xml:space="preserve"> : Juniperus phoenicea</w:t>
      </w:r>
      <w:bookmarkEnd w:id="132"/>
    </w:p>
    <w:p w14:paraId="4C8D3307" w14:textId="558D4EA1" w:rsidR="00664D0A" w:rsidRPr="00E71797" w:rsidRDefault="00664D0A" w:rsidP="00B91DCD">
      <w:pPr>
        <w:rPr>
          <w:rtl/>
        </w:rPr>
      </w:pPr>
      <w:r w:rsidRPr="00664D0A">
        <w:rPr>
          <w:lang w:val="fr-FR"/>
        </w:rPr>
        <w:t>Sur le plan chimique, elle contient</w:t>
      </w:r>
      <w:r w:rsidRPr="00664D0A">
        <w:rPr>
          <w:rStyle w:val="Emphasis"/>
          <w:rFonts w:eastAsia="Times New Roman" w:cstheme="majorBidi"/>
          <w:i w:val="0"/>
          <w:iCs w:val="0"/>
          <w:szCs w:val="24"/>
          <w:lang w:val="fr-FR" w:eastAsia="fr-FR"/>
        </w:rPr>
        <w:t xml:space="preserve">  </w:t>
      </w:r>
      <w:r w:rsidRPr="00664D0A">
        <w:rPr>
          <w:rFonts w:eastAsia="Times New Roman"/>
          <w:kern w:val="36"/>
          <w:lang w:val="fr-FR" w:eastAsia="fr-FR"/>
        </w:rPr>
        <w:t xml:space="preserve"> </w:t>
      </w:r>
      <w:r w:rsidRPr="00664D0A">
        <w:rPr>
          <w:lang w:val="fr-FR"/>
        </w:rPr>
        <w:t xml:space="preserve">des huiles essentielles dominées par des monoterpènes et des sesquiterpènes. On y trouve également des flavonoïdes et d’autres composés phénoliques cette plante était traditionnellement employée comme diurétique </w:t>
      </w:r>
      <w:proofErr w:type="gramStart"/>
      <w:r w:rsidRPr="00664D0A">
        <w:rPr>
          <w:lang w:val="fr-FR"/>
        </w:rPr>
        <w:t>et  antiseptique</w:t>
      </w:r>
      <w:proofErr w:type="gramEnd"/>
      <w:r w:rsidRPr="00664D0A">
        <w:rPr>
          <w:lang w:val="fr-FR"/>
        </w:rPr>
        <w:t xml:space="preserve"> des voies urinaires, et pour soutenir la digestion pour ses effets antidiabétiques elle a une activité antioxydante notable et un effet possible sur le métabolisme des glucide</w:t>
      </w:r>
    </w:p>
    <w:p w14:paraId="5FEB7B78" w14:textId="77777777" w:rsidR="00664D0A" w:rsidRPr="00664D0A" w:rsidRDefault="00664D0A" w:rsidP="00B139C3">
      <w:pPr>
        <w:rPr>
          <w:sz w:val="36"/>
          <w:szCs w:val="36"/>
          <w:lang w:val="fr-FR"/>
        </w:rPr>
      </w:pPr>
      <w:r w:rsidRPr="001C2505">
        <w:rPr>
          <w:rStyle w:val="Heading2Char"/>
        </w:rPr>
        <w:t xml:space="preserve"> </w:t>
      </w:r>
      <w:bookmarkStart w:id="133" w:name="_Toc229618835"/>
      <w:r w:rsidRPr="001C2505">
        <w:rPr>
          <w:rStyle w:val="Heading2Char"/>
        </w:rPr>
        <w:t xml:space="preserve">1-10/ </w:t>
      </w:r>
      <w:proofErr w:type="gramStart"/>
      <w:r w:rsidRPr="001C2505">
        <w:rPr>
          <w:rStyle w:val="Heading2Char"/>
        </w:rPr>
        <w:t>Cucurbitaceae</w:t>
      </w:r>
      <w:bookmarkEnd w:id="133"/>
      <w:r w:rsidRPr="00664D0A">
        <w:rPr>
          <w:sz w:val="36"/>
          <w:szCs w:val="36"/>
          <w:lang w:val="fr-FR"/>
        </w:rPr>
        <w:t>:</w:t>
      </w:r>
      <w:proofErr w:type="gramEnd"/>
    </w:p>
    <w:p w14:paraId="67EC81F5" w14:textId="77777777" w:rsidR="00664D0A" w:rsidRPr="00664D0A" w:rsidRDefault="00664D0A" w:rsidP="001C2505">
      <w:pPr>
        <w:pStyle w:val="Heading3"/>
      </w:pPr>
      <w:r w:rsidRPr="00664D0A">
        <w:t xml:space="preserve"> 1-10-1/</w:t>
      </w:r>
      <w:r w:rsidRPr="00664D0A">
        <w:rPr>
          <w:rStyle w:val="Emphasis"/>
          <w:i w:val="0"/>
          <w:iCs w:val="0"/>
          <w:sz w:val="28"/>
          <w:szCs w:val="28"/>
        </w:rPr>
        <w:t>Citrullus colocynthis</w:t>
      </w:r>
      <w:r w:rsidRPr="00664D0A">
        <w:t xml:space="preserve"> :</w:t>
      </w:r>
    </w:p>
    <w:p w14:paraId="77428C43" w14:textId="77777777" w:rsidR="00664D0A" w:rsidRPr="00664D0A" w:rsidRDefault="00664D0A" w:rsidP="00B139C3">
      <w:pPr>
        <w:rPr>
          <w:lang w:val="fr-FR"/>
        </w:rPr>
      </w:pPr>
      <w:r w:rsidRPr="00664D0A">
        <w:rPr>
          <w:lang w:val="fr-FR"/>
        </w:rPr>
        <w:t xml:space="preserve">Citrullus colocynthis (coloquinte / </w:t>
      </w:r>
      <w:r w:rsidRPr="00E71797">
        <w:rPr>
          <w:rtl/>
        </w:rPr>
        <w:t>الحنظل</w:t>
      </w:r>
      <w:r w:rsidRPr="00664D0A">
        <w:rPr>
          <w:lang w:val="fr-FR"/>
        </w:rPr>
        <w:t xml:space="preserve">) est une plante médicinale de la famille des Cucurbitaceae. On la rencontre surtout dans les zones arides et semi-arides d’Afrique du Nord, du Moyen-Orient et d’Asie. Elle se distingue par une amertume marquée et par un potentiel toxique qui mérite d’être pris au sérieux cette plante se distingue, </w:t>
      </w:r>
    </w:p>
    <w:p w14:paraId="4F0BD4A2" w14:textId="77777777" w:rsidR="00664D0A" w:rsidRPr="00664D0A" w:rsidRDefault="00664D0A" w:rsidP="00B139C3">
      <w:pPr>
        <w:rPr>
          <w:noProof/>
          <w:lang w:val="fr-FR" w:eastAsia="fr-FR"/>
        </w:rPr>
      </w:pPr>
      <w:proofErr w:type="gramStart"/>
      <w:r w:rsidRPr="00664D0A">
        <w:rPr>
          <w:lang w:val="fr-FR"/>
        </w:rPr>
        <w:t>sur</w:t>
      </w:r>
      <w:proofErr w:type="gramEnd"/>
      <w:r w:rsidRPr="00664D0A">
        <w:rPr>
          <w:lang w:val="fr-FR"/>
        </w:rPr>
        <w:t xml:space="preserve"> le plan morphologique par des tiges fines  porte des feuilles lobées ainsi que des fruits ronds jaunes à maturité ;très amers et riches en fibres .</w:t>
      </w:r>
      <w:r w:rsidRPr="00664D0A">
        <w:rPr>
          <w:noProof/>
          <w:lang w:val="fr-FR" w:eastAsia="fr-FR"/>
        </w:rPr>
        <w:t xml:space="preserve"> </w:t>
      </w:r>
    </w:p>
    <w:p w14:paraId="13E93314" w14:textId="77777777" w:rsidR="00664D0A" w:rsidRDefault="00664D0A" w:rsidP="00B139C3">
      <w:r w:rsidRPr="00E71797">
        <w:rPr>
          <w:noProof/>
          <w:lang w:val="fr-FR" w:eastAsia="fr-FR"/>
        </w:rPr>
        <w:drawing>
          <wp:inline distT="0" distB="0" distL="0" distR="0" wp14:anchorId="099BC4AC" wp14:editId="37D4BEAC">
            <wp:extent cx="4048125" cy="2352675"/>
            <wp:effectExtent l="95250" t="38100" r="28575" b="66675"/>
            <wp:docPr id="92" name="Image 17" descr="Adrar-Coloqui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rar-Coloquinte.jpg"/>
                    <pic:cNvPicPr/>
                  </pic:nvPicPr>
                  <pic:blipFill>
                    <a:blip r:embed="rId53" cstate="print"/>
                    <a:stretch>
                      <a:fillRect/>
                    </a:stretch>
                  </pic:blipFill>
                  <pic:spPr>
                    <a:xfrm>
                      <a:off x="0" y="0"/>
                      <a:ext cx="4054296" cy="235626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74595324" w14:textId="7EC514C5" w:rsidR="00664D0A" w:rsidRPr="00F96B82" w:rsidRDefault="00664D0A" w:rsidP="00B139C3">
      <w:pPr>
        <w:rPr>
          <w:noProof/>
          <w:lang w:val="fr-FR" w:eastAsia="fr-FR"/>
        </w:rPr>
      </w:pPr>
      <w:bookmarkStart w:id="134" w:name="_Toc229617325"/>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36</w:t>
      </w:r>
      <w:r>
        <w:rPr>
          <w:noProof/>
        </w:rPr>
        <w:fldChar w:fldCharType="end"/>
      </w:r>
      <w:r w:rsidRPr="00F96B82">
        <w:rPr>
          <w:lang w:val="fr-FR"/>
        </w:rPr>
        <w:t xml:space="preserve"> : Citrullus colocynthis</w:t>
      </w:r>
      <w:bookmarkEnd w:id="134"/>
    </w:p>
    <w:p w14:paraId="7A38DB63" w14:textId="7E827A1E" w:rsidR="00664D0A" w:rsidRPr="00B91DCD" w:rsidRDefault="00664D0A" w:rsidP="00B91DCD">
      <w:pPr>
        <w:rPr>
          <w:lang w:val="fr-FR"/>
        </w:rPr>
      </w:pPr>
      <w:r w:rsidRPr="00664D0A">
        <w:rPr>
          <w:lang w:val="fr-FR"/>
        </w:rPr>
        <w:t>Sur le plan chimique, elle contient principalement des cucurbitacines, reconnues pour leur forte activité biologique. On y trouve aussi des glycosides</w:t>
      </w:r>
      <w:proofErr w:type="gramStart"/>
      <w:r w:rsidRPr="00664D0A">
        <w:rPr>
          <w:lang w:val="fr-FR"/>
        </w:rPr>
        <w:t xml:space="preserve"> ;des</w:t>
      </w:r>
      <w:proofErr w:type="gramEnd"/>
      <w:r w:rsidRPr="00664D0A">
        <w:rPr>
          <w:lang w:val="fr-FR"/>
        </w:rPr>
        <w:t xml:space="preserve"> flavonoïdes et d’autres métabolites secondaires, qui expliquent à la fois les usages thérapeutiques rapportés et les </w:t>
      </w:r>
      <w:r w:rsidRPr="00664D0A">
        <w:rPr>
          <w:lang w:val="fr-FR"/>
        </w:rPr>
        <w:lastRenderedPageBreak/>
        <w:t xml:space="preserve">effets indésirables possibles. </w:t>
      </w:r>
      <w:proofErr w:type="gramStart"/>
      <w:r w:rsidRPr="00664D0A">
        <w:rPr>
          <w:lang w:val="fr-FR"/>
        </w:rPr>
        <w:t>cette</w:t>
      </w:r>
      <w:proofErr w:type="gramEnd"/>
      <w:r w:rsidRPr="00664D0A">
        <w:rPr>
          <w:lang w:val="fr-FR"/>
        </w:rPr>
        <w:t xml:space="preserve"> plante était traditionnellement employée comme purgatif puissant et comme anti-inflammatoire. Toutefois, son utilisation reste généralement restreinte, précisément en raison de sa toxicité. </w:t>
      </w:r>
      <w:proofErr w:type="gramStart"/>
      <w:r w:rsidRPr="00664D0A">
        <w:rPr>
          <w:lang w:val="fr-FR"/>
        </w:rPr>
        <w:t>pour</w:t>
      </w:r>
      <w:proofErr w:type="gramEnd"/>
      <w:r w:rsidRPr="00664D0A">
        <w:rPr>
          <w:lang w:val="fr-FR"/>
        </w:rPr>
        <w:t xml:space="preserve"> ses effets antidiabétiques plusieurs travaux expérimentaux décrivent une baisse de la glycémie. Néanmoins, ces observations s’accompagnent de risques toxicologiques non négligeables, ce qui conduit à recommander une prudence particulière dans son </w:t>
      </w:r>
      <w:proofErr w:type="gramStart"/>
      <w:r w:rsidRPr="00664D0A">
        <w:rPr>
          <w:lang w:val="fr-FR"/>
        </w:rPr>
        <w:t>emploi.</w:t>
      </w:r>
      <w:r w:rsidR="009D1D3B">
        <w:rPr>
          <w:lang w:val="fr-FR"/>
        </w:rPr>
        <w:t>(</w:t>
      </w:r>
      <w:proofErr w:type="gramEnd"/>
      <w:r w:rsidR="009D1D3B">
        <w:rPr>
          <w:lang w:val="fr-FR"/>
        </w:rPr>
        <w:t>119)</w:t>
      </w:r>
    </w:p>
    <w:p w14:paraId="72455787" w14:textId="3174CE81" w:rsidR="00664D0A" w:rsidRPr="00F96B82" w:rsidRDefault="00664D0A" w:rsidP="001C2505">
      <w:pPr>
        <w:pStyle w:val="Heading2"/>
        <w:rPr>
          <w:lang w:val="en-US"/>
        </w:rPr>
      </w:pPr>
      <w:bookmarkStart w:id="135" w:name="_Toc229618836"/>
      <w:r w:rsidRPr="00F96B82">
        <w:rPr>
          <w:lang w:val="en-US"/>
        </w:rPr>
        <w:t>1-11/Costaceae/Zingiberace</w:t>
      </w:r>
      <w:bookmarkEnd w:id="135"/>
    </w:p>
    <w:p w14:paraId="360A527B" w14:textId="5121D729" w:rsidR="00664D0A" w:rsidRPr="00F96B82" w:rsidRDefault="00664D0A" w:rsidP="00B91DCD">
      <w:pPr>
        <w:pStyle w:val="Heading3"/>
        <w:rPr>
          <w:lang w:val="en-US"/>
        </w:rPr>
      </w:pPr>
      <w:r w:rsidRPr="00F96B82">
        <w:rPr>
          <w:lang w:val="en-US"/>
        </w:rPr>
        <w:t>1-11-1/Costus deistellii (Costus / Qost al-hindi)</w:t>
      </w:r>
    </w:p>
    <w:p w14:paraId="450B124C" w14:textId="77777777" w:rsidR="00664D0A" w:rsidRPr="00664D0A" w:rsidRDefault="00664D0A" w:rsidP="00B139C3">
      <w:pPr>
        <w:rPr>
          <w:lang w:val="fr-FR"/>
        </w:rPr>
      </w:pPr>
      <w:r w:rsidRPr="00862E18">
        <w:t xml:space="preserve">(costus / </w:t>
      </w:r>
      <w:r w:rsidRPr="00E71797">
        <w:rPr>
          <w:rtl/>
        </w:rPr>
        <w:t>القسط الهندي</w:t>
      </w:r>
      <w:r w:rsidRPr="00862E18">
        <w:t xml:space="preserve">) est une plante médicinale de la famille des Asteraceae. Selon les classifications anciennes et certains cadres d’usage traditionnels, elle </w:t>
      </w:r>
      <w:proofErr w:type="gramStart"/>
      <w:r w:rsidRPr="00862E18">
        <w:t>a</w:t>
      </w:r>
      <w:proofErr w:type="gramEnd"/>
      <w:r w:rsidRPr="00862E18">
        <w:t xml:space="preserve"> aussi pu être rattachée à d’autres familles. </w:t>
      </w:r>
      <w:r w:rsidRPr="00664D0A">
        <w:rPr>
          <w:lang w:val="fr-FR"/>
        </w:rPr>
        <w:t>Elle est originaire des régions himalayennes et occupe une place notable dans plusieurs traditions médicales d’Asie et du monde arabe.</w:t>
      </w:r>
    </w:p>
    <w:p w14:paraId="54C9D0BD" w14:textId="77777777" w:rsidR="00664D0A" w:rsidRPr="00E71797" w:rsidRDefault="00664D0A" w:rsidP="00B139C3">
      <w:pPr>
        <w:rPr>
          <w:rFonts w:eastAsia="Times New Roman"/>
          <w:lang w:eastAsia="fr-FR"/>
        </w:rPr>
      </w:pPr>
      <w:proofErr w:type="gramStart"/>
      <w:r w:rsidRPr="00664D0A">
        <w:rPr>
          <w:lang w:val="fr-FR"/>
        </w:rPr>
        <w:t>sur</w:t>
      </w:r>
      <w:proofErr w:type="gramEnd"/>
      <w:r w:rsidRPr="00664D0A">
        <w:rPr>
          <w:lang w:val="fr-FR"/>
        </w:rPr>
        <w:t xml:space="preserve"> le plan morphologiq </w:t>
      </w:r>
      <w:r w:rsidRPr="00664D0A">
        <w:rPr>
          <w:rFonts w:eastAsia="Times New Roman"/>
          <w:lang w:val="fr-FR" w:eastAsia="fr-FR"/>
        </w:rPr>
        <w:t xml:space="preserve">: Plante herbacée vivace à rhizome épais et charnu (partie utilisée). </w:t>
      </w:r>
      <w:r w:rsidRPr="00E71797">
        <w:rPr>
          <w:rFonts w:eastAsia="Times New Roman"/>
          <w:lang w:eastAsia="fr-FR"/>
        </w:rPr>
        <w:t>Les fleurs sont souvent groupées en épis terminaux.</w:t>
      </w:r>
    </w:p>
    <w:p w14:paraId="5D59C869" w14:textId="77777777" w:rsidR="00664D0A" w:rsidRDefault="00664D0A" w:rsidP="00B139C3">
      <w:r w:rsidRPr="00E71797">
        <w:rPr>
          <w:noProof/>
          <w:lang w:val="fr-FR" w:eastAsia="fr-FR"/>
        </w:rPr>
        <w:drawing>
          <wp:inline distT="0" distB="0" distL="0" distR="0" wp14:anchorId="77A38B32" wp14:editId="581FFEA4">
            <wp:extent cx="3779653" cy="2520000"/>
            <wp:effectExtent l="95250" t="38100" r="30347" b="70800"/>
            <wp:docPr id="111" name="Image 76" descr="Costus spiralis, Costaceae family red blooms green leaves flower, plant tree gardening na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ostus spiralis, Costaceae family red blooms green leaves flower, plant tree gardening nature background"/>
                    <pic:cNvPicPr>
                      <a:picLocks noChangeAspect="1" noChangeArrowheads="1"/>
                    </pic:cNvPicPr>
                  </pic:nvPicPr>
                  <pic:blipFill>
                    <a:blip r:embed="rId54" cstate="print"/>
                    <a:srcRect/>
                    <a:stretch>
                      <a:fillRect/>
                    </a:stretch>
                  </pic:blipFill>
                  <pic:spPr bwMode="auto">
                    <a:xfrm>
                      <a:off x="0" y="0"/>
                      <a:ext cx="3779653" cy="252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586A579C" w14:textId="7C1A0825" w:rsidR="00664D0A" w:rsidRPr="00F96B82" w:rsidRDefault="00664D0A" w:rsidP="00B139C3">
      <w:pPr>
        <w:rPr>
          <w:rFonts w:eastAsia="Times New Roman"/>
          <w:lang w:val="fr-FR" w:eastAsia="fr-FR"/>
        </w:rPr>
      </w:pPr>
      <w:bookmarkStart w:id="136" w:name="_Toc229617326"/>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37</w:t>
      </w:r>
      <w:r>
        <w:rPr>
          <w:noProof/>
        </w:rPr>
        <w:fldChar w:fldCharType="end"/>
      </w:r>
      <w:r w:rsidRPr="00F96B82">
        <w:rPr>
          <w:lang w:val="fr-FR"/>
        </w:rPr>
        <w:t xml:space="preserve"> : Costus deistellii</w:t>
      </w:r>
      <w:bookmarkEnd w:id="136"/>
    </w:p>
    <w:p w14:paraId="2E17BA57" w14:textId="59C581D7" w:rsidR="00664D0A" w:rsidRPr="00B91DCD" w:rsidRDefault="00664D0A" w:rsidP="00B91DCD">
      <w:pPr>
        <w:rPr>
          <w:rFonts w:eastAsia="Times New Roman"/>
          <w:lang w:val="fr-FR" w:eastAsia="fr-FR"/>
        </w:rPr>
      </w:pPr>
      <w:r w:rsidRPr="00664D0A">
        <w:rPr>
          <w:lang w:val="fr-FR"/>
        </w:rPr>
        <w:t xml:space="preserve">Sur le plan chimique, </w:t>
      </w:r>
      <w:r w:rsidRPr="00664D0A">
        <w:rPr>
          <w:rFonts w:eastAsia="Times New Roman"/>
          <w:lang w:val="fr-FR" w:eastAsia="fr-FR"/>
        </w:rPr>
        <w:t>Riche en terpènes, notamment des lactones sesquiterpéniques (costunolide</w:t>
      </w:r>
      <w:proofErr w:type="gramStart"/>
      <w:r w:rsidRPr="00664D0A">
        <w:rPr>
          <w:rFonts w:eastAsia="Times New Roman"/>
          <w:lang w:val="fr-FR" w:eastAsia="fr-FR"/>
        </w:rPr>
        <w:t>).</w:t>
      </w:r>
      <w:r w:rsidRPr="00664D0A">
        <w:rPr>
          <w:lang w:val="fr-FR"/>
        </w:rPr>
        <w:t>cette</w:t>
      </w:r>
      <w:proofErr w:type="gramEnd"/>
      <w:r w:rsidRPr="00664D0A">
        <w:rPr>
          <w:lang w:val="fr-FR"/>
        </w:rPr>
        <w:t xml:space="preserve"> plante était traditionnellement   </w:t>
      </w:r>
      <w:r w:rsidRPr="00664D0A">
        <w:rPr>
          <w:rFonts w:eastAsia="Times New Roman"/>
          <w:lang w:val="fr-FR" w:eastAsia="fr-FR"/>
        </w:rPr>
        <w:t xml:space="preserve">Utilisé pour les troubles respiratoires, thyroïdiens et digestifs. </w:t>
      </w:r>
      <w:proofErr w:type="gramStart"/>
      <w:r w:rsidRPr="00664D0A">
        <w:rPr>
          <w:lang w:val="fr-FR"/>
        </w:rPr>
        <w:t>ses</w:t>
      </w:r>
      <w:proofErr w:type="gramEnd"/>
      <w:r w:rsidRPr="00664D0A">
        <w:rPr>
          <w:lang w:val="fr-FR"/>
        </w:rPr>
        <w:t xml:space="preserve"> effets antidiabétiques  </w:t>
      </w:r>
      <w:r w:rsidRPr="00664D0A">
        <w:rPr>
          <w:rFonts w:eastAsia="Times New Roman"/>
          <w:lang w:val="fr-FR" w:eastAsia="fr-FR"/>
        </w:rPr>
        <w:t>Il agit en régulant les enzymes de la glycolyse et de la néoglucogenèse dans le foie, aidant à maintenir des niveaux</w:t>
      </w:r>
      <w:r w:rsidR="00B91DCD">
        <w:rPr>
          <w:rFonts w:eastAsia="Times New Roman"/>
          <w:lang w:val="fr-FR" w:eastAsia="fr-FR"/>
        </w:rPr>
        <w:t xml:space="preserve"> de sucre stables dans le sang.</w:t>
      </w:r>
    </w:p>
    <w:p w14:paraId="5F5476DE" w14:textId="77777777" w:rsidR="00664D0A" w:rsidRPr="00664D0A" w:rsidRDefault="00664D0A" w:rsidP="001C2505">
      <w:pPr>
        <w:pStyle w:val="Heading2"/>
      </w:pPr>
      <w:bookmarkStart w:id="137" w:name="_Toc229618837"/>
      <w:r w:rsidRPr="00664D0A">
        <w:t>1-12 / Rosaceae :</w:t>
      </w:r>
      <w:bookmarkEnd w:id="137"/>
    </w:p>
    <w:p w14:paraId="46611CA2" w14:textId="77777777" w:rsidR="00664D0A" w:rsidRPr="00664D0A" w:rsidRDefault="00664D0A" w:rsidP="001C2505">
      <w:pPr>
        <w:pStyle w:val="Heading3"/>
      </w:pPr>
      <w:r w:rsidRPr="00664D0A">
        <w:rPr>
          <w:rStyle w:val="Emphasis"/>
          <w:i w:val="0"/>
          <w:iCs w:val="0"/>
          <w:sz w:val="28"/>
          <w:szCs w:val="28"/>
        </w:rPr>
        <w:t>1-12-1/Prunus persica</w:t>
      </w:r>
      <w:r w:rsidRPr="00664D0A">
        <w:t xml:space="preserve"> :</w:t>
      </w:r>
    </w:p>
    <w:p w14:paraId="1694419B" w14:textId="77777777" w:rsidR="00664D0A" w:rsidRPr="00664D0A" w:rsidRDefault="00664D0A" w:rsidP="00B139C3">
      <w:pPr>
        <w:rPr>
          <w:lang w:val="fr-FR"/>
        </w:rPr>
      </w:pPr>
      <w:r w:rsidRPr="00664D0A">
        <w:rPr>
          <w:lang w:val="fr-FR"/>
        </w:rPr>
        <w:t xml:space="preserve">Prunus persica (pêcher / </w:t>
      </w:r>
      <w:r w:rsidRPr="00E71797">
        <w:rPr>
          <w:rtl/>
        </w:rPr>
        <w:t>ورق الخوخ</w:t>
      </w:r>
      <w:r w:rsidRPr="00664D0A">
        <w:rPr>
          <w:lang w:val="fr-FR"/>
        </w:rPr>
        <w:t>) est une espèce de la famille des Rosaceae. On la cultive surtout pour ses fruits, mais ses feuilles font aussi l’objet de recherches en raison de leurs possibles effets pharmacologiques.</w:t>
      </w:r>
    </w:p>
    <w:p w14:paraId="50A5871D" w14:textId="77777777" w:rsidR="00664D0A" w:rsidRPr="00664D0A" w:rsidRDefault="00664D0A" w:rsidP="00B139C3">
      <w:pPr>
        <w:rPr>
          <w:lang w:val="fr-FR"/>
        </w:rPr>
      </w:pPr>
      <w:proofErr w:type="gramStart"/>
      <w:r w:rsidRPr="00664D0A">
        <w:rPr>
          <w:lang w:val="fr-FR"/>
        </w:rPr>
        <w:lastRenderedPageBreak/>
        <w:t>sur</w:t>
      </w:r>
      <w:proofErr w:type="gramEnd"/>
      <w:r w:rsidRPr="00664D0A">
        <w:rPr>
          <w:lang w:val="fr-FR"/>
        </w:rPr>
        <w:t xml:space="preserve"> le plan morphologique , il s’agit d’un petit arbre à feuilles caduques. Ses feuilles simples et alternes sont généralement lancéolées, et l’arbre produit des fruits charnus que l’on appelle des pêches.</w:t>
      </w:r>
    </w:p>
    <w:p w14:paraId="793D3906" w14:textId="77777777" w:rsidR="00664D0A" w:rsidRDefault="00664D0A" w:rsidP="00B139C3">
      <w:r w:rsidRPr="00E71797">
        <w:rPr>
          <w:noProof/>
          <w:lang w:val="fr-FR" w:eastAsia="fr-FR"/>
        </w:rPr>
        <w:drawing>
          <wp:inline distT="0" distB="0" distL="0" distR="0" wp14:anchorId="5E78AE9F" wp14:editId="56CFE9D2">
            <wp:extent cx="3450134" cy="2520000"/>
            <wp:effectExtent l="133350" t="38100" r="55066" b="70800"/>
            <wp:docPr id="93" name="Image 40" descr="الدراق Prunus persica | مشاتل القادري الزراع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الدراق Prunus persica | مشاتل القادري الزراعية"/>
                    <pic:cNvPicPr>
                      <a:picLocks noChangeAspect="1" noChangeArrowheads="1"/>
                    </pic:cNvPicPr>
                  </pic:nvPicPr>
                  <pic:blipFill>
                    <a:blip r:embed="rId55"/>
                    <a:srcRect/>
                    <a:stretch>
                      <a:fillRect/>
                    </a:stretch>
                  </pic:blipFill>
                  <pic:spPr bwMode="auto">
                    <a:xfrm>
                      <a:off x="0" y="0"/>
                      <a:ext cx="3450134" cy="252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CC1A50C" w14:textId="7E454324" w:rsidR="00664D0A" w:rsidRPr="00F96B82" w:rsidRDefault="00664D0A" w:rsidP="00B139C3">
      <w:pPr>
        <w:rPr>
          <w:noProof/>
          <w:lang w:val="fr-FR" w:eastAsia="fr-FR"/>
        </w:rPr>
      </w:pPr>
      <w:bookmarkStart w:id="138" w:name="_Toc229617327"/>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38</w:t>
      </w:r>
      <w:r>
        <w:rPr>
          <w:noProof/>
        </w:rPr>
        <w:fldChar w:fldCharType="end"/>
      </w:r>
      <w:r w:rsidRPr="00F96B82">
        <w:rPr>
          <w:lang w:val="fr-FR"/>
        </w:rPr>
        <w:t xml:space="preserve"> : Prunus persica</w:t>
      </w:r>
      <w:bookmarkEnd w:id="138"/>
    </w:p>
    <w:p w14:paraId="632842B6" w14:textId="1BBD6632" w:rsidR="00664D0A" w:rsidRPr="00B91DCD" w:rsidRDefault="00664D0A" w:rsidP="00B91DCD">
      <w:pPr>
        <w:rPr>
          <w:lang w:val="fr-FR"/>
        </w:rPr>
      </w:pPr>
      <w:r w:rsidRPr="00664D0A">
        <w:rPr>
          <w:lang w:val="fr-FR"/>
        </w:rPr>
        <w:t>Sur le plan chimique, elle contient</w:t>
      </w:r>
      <w:r w:rsidRPr="00664D0A">
        <w:rPr>
          <w:rStyle w:val="Emphasis"/>
          <w:rFonts w:eastAsia="Times New Roman" w:cstheme="majorBidi"/>
          <w:i w:val="0"/>
          <w:iCs w:val="0"/>
          <w:szCs w:val="24"/>
          <w:lang w:val="fr-FR" w:eastAsia="fr-FR"/>
        </w:rPr>
        <w:t xml:space="preserve">  </w:t>
      </w:r>
      <w:r w:rsidRPr="00664D0A">
        <w:rPr>
          <w:rFonts w:eastAsia="Times New Roman"/>
          <w:kern w:val="36"/>
          <w:lang w:val="fr-FR" w:eastAsia="fr-FR"/>
        </w:rPr>
        <w:t xml:space="preserve"> </w:t>
      </w:r>
      <w:r w:rsidRPr="00664D0A">
        <w:rPr>
          <w:lang w:val="fr-FR"/>
        </w:rPr>
        <w:t xml:space="preserve">La composition chimique des feuilles de pêcher comprend notamment des polyphénols, des flavonoïdes et des tanins. Ces composés sont souvent associés à une activité </w:t>
      </w:r>
      <w:proofErr w:type="gramStart"/>
      <w:r w:rsidRPr="00664D0A">
        <w:rPr>
          <w:lang w:val="fr-FR"/>
        </w:rPr>
        <w:t>antioxydante  .</w:t>
      </w:r>
      <w:proofErr w:type="gramEnd"/>
      <w:r w:rsidRPr="00664D0A">
        <w:rPr>
          <w:lang w:val="fr-FR"/>
        </w:rPr>
        <w:t xml:space="preserve"> </w:t>
      </w:r>
      <w:proofErr w:type="gramStart"/>
      <w:r w:rsidRPr="00664D0A">
        <w:rPr>
          <w:lang w:val="fr-FR"/>
        </w:rPr>
        <w:t>les</w:t>
      </w:r>
      <w:proofErr w:type="gramEnd"/>
      <w:r w:rsidRPr="00664D0A">
        <w:rPr>
          <w:lang w:val="fr-FR"/>
        </w:rPr>
        <w:t xml:space="preserve"> feuilles de pêcher était traditionnellement  employées comme diurétiques légers et comme agents apaisants en particulier dans certaines préparations populaires pour ses effets antidiabétiques elle a un potentiel antioxydant notable. Ce mécanisme pourrait de façon indirecte participer au maintien de l’équilibre glycémique en limitant le stress</w:t>
      </w:r>
      <w:r w:rsidR="00B91DCD">
        <w:rPr>
          <w:lang w:val="fr-FR"/>
        </w:rPr>
        <w:t xml:space="preserve"> </w:t>
      </w:r>
      <w:proofErr w:type="gramStart"/>
      <w:r w:rsidR="00B91DCD">
        <w:rPr>
          <w:lang w:val="fr-FR"/>
        </w:rPr>
        <w:t>oxydatif.</w:t>
      </w:r>
      <w:r w:rsidR="009D1D3B">
        <w:rPr>
          <w:lang w:val="fr-FR"/>
        </w:rPr>
        <w:t>(</w:t>
      </w:r>
      <w:proofErr w:type="gramEnd"/>
      <w:r w:rsidR="009D1D3B">
        <w:rPr>
          <w:lang w:val="fr-FR"/>
        </w:rPr>
        <w:t>121)</w:t>
      </w:r>
    </w:p>
    <w:p w14:paraId="1A943ED3" w14:textId="77777777" w:rsidR="00664D0A" w:rsidRPr="00664D0A" w:rsidRDefault="00664D0A" w:rsidP="001C2505">
      <w:pPr>
        <w:pStyle w:val="Heading2"/>
      </w:pPr>
      <w:r w:rsidRPr="00664D0A">
        <w:t xml:space="preserve"> </w:t>
      </w:r>
      <w:bookmarkStart w:id="139" w:name="_Toc229618838"/>
      <w:r w:rsidRPr="00664D0A">
        <w:t>1-13/ Amaryllidaceae / Alliaceae :</w:t>
      </w:r>
      <w:bookmarkEnd w:id="139"/>
    </w:p>
    <w:p w14:paraId="443ADE0C" w14:textId="77777777" w:rsidR="00664D0A" w:rsidRPr="00664D0A" w:rsidRDefault="00664D0A" w:rsidP="001C2505">
      <w:pPr>
        <w:pStyle w:val="Heading3"/>
      </w:pPr>
      <w:r w:rsidRPr="00664D0A">
        <w:rPr>
          <w:rStyle w:val="Emphasis"/>
          <w:i w:val="0"/>
          <w:iCs w:val="0"/>
          <w:sz w:val="28"/>
          <w:szCs w:val="28"/>
        </w:rPr>
        <w:t>1-13-1/Allium sativum</w:t>
      </w:r>
      <w:r w:rsidRPr="00664D0A">
        <w:t xml:space="preserve"> :</w:t>
      </w:r>
    </w:p>
    <w:p w14:paraId="21655172" w14:textId="77777777" w:rsidR="00664D0A" w:rsidRPr="00664D0A" w:rsidRDefault="00664D0A" w:rsidP="00B139C3">
      <w:pPr>
        <w:rPr>
          <w:lang w:val="fr-FR"/>
        </w:rPr>
      </w:pPr>
      <w:r w:rsidRPr="00664D0A">
        <w:rPr>
          <w:lang w:val="fr-FR"/>
        </w:rPr>
        <w:t xml:space="preserve">Allium sativum (ail / </w:t>
      </w:r>
      <w:r w:rsidRPr="00E71797">
        <w:rPr>
          <w:rtl/>
        </w:rPr>
        <w:t>ثوم</w:t>
      </w:r>
      <w:r w:rsidRPr="00664D0A">
        <w:rPr>
          <w:lang w:val="fr-FR"/>
        </w:rPr>
        <w:t>) est une plante à bulbe de la famille des Amaryllidaceae. On la retrouve couramment dans l’alimentation et, depuis longtemps, dans différentes pratiques de médecine traditionnelle, notamment en raison de ses effets pharmacologiques rapportés.</w:t>
      </w:r>
    </w:p>
    <w:p w14:paraId="57ECFC43" w14:textId="0148038B" w:rsidR="00664D0A" w:rsidRPr="00B91DCD" w:rsidRDefault="00664D0A" w:rsidP="00B91DCD">
      <w:pPr>
        <w:rPr>
          <w:lang w:val="fr-FR"/>
        </w:rPr>
      </w:pPr>
      <w:proofErr w:type="gramStart"/>
      <w:r w:rsidRPr="00664D0A">
        <w:rPr>
          <w:lang w:val="fr-FR"/>
        </w:rPr>
        <w:t>sur</w:t>
      </w:r>
      <w:proofErr w:type="gramEnd"/>
      <w:r w:rsidRPr="00664D0A">
        <w:rPr>
          <w:lang w:val="fr-FR"/>
        </w:rPr>
        <w:t xml:space="preserve"> le plan morphologique c’est une plante vivace à bulbe avec des feuilles longues et plates. Le bulbe se présente comme un ensemble de gousses rassemblées les unes avec les autres. </w:t>
      </w:r>
      <w:r w:rsidRPr="00E71797">
        <w:rPr>
          <w:noProof/>
          <w:lang w:val="fr-FR" w:eastAsia="fr-FR"/>
        </w:rPr>
        <w:drawing>
          <wp:inline distT="0" distB="0" distL="0" distR="0" wp14:anchorId="0149F1E3" wp14:editId="20D2C27A">
            <wp:extent cx="4134342" cy="1484829"/>
            <wp:effectExtent l="133350" t="76200" r="76200" b="134620"/>
            <wp:docPr id="94" name="Image 37" descr="Ne jetez plus vos pelures d'ail : découvrez leurs multiples bienfaits et utilisations écolog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Ne jetez plus vos pelures d'ail : découvrez leurs multiples bienfaits et utilisations écologiques"/>
                    <pic:cNvPicPr>
                      <a:picLocks noChangeAspect="1" noChangeArrowheads="1"/>
                    </pic:cNvPicPr>
                  </pic:nvPicPr>
                  <pic:blipFill>
                    <a:blip r:embed="rId56"/>
                    <a:srcRect/>
                    <a:stretch>
                      <a:fillRect/>
                    </a:stretch>
                  </pic:blipFill>
                  <pic:spPr bwMode="auto">
                    <a:xfrm>
                      <a:off x="0" y="0"/>
                      <a:ext cx="4142156" cy="14876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9967ECA" w14:textId="733C3601" w:rsidR="00664D0A" w:rsidRPr="00F96B82" w:rsidRDefault="00664D0A" w:rsidP="00B139C3">
      <w:pPr>
        <w:rPr>
          <w:lang w:val="fr-FR"/>
        </w:rPr>
      </w:pPr>
      <w:bookmarkStart w:id="140" w:name="_Toc229617328"/>
      <w:r w:rsidRPr="00F96B82">
        <w:rPr>
          <w:lang w:val="fr-FR"/>
        </w:rPr>
        <w:lastRenderedPageBreak/>
        <w:t xml:space="preserve">Figure </w:t>
      </w:r>
      <w:r>
        <w:fldChar w:fldCharType="begin"/>
      </w:r>
      <w:r w:rsidRPr="00F96B82">
        <w:rPr>
          <w:lang w:val="fr-FR"/>
        </w:rPr>
        <w:instrText xml:space="preserve"> SEQ Figure \* ARABIC </w:instrText>
      </w:r>
      <w:r>
        <w:fldChar w:fldCharType="separate"/>
      </w:r>
      <w:r w:rsidR="00983108">
        <w:rPr>
          <w:noProof/>
          <w:lang w:val="fr-FR"/>
        </w:rPr>
        <w:t>39</w:t>
      </w:r>
      <w:r>
        <w:rPr>
          <w:noProof/>
        </w:rPr>
        <w:fldChar w:fldCharType="end"/>
      </w:r>
      <w:r w:rsidRPr="00F96B82">
        <w:rPr>
          <w:lang w:val="fr-FR"/>
        </w:rPr>
        <w:t xml:space="preserve"> : Allium sativum</w:t>
      </w:r>
      <w:bookmarkEnd w:id="140"/>
    </w:p>
    <w:p w14:paraId="35B93FAC" w14:textId="70BE27E6" w:rsidR="00664D0A" w:rsidRPr="00F96B82" w:rsidRDefault="00664D0A" w:rsidP="00B91DCD">
      <w:pPr>
        <w:rPr>
          <w:lang w:val="fr-FR"/>
        </w:rPr>
      </w:pPr>
      <w:proofErr w:type="gramStart"/>
      <w:r w:rsidRPr="00664D0A">
        <w:rPr>
          <w:lang w:val="fr-FR"/>
        </w:rPr>
        <w:t>sur</w:t>
      </w:r>
      <w:proofErr w:type="gramEnd"/>
      <w:r w:rsidRPr="00664D0A">
        <w:rPr>
          <w:lang w:val="fr-FR"/>
        </w:rPr>
        <w:t xml:space="preserve"> le plan chimique, l’ail se caractérise surtout par la présence de composés soufrés en particulier l’allicine. On y trouve aussi des flavonoïdes et d’autres molécules </w:t>
      </w:r>
      <w:proofErr w:type="gramStart"/>
      <w:r w:rsidRPr="00664D0A">
        <w:rPr>
          <w:lang w:val="fr-FR"/>
        </w:rPr>
        <w:t>actives .</w:t>
      </w:r>
      <w:proofErr w:type="gramEnd"/>
      <w:r w:rsidRPr="00664D0A">
        <w:rPr>
          <w:lang w:val="fr-FR"/>
        </w:rPr>
        <w:t xml:space="preserve"> </w:t>
      </w:r>
      <w:proofErr w:type="gramStart"/>
      <w:r w:rsidRPr="00664D0A">
        <w:rPr>
          <w:lang w:val="fr-FR"/>
        </w:rPr>
        <w:t>cette</w:t>
      </w:r>
      <w:proofErr w:type="gramEnd"/>
      <w:r w:rsidRPr="00664D0A">
        <w:rPr>
          <w:lang w:val="fr-FR"/>
        </w:rPr>
        <w:t xml:space="preserve"> plante était traditionnellement présenté comme ayant une activité antimicrobienne, pouvant contribuer à abaisser la pression artérielle et à soutenir la fonction cardiovasculaire. Dans ce cadre, il est fréquemment mentionné pour son rôle possible dans la diminution de certains facteurs de </w:t>
      </w:r>
      <w:proofErr w:type="gramStart"/>
      <w:r w:rsidRPr="00664D0A">
        <w:rPr>
          <w:lang w:val="fr-FR"/>
        </w:rPr>
        <w:t>risque.pour</w:t>
      </w:r>
      <w:proofErr w:type="gramEnd"/>
      <w:r w:rsidRPr="00664D0A">
        <w:rPr>
          <w:lang w:val="fr-FR"/>
        </w:rPr>
        <w:t xml:space="preserve"> ses effets antidiabétiques, peut contribuer a ameliorer la sensibilité à l’insuline et à une protection des vaisseaux. Ces effets seraient notamment liés aux composés soufrés et à l’activité antioxydante décrite pour </w:t>
      </w:r>
      <w:proofErr w:type="gramStart"/>
      <w:r w:rsidRPr="00664D0A">
        <w:rPr>
          <w:lang w:val="fr-FR"/>
        </w:rPr>
        <w:t>l’ail.</w:t>
      </w:r>
      <w:r w:rsidR="009D1D3B">
        <w:rPr>
          <w:lang w:val="fr-FR"/>
        </w:rPr>
        <w:t>(</w:t>
      </w:r>
      <w:proofErr w:type="gramEnd"/>
      <w:r w:rsidR="009D1D3B">
        <w:rPr>
          <w:lang w:val="fr-FR"/>
        </w:rPr>
        <w:t>120)</w:t>
      </w:r>
    </w:p>
    <w:p w14:paraId="1ECC740A" w14:textId="77777777" w:rsidR="00664D0A" w:rsidRPr="00664D0A" w:rsidRDefault="00664D0A" w:rsidP="001C2505">
      <w:pPr>
        <w:pStyle w:val="Heading2"/>
      </w:pPr>
      <w:bookmarkStart w:id="141" w:name="_Toc229618839"/>
      <w:r w:rsidRPr="00664D0A">
        <w:t>1-14/ Lauraceae (complément</w:t>
      </w:r>
      <w:proofErr w:type="gramStart"/>
      <w:r w:rsidRPr="00664D0A">
        <w:t>):</w:t>
      </w:r>
      <w:bookmarkEnd w:id="141"/>
      <w:proofErr w:type="gramEnd"/>
    </w:p>
    <w:p w14:paraId="248C7335" w14:textId="77777777" w:rsidR="00664D0A" w:rsidRPr="00664D0A" w:rsidRDefault="00664D0A" w:rsidP="001C2505">
      <w:pPr>
        <w:pStyle w:val="Heading3"/>
      </w:pPr>
      <w:r w:rsidRPr="00664D0A">
        <w:t xml:space="preserve"> 1-14-1/</w:t>
      </w:r>
      <w:r w:rsidRPr="00664D0A">
        <w:rPr>
          <w:rStyle w:val="Emphasis"/>
          <w:i w:val="0"/>
          <w:iCs w:val="0"/>
          <w:sz w:val="28"/>
          <w:szCs w:val="28"/>
        </w:rPr>
        <w:t>Cinnamomum verum</w:t>
      </w:r>
      <w:r w:rsidRPr="00664D0A">
        <w:t xml:space="preserve"> / </w:t>
      </w:r>
      <w:r w:rsidRPr="00664D0A">
        <w:rPr>
          <w:rStyle w:val="Emphasis"/>
          <w:i w:val="0"/>
          <w:iCs w:val="0"/>
          <w:sz w:val="28"/>
          <w:szCs w:val="28"/>
        </w:rPr>
        <w:t>Cinnamomum cassia</w:t>
      </w:r>
      <w:r w:rsidRPr="00664D0A">
        <w:t xml:space="preserve"> :</w:t>
      </w:r>
    </w:p>
    <w:p w14:paraId="3B2C8E59" w14:textId="77777777" w:rsidR="00664D0A" w:rsidRPr="00664D0A" w:rsidRDefault="00664D0A" w:rsidP="00B139C3">
      <w:pPr>
        <w:rPr>
          <w:rStyle w:val="Strong"/>
          <w:rFonts w:cstheme="majorBidi"/>
          <w:b w:val="0"/>
          <w:bCs w:val="0"/>
          <w:szCs w:val="24"/>
          <w:lang w:val="fr-FR"/>
        </w:rPr>
      </w:pPr>
      <w:r w:rsidRPr="00664D0A">
        <w:rPr>
          <w:rStyle w:val="Strong"/>
          <w:rFonts w:cstheme="majorBidi"/>
          <w:b w:val="0"/>
          <w:bCs w:val="0"/>
          <w:szCs w:val="24"/>
          <w:lang w:val="fr-FR"/>
        </w:rPr>
        <w:t>Cinnamomum spp. (</w:t>
      </w:r>
      <w:proofErr w:type="gramStart"/>
      <w:r w:rsidRPr="00664D0A">
        <w:rPr>
          <w:rStyle w:val="Strong"/>
          <w:rFonts w:cstheme="majorBidi"/>
          <w:b w:val="0"/>
          <w:bCs w:val="0"/>
          <w:szCs w:val="24"/>
          <w:lang w:val="fr-FR"/>
        </w:rPr>
        <w:t>cannelle</w:t>
      </w:r>
      <w:proofErr w:type="gramEnd"/>
      <w:r w:rsidRPr="00664D0A">
        <w:rPr>
          <w:rStyle w:val="Strong"/>
          <w:rFonts w:cstheme="majorBidi"/>
          <w:b w:val="0"/>
          <w:bCs w:val="0"/>
          <w:szCs w:val="24"/>
          <w:lang w:val="fr-FR"/>
        </w:rPr>
        <w:t xml:space="preserve"> / </w:t>
      </w:r>
      <w:r w:rsidRPr="00E71797">
        <w:rPr>
          <w:rStyle w:val="Strong"/>
          <w:rFonts w:cstheme="majorBidi"/>
          <w:b w:val="0"/>
          <w:bCs w:val="0"/>
          <w:szCs w:val="24"/>
          <w:rtl/>
        </w:rPr>
        <w:t>قرفة</w:t>
      </w:r>
      <w:r w:rsidRPr="00664D0A">
        <w:rPr>
          <w:rStyle w:val="Strong"/>
          <w:rFonts w:cstheme="majorBidi"/>
          <w:b w:val="0"/>
          <w:bCs w:val="0"/>
          <w:szCs w:val="24"/>
          <w:lang w:val="fr-FR"/>
        </w:rPr>
        <w:t>) désigne un ensemble d’espèces de la famille des Lauraceae. On l’emploie couramment comme épice et, dans diverses traditions de phytothérapie, pour ses effets supposés sur le métabolisme et la digestion.</w:t>
      </w:r>
    </w:p>
    <w:p w14:paraId="375DBADC" w14:textId="77777777" w:rsidR="00664D0A" w:rsidRPr="00664D0A" w:rsidRDefault="00664D0A" w:rsidP="00B139C3">
      <w:pPr>
        <w:rPr>
          <w:rStyle w:val="Strong"/>
          <w:rFonts w:cstheme="majorBidi"/>
          <w:b w:val="0"/>
          <w:bCs w:val="0"/>
          <w:szCs w:val="24"/>
          <w:lang w:val="fr-FR"/>
        </w:rPr>
      </w:pPr>
      <w:proofErr w:type="gramStart"/>
      <w:r w:rsidRPr="00664D0A">
        <w:rPr>
          <w:lang w:val="fr-FR"/>
        </w:rPr>
        <w:t>sur</w:t>
      </w:r>
      <w:proofErr w:type="gramEnd"/>
      <w:r w:rsidRPr="00664D0A">
        <w:rPr>
          <w:lang w:val="fr-FR"/>
        </w:rPr>
        <w:t xml:space="preserve"> le plan morphologique </w:t>
      </w:r>
      <w:r w:rsidRPr="00664D0A">
        <w:rPr>
          <w:rStyle w:val="Strong"/>
          <w:rFonts w:cstheme="majorBidi"/>
          <w:b w:val="0"/>
          <w:bCs w:val="0"/>
          <w:szCs w:val="24"/>
          <w:lang w:val="fr-FR"/>
        </w:rPr>
        <w:t xml:space="preserve">c’est un arbre des régions tropicales. On prélève son écorce </w:t>
      </w:r>
      <w:proofErr w:type="gramStart"/>
      <w:r w:rsidRPr="00664D0A">
        <w:rPr>
          <w:rStyle w:val="Strong"/>
          <w:rFonts w:cstheme="majorBidi"/>
          <w:b w:val="0"/>
          <w:bCs w:val="0"/>
          <w:szCs w:val="24"/>
          <w:lang w:val="fr-FR"/>
        </w:rPr>
        <w:t>aromatique  puis</w:t>
      </w:r>
      <w:proofErr w:type="gramEnd"/>
      <w:r w:rsidRPr="00664D0A">
        <w:rPr>
          <w:rStyle w:val="Strong"/>
          <w:rFonts w:cstheme="majorBidi"/>
          <w:b w:val="0"/>
          <w:bCs w:val="0"/>
          <w:szCs w:val="24"/>
          <w:lang w:val="fr-FR"/>
        </w:rPr>
        <w:t xml:space="preserve"> on la fait sécher afin de l’utiliser ensuite en poudre ou sous forme de bâtonnets .</w:t>
      </w:r>
    </w:p>
    <w:p w14:paraId="21D64B30" w14:textId="77777777" w:rsidR="00664D0A" w:rsidRDefault="00664D0A" w:rsidP="00B139C3">
      <w:r w:rsidRPr="00E71797">
        <w:rPr>
          <w:noProof/>
          <w:lang w:val="fr-FR" w:eastAsia="fr-FR"/>
        </w:rPr>
        <w:drawing>
          <wp:inline distT="0" distB="0" distL="0" distR="0" wp14:anchorId="53B8FE70" wp14:editId="6F455B77">
            <wp:extent cx="3662886" cy="1828800"/>
            <wp:effectExtent l="133350" t="76200" r="71120" b="133350"/>
            <wp:docPr id="95" name="Image 19" descr="dO3fhwqcO1OEJV_HipjJBzLvUtjxijfTHd3tjFX71_foxADKmHYviym1-PXxpH3bgUn_SNVYciKjBY7KibPfjN00kY0bbzg1cqsxALQ1gm-8vETgv6iMzxJk0y9fsqEbwJCXB98O4rzLoLUo454RhINq_bVxIaURcwmFHwgJaRkjVyIL_tdpgRPxd8nXXc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3fhwqcO1OEJV_HipjJBzLvUtjxijfTHd3tjFX71_foxADKmHYviym1-PXxpH3bgUn_SNVYciKjBY7KibPfjN00kY0bbzg1cqsxALQ1gm-8vETgv6iMzxJk0y9fsqEbwJCXB98O4rzLoLUo454RhINq_bVxIaURcwmFHwgJaRkjVyIL_tdpgRPxd8nXXcUI.jpg"/>
                    <pic:cNvPicPr/>
                  </pic:nvPicPr>
                  <pic:blipFill>
                    <a:blip r:embed="rId57" cstate="print"/>
                    <a:stretch>
                      <a:fillRect/>
                    </a:stretch>
                  </pic:blipFill>
                  <pic:spPr>
                    <a:xfrm>
                      <a:off x="0" y="0"/>
                      <a:ext cx="3665922" cy="183031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50F2BEE" w14:textId="1AEB0CD9" w:rsidR="00664D0A" w:rsidRPr="00F96B82" w:rsidRDefault="00664D0A" w:rsidP="00B139C3">
      <w:pPr>
        <w:rPr>
          <w:noProof/>
          <w:lang w:val="fr-FR" w:eastAsia="fr-FR"/>
        </w:rPr>
      </w:pPr>
      <w:bookmarkStart w:id="142" w:name="_Toc229617329"/>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40</w:t>
      </w:r>
      <w:r>
        <w:rPr>
          <w:noProof/>
        </w:rPr>
        <w:fldChar w:fldCharType="end"/>
      </w:r>
      <w:r w:rsidRPr="00F96B82">
        <w:rPr>
          <w:lang w:val="fr-FR"/>
        </w:rPr>
        <w:t xml:space="preserve"> : Cinnamomum verum / Cinnamomum cassia</w:t>
      </w:r>
      <w:bookmarkEnd w:id="142"/>
    </w:p>
    <w:p w14:paraId="213FC3E7" w14:textId="7ACC9F1B" w:rsidR="00664D0A" w:rsidRPr="00F96B82" w:rsidRDefault="00664D0A" w:rsidP="00B91DCD">
      <w:pPr>
        <w:rPr>
          <w:rStyle w:val="Strong"/>
          <w:rFonts w:cstheme="majorBidi"/>
          <w:b w:val="0"/>
          <w:bCs w:val="0"/>
          <w:szCs w:val="24"/>
          <w:lang w:val="fr-FR"/>
        </w:rPr>
      </w:pPr>
      <w:r w:rsidRPr="00664D0A">
        <w:rPr>
          <w:lang w:val="fr-FR"/>
        </w:rPr>
        <w:t xml:space="preserve">Sur le plan chimique, elle </w:t>
      </w:r>
      <w:proofErr w:type="gramStart"/>
      <w:r w:rsidRPr="00664D0A">
        <w:rPr>
          <w:lang w:val="fr-FR"/>
        </w:rPr>
        <w:t>contient</w:t>
      </w:r>
      <w:r w:rsidRPr="00664D0A">
        <w:rPr>
          <w:rStyle w:val="Emphasis"/>
          <w:rFonts w:eastAsia="Times New Roman" w:cstheme="majorBidi"/>
          <w:i w:val="0"/>
          <w:iCs w:val="0"/>
          <w:szCs w:val="24"/>
          <w:lang w:val="fr-FR" w:eastAsia="fr-FR"/>
        </w:rPr>
        <w:t xml:space="preserve"> </w:t>
      </w:r>
      <w:r w:rsidRPr="00664D0A">
        <w:rPr>
          <w:rStyle w:val="Strong"/>
          <w:rFonts w:cstheme="majorBidi"/>
          <w:b w:val="0"/>
          <w:bCs w:val="0"/>
          <w:szCs w:val="24"/>
          <w:lang w:val="fr-FR"/>
        </w:rPr>
        <w:t xml:space="preserve"> notamment</w:t>
      </w:r>
      <w:proofErr w:type="gramEnd"/>
      <w:r w:rsidRPr="00664D0A">
        <w:rPr>
          <w:rStyle w:val="Strong"/>
          <w:rFonts w:cstheme="majorBidi"/>
          <w:b w:val="0"/>
          <w:bCs w:val="0"/>
          <w:szCs w:val="24"/>
          <w:lang w:val="fr-FR"/>
        </w:rPr>
        <w:t xml:space="preserve"> du cinnamaldéhyde, de l’eugénol et plusieurs polyphénols  Ces composés sont généralement associés à son arôme typique et à une partie de ses activités biologiques. </w:t>
      </w:r>
      <w:proofErr w:type="gramStart"/>
      <w:r w:rsidRPr="00664D0A">
        <w:rPr>
          <w:lang w:val="fr-FR"/>
        </w:rPr>
        <w:t>cette</w:t>
      </w:r>
      <w:proofErr w:type="gramEnd"/>
      <w:r w:rsidRPr="00664D0A">
        <w:rPr>
          <w:lang w:val="fr-FR"/>
        </w:rPr>
        <w:t xml:space="preserve"> plante était traditionnellement</w:t>
      </w:r>
      <w:r w:rsidRPr="00664D0A">
        <w:rPr>
          <w:rStyle w:val="Strong"/>
          <w:rFonts w:cstheme="majorBidi"/>
          <w:b w:val="0"/>
          <w:bCs w:val="0"/>
          <w:szCs w:val="24"/>
          <w:lang w:val="fr-FR"/>
        </w:rPr>
        <w:t xml:space="preserve"> présentée comme un stimulant et un antiseptique face à certaines infections bénignes et aussi utiliser  pour faciliter la digestion </w:t>
      </w:r>
      <w:r w:rsidRPr="00664D0A">
        <w:rPr>
          <w:lang w:val="fr-FR"/>
        </w:rPr>
        <w:t>pour ses effets antidiabétiques</w:t>
      </w:r>
      <w:r w:rsidRPr="00664D0A">
        <w:rPr>
          <w:rFonts w:eastAsia="Times New Roman"/>
          <w:lang w:val="fr-FR" w:eastAsia="fr-FR"/>
        </w:rPr>
        <w:t xml:space="preserve"> </w:t>
      </w:r>
      <w:r w:rsidRPr="00664D0A">
        <w:rPr>
          <w:rStyle w:val="Strong"/>
          <w:rFonts w:cstheme="majorBidi"/>
          <w:b w:val="0"/>
          <w:bCs w:val="0"/>
          <w:szCs w:val="24"/>
          <w:lang w:val="fr-FR"/>
        </w:rPr>
        <w:t>la cannelle pourrait participer à une baisse de la glycémie, à une meilleure sensibilité à l’insuline et à une réduction du stress oxydatif</w:t>
      </w:r>
    </w:p>
    <w:p w14:paraId="264B44DE" w14:textId="77777777" w:rsidR="00664D0A" w:rsidRPr="00664D0A" w:rsidRDefault="00664D0A" w:rsidP="001C2505">
      <w:pPr>
        <w:pStyle w:val="Heading2"/>
      </w:pPr>
      <w:r w:rsidRPr="00664D0A">
        <w:t xml:space="preserve"> </w:t>
      </w:r>
      <w:bookmarkStart w:id="143" w:name="_Toc229618840"/>
      <w:r w:rsidRPr="00664D0A">
        <w:t>1-15/ Theaceae :</w:t>
      </w:r>
      <w:bookmarkEnd w:id="143"/>
    </w:p>
    <w:p w14:paraId="309DCB38" w14:textId="77777777" w:rsidR="00664D0A" w:rsidRPr="00664D0A" w:rsidRDefault="00664D0A" w:rsidP="001C2505">
      <w:pPr>
        <w:pStyle w:val="Heading3"/>
      </w:pPr>
      <w:r w:rsidRPr="00664D0A">
        <w:t xml:space="preserve"> 1-15-1/</w:t>
      </w:r>
      <w:r w:rsidRPr="00664D0A">
        <w:rPr>
          <w:rStyle w:val="Emphasis"/>
          <w:i w:val="0"/>
          <w:iCs w:val="0"/>
          <w:sz w:val="28"/>
          <w:szCs w:val="28"/>
        </w:rPr>
        <w:t>Camellia sinensis</w:t>
      </w:r>
      <w:r w:rsidRPr="00664D0A">
        <w:t xml:space="preserve"> :</w:t>
      </w:r>
    </w:p>
    <w:p w14:paraId="308A03A1" w14:textId="77777777" w:rsidR="00664D0A" w:rsidRPr="00664D0A" w:rsidRDefault="00664D0A" w:rsidP="00B139C3">
      <w:pPr>
        <w:rPr>
          <w:lang w:val="fr-FR"/>
        </w:rPr>
      </w:pPr>
      <w:r w:rsidRPr="00664D0A">
        <w:rPr>
          <w:lang w:val="fr-FR"/>
        </w:rPr>
        <w:lastRenderedPageBreak/>
        <w:t xml:space="preserve">Camellia sinensis (thé noir / </w:t>
      </w:r>
      <w:r w:rsidRPr="00E71797">
        <w:rPr>
          <w:rtl/>
        </w:rPr>
        <w:t>الشاي الأحمر</w:t>
      </w:r>
      <w:r w:rsidRPr="00664D0A">
        <w:rPr>
          <w:lang w:val="fr-FR"/>
        </w:rPr>
        <w:t>) est une plante de la famille des Theaceae. Elle est cultivée à grande échelle en Asie, mais aussi dans d’autres régions du monde, afin de produire du thé sous plusieurs formes, notamment le thé vert, le thé noir et le thé blanc.</w:t>
      </w:r>
    </w:p>
    <w:p w14:paraId="39B9FAA0" w14:textId="77777777" w:rsidR="00664D0A" w:rsidRPr="00664D0A" w:rsidRDefault="00664D0A" w:rsidP="00B139C3">
      <w:pPr>
        <w:rPr>
          <w:lang w:val="fr-FR"/>
        </w:rPr>
      </w:pPr>
      <w:r w:rsidRPr="00664D0A">
        <w:rPr>
          <w:lang w:val="fr-FR"/>
        </w:rPr>
        <w:t xml:space="preserve"> </w:t>
      </w:r>
      <w:proofErr w:type="gramStart"/>
      <w:r w:rsidRPr="00664D0A">
        <w:rPr>
          <w:lang w:val="fr-FR"/>
        </w:rPr>
        <w:t>sur</w:t>
      </w:r>
      <w:proofErr w:type="gramEnd"/>
      <w:r w:rsidRPr="00664D0A">
        <w:rPr>
          <w:lang w:val="fr-FR"/>
        </w:rPr>
        <w:t xml:space="preserve"> le plan morphologique il s’agit d’un arbuste (persistant) aux feuilles simples de couleur vert fonce  et connues pour contenir divers composés bioactifs. </w:t>
      </w:r>
    </w:p>
    <w:p w14:paraId="2ED09C60" w14:textId="77777777" w:rsidR="00664D0A" w:rsidRDefault="00664D0A" w:rsidP="00B139C3">
      <w:r w:rsidRPr="00E71797">
        <w:rPr>
          <w:noProof/>
          <w:lang w:val="fr-FR" w:eastAsia="fr-FR"/>
        </w:rPr>
        <w:drawing>
          <wp:inline distT="0" distB="0" distL="0" distR="0" wp14:anchorId="2E83AFEC" wp14:editId="0D00BD64">
            <wp:extent cx="3545423" cy="2664000"/>
            <wp:effectExtent l="95250" t="38100" r="55027" b="60150"/>
            <wp:docPr id="96" name="Image 43" descr="Camellia sinen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amellia sinensis"/>
                    <pic:cNvPicPr>
                      <a:picLocks noChangeAspect="1" noChangeArrowheads="1"/>
                    </pic:cNvPicPr>
                  </pic:nvPicPr>
                  <pic:blipFill>
                    <a:blip r:embed="rId58" cstate="print"/>
                    <a:srcRect/>
                    <a:stretch>
                      <a:fillRect/>
                    </a:stretch>
                  </pic:blipFill>
                  <pic:spPr bwMode="auto">
                    <a:xfrm>
                      <a:off x="0" y="0"/>
                      <a:ext cx="3545423" cy="2664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140BD6F6" w14:textId="103456AA" w:rsidR="00664D0A" w:rsidRPr="00F96B82" w:rsidRDefault="00664D0A" w:rsidP="00B139C3">
      <w:pPr>
        <w:rPr>
          <w:lang w:val="fr-FR"/>
        </w:rPr>
      </w:pPr>
      <w:bookmarkStart w:id="144" w:name="_Toc229617330"/>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41</w:t>
      </w:r>
      <w:r>
        <w:rPr>
          <w:noProof/>
        </w:rPr>
        <w:fldChar w:fldCharType="end"/>
      </w:r>
      <w:r w:rsidRPr="00F96B82">
        <w:rPr>
          <w:lang w:val="fr-FR"/>
        </w:rPr>
        <w:t xml:space="preserve"> : Camellia sinensis</w:t>
      </w:r>
      <w:bookmarkEnd w:id="144"/>
    </w:p>
    <w:p w14:paraId="7A565778" w14:textId="4C45782E" w:rsidR="00664D0A" w:rsidRPr="00B91DCD" w:rsidRDefault="00664D0A" w:rsidP="00B91DCD">
      <w:pPr>
        <w:rPr>
          <w:rtl/>
          <w:lang w:val="fr-FR"/>
        </w:rPr>
      </w:pPr>
      <w:r w:rsidRPr="00664D0A">
        <w:rPr>
          <w:lang w:val="fr-FR"/>
        </w:rPr>
        <w:t xml:space="preserve">Sur le plan chimique, le thé noir se caractérise surtout par sa teneur en polyphénols. On y trouve en particulier des catéchines qui, au cours de la fermentation se transforment en théaflavines. Il contient également de la caféine, ainsi que d’autres flavonoïdes cette plante était traditionnellement fréquemment consommé pour son effet </w:t>
      </w:r>
      <w:proofErr w:type="gramStart"/>
      <w:r w:rsidRPr="00664D0A">
        <w:rPr>
          <w:lang w:val="fr-FR"/>
        </w:rPr>
        <w:t>stimulant  Il</w:t>
      </w:r>
      <w:proofErr w:type="gramEnd"/>
      <w:r w:rsidRPr="00664D0A">
        <w:rPr>
          <w:lang w:val="fr-FR"/>
        </w:rPr>
        <w:t xml:space="preserve"> est aussi mentionné pour ses propriétés antioxydantes et pour un rôle digestif léger . </w:t>
      </w:r>
      <w:proofErr w:type="gramStart"/>
      <w:r w:rsidRPr="00664D0A">
        <w:rPr>
          <w:lang w:val="fr-FR"/>
        </w:rPr>
        <w:t>pour</w:t>
      </w:r>
      <w:proofErr w:type="gramEnd"/>
      <w:r w:rsidRPr="00664D0A">
        <w:rPr>
          <w:lang w:val="fr-FR"/>
        </w:rPr>
        <w:t xml:space="preserve"> ses effets antidiabétiques pourrait participer à une amélioration du métabolisme des glucides et à une diminution du stress oxydatif, ce qui est généralement mis en lien avec sa richesse en polyp</w:t>
      </w:r>
      <w:r w:rsidR="00B91DCD">
        <w:rPr>
          <w:lang w:val="fr-FR"/>
        </w:rPr>
        <w:t>hénols à activité antioxydante.</w:t>
      </w:r>
      <w:r w:rsidR="009D1D3B">
        <w:rPr>
          <w:lang w:val="fr-FR"/>
        </w:rPr>
        <w:t>(119)</w:t>
      </w:r>
    </w:p>
    <w:p w14:paraId="5D667F1E" w14:textId="77777777" w:rsidR="00664D0A" w:rsidRPr="00664D0A" w:rsidRDefault="00664D0A" w:rsidP="001C2505">
      <w:pPr>
        <w:pStyle w:val="Heading2"/>
      </w:pPr>
      <w:bookmarkStart w:id="145" w:name="_Toc229618841"/>
      <w:r w:rsidRPr="00664D0A">
        <w:t>1-16/Anacardiaceae</w:t>
      </w:r>
      <w:bookmarkEnd w:id="145"/>
    </w:p>
    <w:p w14:paraId="40278AB9" w14:textId="77777777" w:rsidR="00664D0A" w:rsidRPr="00664D0A" w:rsidRDefault="00664D0A" w:rsidP="001C2505">
      <w:pPr>
        <w:pStyle w:val="Heading3"/>
      </w:pPr>
      <w:r w:rsidRPr="00664D0A">
        <w:t>1-16-1/Pistacia lentiscus (Lentisque / Derou)</w:t>
      </w:r>
    </w:p>
    <w:p w14:paraId="4801B977" w14:textId="77777777" w:rsidR="00664D0A" w:rsidRPr="00E71797" w:rsidRDefault="00664D0A" w:rsidP="00B139C3">
      <w:proofErr w:type="gramStart"/>
      <w:r w:rsidRPr="00664D0A">
        <w:rPr>
          <w:lang w:val="fr-FR"/>
        </w:rPr>
        <w:t>sur</w:t>
      </w:r>
      <w:proofErr w:type="gramEnd"/>
      <w:r w:rsidRPr="00664D0A">
        <w:rPr>
          <w:lang w:val="fr-FR"/>
        </w:rPr>
        <w:t xml:space="preserve"> le plan morphologique </w:t>
      </w:r>
      <w:r w:rsidRPr="00664D0A">
        <w:rPr>
          <w:rFonts w:eastAsia="Times New Roman"/>
          <w:lang w:val="fr-FR" w:eastAsia="fr-FR"/>
        </w:rPr>
        <w:t xml:space="preserve">Arbrisseau au feuillage persistant, dégageant une forte odeur de résine. </w:t>
      </w:r>
      <w:r w:rsidRPr="00E71797">
        <w:rPr>
          <w:rFonts w:eastAsia="Times New Roman"/>
          <w:lang w:eastAsia="fr-FR"/>
        </w:rPr>
        <w:t>Les fruits sont des petites baies rouges puis noires</w:t>
      </w:r>
      <w:r w:rsidRPr="00E71797">
        <w:t xml:space="preserve"> </w:t>
      </w:r>
    </w:p>
    <w:p w14:paraId="0534F768" w14:textId="77777777" w:rsidR="00664D0A" w:rsidRDefault="00664D0A" w:rsidP="00B139C3">
      <w:r w:rsidRPr="00E71797">
        <w:rPr>
          <w:noProof/>
          <w:lang w:val="fr-FR" w:eastAsia="fr-FR"/>
        </w:rPr>
        <w:lastRenderedPageBreak/>
        <w:drawing>
          <wp:inline distT="0" distB="0" distL="0" distR="0" wp14:anchorId="706E51D5" wp14:editId="53465489">
            <wp:extent cx="2714625" cy="1752600"/>
            <wp:effectExtent l="133350" t="38100" r="66675" b="76200"/>
            <wp:docPr id="99" name="Image 46" descr="How Mastic Gum is Harvested: A Look at Sustainable Pract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ow Mastic Gum is Harvested: A Look at Sustainable Practices"/>
                    <pic:cNvPicPr>
                      <a:picLocks noChangeAspect="1" noChangeArrowheads="1"/>
                    </pic:cNvPicPr>
                  </pic:nvPicPr>
                  <pic:blipFill>
                    <a:blip r:embed="rId59" cstate="print"/>
                    <a:srcRect/>
                    <a:stretch>
                      <a:fillRect/>
                    </a:stretch>
                  </pic:blipFill>
                  <pic:spPr bwMode="auto">
                    <a:xfrm>
                      <a:off x="0" y="0"/>
                      <a:ext cx="2715972" cy="17534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E71797">
        <w:rPr>
          <w:noProof/>
          <w:lang w:val="fr-FR" w:eastAsia="fr-FR"/>
        </w:rPr>
        <w:drawing>
          <wp:inline distT="0" distB="0" distL="0" distR="0" wp14:anchorId="4C25E4DC" wp14:editId="64C9A4A3">
            <wp:extent cx="2571018" cy="1752600"/>
            <wp:effectExtent l="114300" t="38100" r="57882" b="76200"/>
            <wp:docPr id="3" name="Image 73" descr="PISTACIA lentiscus (Arbre au mastic, Pistachier lentisque, Pistachier térébin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ISTACIA lentiscus (Arbre au mastic, Pistachier lentisque, Pistachier térébinthe)"/>
                    <pic:cNvPicPr>
                      <a:picLocks noChangeAspect="1" noChangeArrowheads="1"/>
                    </pic:cNvPicPr>
                  </pic:nvPicPr>
                  <pic:blipFill>
                    <a:blip r:embed="rId60" cstate="print"/>
                    <a:srcRect/>
                    <a:stretch>
                      <a:fillRect/>
                    </a:stretch>
                  </pic:blipFill>
                  <pic:spPr bwMode="auto">
                    <a:xfrm>
                      <a:off x="0" y="0"/>
                      <a:ext cx="2571803" cy="17531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5C03F6D8" w14:textId="1F8E5FC6" w:rsidR="00664D0A" w:rsidRPr="00F96B82" w:rsidRDefault="00664D0A" w:rsidP="00B139C3">
      <w:pPr>
        <w:rPr>
          <w:lang w:val="fr-FR"/>
        </w:rPr>
      </w:pPr>
      <w:bookmarkStart w:id="146" w:name="_Toc229617331"/>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42</w:t>
      </w:r>
      <w:r>
        <w:rPr>
          <w:noProof/>
        </w:rPr>
        <w:fldChar w:fldCharType="end"/>
      </w:r>
      <w:r w:rsidRPr="00F96B82">
        <w:rPr>
          <w:lang w:val="fr-FR"/>
        </w:rPr>
        <w:t xml:space="preserve"> : Pistacia lentiscus</w:t>
      </w:r>
      <w:bookmarkEnd w:id="146"/>
    </w:p>
    <w:p w14:paraId="1F21A0CD" w14:textId="77777777" w:rsidR="00664D0A" w:rsidRPr="00664D0A" w:rsidRDefault="00664D0A" w:rsidP="00B139C3">
      <w:pPr>
        <w:rPr>
          <w:lang w:val="fr-FR"/>
        </w:rPr>
      </w:pPr>
    </w:p>
    <w:p w14:paraId="119ECC99" w14:textId="411F6D84" w:rsidR="00664D0A" w:rsidRPr="003766EB" w:rsidRDefault="00664D0A" w:rsidP="003766EB">
      <w:pPr>
        <w:rPr>
          <w:lang w:val="fr-FR"/>
        </w:rPr>
      </w:pPr>
      <w:r w:rsidRPr="00664D0A">
        <w:rPr>
          <w:lang w:val="fr-FR"/>
        </w:rPr>
        <w:t>Sur le plan chimique,</w:t>
      </w:r>
      <w:r w:rsidRPr="00664D0A">
        <w:rPr>
          <w:rFonts w:eastAsia="Times New Roman"/>
          <w:lang w:val="fr-FR" w:eastAsia="fr-FR"/>
        </w:rPr>
        <w:t xml:space="preserve"> Huile essentielle, triterpènes et tanins </w:t>
      </w:r>
      <w:proofErr w:type="gramStart"/>
      <w:r w:rsidRPr="00664D0A">
        <w:rPr>
          <w:rFonts w:eastAsia="Times New Roman"/>
          <w:lang w:val="fr-FR" w:eastAsia="fr-FR"/>
        </w:rPr>
        <w:t>condensés.</w:t>
      </w:r>
      <w:r w:rsidRPr="00664D0A">
        <w:rPr>
          <w:lang w:val="fr-FR"/>
        </w:rPr>
        <w:t>cette</w:t>
      </w:r>
      <w:proofErr w:type="gramEnd"/>
      <w:r w:rsidRPr="00664D0A">
        <w:rPr>
          <w:lang w:val="fr-FR"/>
        </w:rPr>
        <w:t xml:space="preserve"> plante était traditionnellement</w:t>
      </w:r>
      <w:r w:rsidRPr="00664D0A">
        <w:rPr>
          <w:rStyle w:val="Strong"/>
          <w:rFonts w:cstheme="majorBidi"/>
          <w:b w:val="0"/>
          <w:bCs w:val="0"/>
          <w:szCs w:val="24"/>
          <w:lang w:val="fr-FR"/>
        </w:rPr>
        <w:t xml:space="preserve"> présentée </w:t>
      </w:r>
      <w:r w:rsidRPr="00664D0A">
        <w:rPr>
          <w:rFonts w:eastAsia="Times New Roman"/>
          <w:lang w:val="fr-FR" w:eastAsia="fr-FR"/>
        </w:rPr>
        <w:t>pour les bronchites et les problèmes gastriques (ulcères).</w:t>
      </w:r>
      <w:r w:rsidRPr="00664D0A">
        <w:rPr>
          <w:lang w:val="fr-FR"/>
        </w:rPr>
        <w:t xml:space="preserve">ses effets antidiabétiques </w:t>
      </w:r>
      <w:r w:rsidRPr="00664D0A">
        <w:rPr>
          <w:rFonts w:eastAsia="Times New Roman"/>
          <w:lang w:val="fr-FR" w:eastAsia="fr-FR"/>
        </w:rPr>
        <w:t>: Il améliore le profil lipidique et réduit la glycémie en inhibant l'activité des enzymes impliquées dans le métabolisme des hydrates de carbone.</w:t>
      </w:r>
      <w:r w:rsidR="009D1D3B">
        <w:rPr>
          <w:rFonts w:eastAsia="Times New Roman"/>
          <w:lang w:val="fr-FR" w:eastAsia="fr-FR"/>
        </w:rPr>
        <w:t>(121)</w:t>
      </w:r>
    </w:p>
    <w:p w14:paraId="141BBF89" w14:textId="77777777" w:rsidR="00664D0A" w:rsidRPr="00664D0A" w:rsidRDefault="00664D0A" w:rsidP="001C2505">
      <w:pPr>
        <w:pStyle w:val="Heading2"/>
      </w:pPr>
      <w:bookmarkStart w:id="147" w:name="_Toc229618842"/>
      <w:r w:rsidRPr="00664D0A">
        <w:t>1-17/Rhamnaceae :</w:t>
      </w:r>
      <w:bookmarkEnd w:id="147"/>
    </w:p>
    <w:p w14:paraId="078F95DB" w14:textId="77777777" w:rsidR="00664D0A" w:rsidRPr="00664D0A" w:rsidRDefault="00664D0A" w:rsidP="001C2505">
      <w:pPr>
        <w:pStyle w:val="Heading3"/>
      </w:pPr>
      <w:r w:rsidRPr="00664D0A">
        <w:t xml:space="preserve">1-17-1/Ziziphus lotus (Jujubier / Sedra) </w:t>
      </w:r>
    </w:p>
    <w:p w14:paraId="2A74B70B" w14:textId="77777777" w:rsidR="00664D0A" w:rsidRPr="00664D0A" w:rsidRDefault="00664D0A" w:rsidP="00B139C3">
      <w:pPr>
        <w:rPr>
          <w:noProof/>
          <w:lang w:val="fr-FR" w:eastAsia="fr-FR"/>
        </w:rPr>
      </w:pPr>
      <w:proofErr w:type="gramStart"/>
      <w:r w:rsidRPr="00664D0A">
        <w:rPr>
          <w:lang w:val="fr-FR"/>
        </w:rPr>
        <w:t>sur</w:t>
      </w:r>
      <w:proofErr w:type="gramEnd"/>
      <w:r w:rsidRPr="00664D0A">
        <w:rPr>
          <w:lang w:val="fr-FR"/>
        </w:rPr>
        <w:t xml:space="preserve"> le plan morphologiq </w:t>
      </w:r>
      <w:r w:rsidRPr="00664D0A">
        <w:rPr>
          <w:rFonts w:eastAsia="Times New Roman"/>
          <w:lang w:val="fr-FR" w:eastAsia="fr-FR"/>
        </w:rPr>
        <w:t>Arbuste épineux très rameux. Les feuilles sont petites, ovales, et les fruits (jujubes) sont de petites drupes globuleuses.</w:t>
      </w:r>
      <w:r w:rsidRPr="00664D0A">
        <w:rPr>
          <w:noProof/>
          <w:lang w:val="fr-FR" w:eastAsia="fr-FR"/>
        </w:rPr>
        <w:t xml:space="preserve"> </w:t>
      </w:r>
    </w:p>
    <w:p w14:paraId="5A9EFB95" w14:textId="77777777" w:rsidR="00664D0A" w:rsidRDefault="00664D0A" w:rsidP="00B139C3">
      <w:r w:rsidRPr="00E71797">
        <w:rPr>
          <w:noProof/>
          <w:lang w:val="fr-FR" w:eastAsia="fr-FR"/>
        </w:rPr>
        <w:drawing>
          <wp:inline distT="0" distB="0" distL="0" distR="0" wp14:anchorId="26BDDD74" wp14:editId="5CE5759E">
            <wp:extent cx="3200400" cy="2540473"/>
            <wp:effectExtent l="133350" t="38100" r="57150" b="69377"/>
            <wp:docPr id="102" name="Image 52" descr="How To Grow Ziziphus lotus | Eart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ow To Grow Ziziphus lotus | EarthOne"/>
                    <pic:cNvPicPr>
                      <a:picLocks noChangeAspect="1" noChangeArrowheads="1"/>
                    </pic:cNvPicPr>
                  </pic:nvPicPr>
                  <pic:blipFill>
                    <a:blip r:embed="rId61"/>
                    <a:srcRect/>
                    <a:stretch>
                      <a:fillRect/>
                    </a:stretch>
                  </pic:blipFill>
                  <pic:spPr bwMode="auto">
                    <a:xfrm>
                      <a:off x="0" y="0"/>
                      <a:ext cx="3200996" cy="254094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2026741F" w14:textId="354C2402" w:rsidR="00664D0A" w:rsidRPr="00F96B82" w:rsidRDefault="00664D0A" w:rsidP="00B139C3">
      <w:pPr>
        <w:rPr>
          <w:noProof/>
          <w:lang w:val="fr-FR" w:eastAsia="fr-FR"/>
        </w:rPr>
      </w:pPr>
      <w:bookmarkStart w:id="148" w:name="_Toc229617332"/>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43</w:t>
      </w:r>
      <w:r>
        <w:rPr>
          <w:noProof/>
        </w:rPr>
        <w:fldChar w:fldCharType="end"/>
      </w:r>
      <w:r w:rsidRPr="00F96B82">
        <w:rPr>
          <w:lang w:val="fr-FR"/>
        </w:rPr>
        <w:t xml:space="preserve"> : Ziziphus lotu</w:t>
      </w:r>
      <w:bookmarkEnd w:id="148"/>
    </w:p>
    <w:p w14:paraId="7E419FCD" w14:textId="77777777" w:rsidR="00664D0A" w:rsidRPr="00664D0A" w:rsidRDefault="00664D0A" w:rsidP="00B139C3">
      <w:pPr>
        <w:rPr>
          <w:rFonts w:eastAsia="Times New Roman"/>
          <w:sz w:val="27"/>
          <w:szCs w:val="27"/>
          <w:lang w:val="fr-FR" w:eastAsia="fr-FR"/>
        </w:rPr>
      </w:pPr>
      <w:r w:rsidRPr="00664D0A">
        <w:rPr>
          <w:lang w:val="fr-FR"/>
        </w:rPr>
        <w:t>Sur le plan chimique,</w:t>
      </w:r>
      <w:r w:rsidRPr="00664D0A">
        <w:rPr>
          <w:rFonts w:eastAsia="Times New Roman"/>
          <w:lang w:val="fr-FR" w:eastAsia="fr-FR"/>
        </w:rPr>
        <w:t xml:space="preserve"> Saponines, flavonoïdes et alcaloïdes cyclopeptidiques.</w:t>
      </w:r>
      <w:r w:rsidRPr="00664D0A">
        <w:rPr>
          <w:lang w:val="fr-FR"/>
        </w:rPr>
        <w:t xml:space="preserve"> </w:t>
      </w:r>
      <w:proofErr w:type="gramStart"/>
      <w:r w:rsidRPr="00664D0A">
        <w:rPr>
          <w:lang w:val="fr-FR"/>
        </w:rPr>
        <w:t>cette</w:t>
      </w:r>
      <w:proofErr w:type="gramEnd"/>
      <w:r w:rsidRPr="00664D0A">
        <w:rPr>
          <w:lang w:val="fr-FR"/>
        </w:rPr>
        <w:t xml:space="preserve"> plante était traditionnellement</w:t>
      </w:r>
      <w:r w:rsidRPr="00664D0A">
        <w:rPr>
          <w:rFonts w:eastAsia="Times New Roman"/>
          <w:lang w:val="fr-FR" w:eastAsia="fr-FR"/>
        </w:rPr>
        <w:t xml:space="preserve"> Utilisé pour traiter les infections, le diabète et les inflammations.</w:t>
      </w:r>
      <w:r w:rsidRPr="00664D0A">
        <w:rPr>
          <w:lang w:val="fr-FR"/>
        </w:rPr>
        <w:t xml:space="preserve">ses effets antidiabétiques </w:t>
      </w:r>
      <w:r w:rsidRPr="00664D0A">
        <w:rPr>
          <w:rFonts w:eastAsia="Times New Roman"/>
          <w:lang w:val="fr-FR" w:eastAsia="fr-FR"/>
        </w:rPr>
        <w:t>: Ses composés augmentent la sécrétion d'insuline et activent les voies de signalisation de l'insuline, tout en réduisant le stress oxydatif pancréatique.</w:t>
      </w:r>
    </w:p>
    <w:p w14:paraId="369C73CF" w14:textId="77777777" w:rsidR="00664D0A" w:rsidRPr="00664D0A" w:rsidRDefault="00664D0A" w:rsidP="00B139C3">
      <w:pPr>
        <w:rPr>
          <w:sz w:val="36"/>
          <w:szCs w:val="36"/>
          <w:lang w:val="fr-FR"/>
        </w:rPr>
      </w:pPr>
    </w:p>
    <w:p w14:paraId="2B139B40" w14:textId="77777777" w:rsidR="00664D0A" w:rsidRPr="00664D0A" w:rsidRDefault="00664D0A" w:rsidP="001C2505">
      <w:pPr>
        <w:pStyle w:val="Heading2"/>
      </w:pPr>
      <w:bookmarkStart w:id="149" w:name="_Toc229618843"/>
      <w:r w:rsidRPr="00664D0A">
        <w:lastRenderedPageBreak/>
        <w:t>1-18/Lythraceae</w:t>
      </w:r>
      <w:bookmarkEnd w:id="149"/>
    </w:p>
    <w:p w14:paraId="2A37B1EE" w14:textId="77777777" w:rsidR="00664D0A" w:rsidRPr="00664D0A" w:rsidRDefault="00664D0A" w:rsidP="001C2505">
      <w:pPr>
        <w:pStyle w:val="Heading3"/>
      </w:pPr>
      <w:r w:rsidRPr="00664D0A">
        <w:t>1-18-1/Punica granatum (Grenadier / Romman)</w:t>
      </w:r>
    </w:p>
    <w:p w14:paraId="35B1BC79" w14:textId="77777777" w:rsidR="00664D0A" w:rsidRPr="00664D0A" w:rsidRDefault="00664D0A" w:rsidP="00B139C3">
      <w:pPr>
        <w:rPr>
          <w:lang w:val="fr-FR"/>
        </w:rPr>
      </w:pPr>
      <w:proofErr w:type="gramStart"/>
      <w:r w:rsidRPr="00664D0A">
        <w:rPr>
          <w:lang w:val="fr-FR"/>
        </w:rPr>
        <w:t>sur</w:t>
      </w:r>
      <w:proofErr w:type="gramEnd"/>
      <w:r w:rsidRPr="00664D0A">
        <w:rPr>
          <w:lang w:val="fr-FR"/>
        </w:rPr>
        <w:t xml:space="preserve"> le plan morphologiq </w:t>
      </w:r>
      <w:r w:rsidRPr="00664D0A">
        <w:rPr>
          <w:rFonts w:eastAsia="Times New Roman"/>
          <w:lang w:val="fr-FR" w:eastAsia="fr-FR"/>
        </w:rPr>
        <w:t>Petit arbre à feuilles opposées et fleurs rouges éclatantes. Le fruit est une baie complexe à péricarpe coriace (la grenade).</w:t>
      </w:r>
    </w:p>
    <w:p w14:paraId="7E982C98" w14:textId="77777777" w:rsidR="00664D0A" w:rsidRDefault="00664D0A" w:rsidP="00B139C3">
      <w:r w:rsidRPr="00E71797">
        <w:rPr>
          <w:noProof/>
          <w:lang w:val="fr-FR" w:eastAsia="fr-FR"/>
        </w:rPr>
        <w:drawing>
          <wp:inline distT="0" distB="0" distL="0" distR="0" wp14:anchorId="69DE1D5D" wp14:editId="0919795E">
            <wp:extent cx="2914650" cy="2914650"/>
            <wp:effectExtent l="76200" t="38100" r="76200" b="76200"/>
            <wp:docPr id="103" name="Image 55" descr="Punica granatum 'Salavatski' - Vente Grenadier à gros fruit - Gren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unica granatum 'Salavatski' - Vente Grenadier à gros fruit - Grenade"/>
                    <pic:cNvPicPr>
                      <a:picLocks noChangeAspect="1" noChangeArrowheads="1"/>
                    </pic:cNvPicPr>
                  </pic:nvPicPr>
                  <pic:blipFill>
                    <a:blip r:embed="rId62"/>
                    <a:srcRect/>
                    <a:stretch>
                      <a:fillRect/>
                    </a:stretch>
                  </pic:blipFill>
                  <pic:spPr bwMode="auto">
                    <a:xfrm>
                      <a:off x="0" y="0"/>
                      <a:ext cx="2914650" cy="29146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2EF3BDBA" w14:textId="1CAD98C2" w:rsidR="00664D0A" w:rsidRPr="00F96B82" w:rsidRDefault="00664D0A" w:rsidP="00B139C3">
      <w:pPr>
        <w:rPr>
          <w:lang w:val="fr-FR"/>
        </w:rPr>
      </w:pPr>
      <w:bookmarkStart w:id="150" w:name="_Toc229617333"/>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44</w:t>
      </w:r>
      <w:r>
        <w:rPr>
          <w:noProof/>
        </w:rPr>
        <w:fldChar w:fldCharType="end"/>
      </w:r>
      <w:r w:rsidRPr="00F96B82">
        <w:rPr>
          <w:lang w:val="fr-FR"/>
        </w:rPr>
        <w:t xml:space="preserve"> : Punica granatum</w:t>
      </w:r>
      <w:bookmarkEnd w:id="150"/>
    </w:p>
    <w:p w14:paraId="572F28DA" w14:textId="49C08B84" w:rsidR="00664D0A" w:rsidRPr="003766EB" w:rsidRDefault="00664D0A" w:rsidP="003766EB">
      <w:pPr>
        <w:rPr>
          <w:rFonts w:eastAsia="Times New Roman"/>
          <w:sz w:val="27"/>
          <w:szCs w:val="27"/>
          <w:lang w:val="fr-FR" w:eastAsia="fr-FR"/>
        </w:rPr>
      </w:pPr>
      <w:proofErr w:type="gramStart"/>
      <w:r w:rsidRPr="00664D0A">
        <w:rPr>
          <w:lang w:val="fr-FR"/>
        </w:rPr>
        <w:t>sur</w:t>
      </w:r>
      <w:proofErr w:type="gramEnd"/>
      <w:r w:rsidRPr="00664D0A">
        <w:rPr>
          <w:lang w:val="fr-FR"/>
        </w:rPr>
        <w:t xml:space="preserve"> le plan chimique, </w:t>
      </w:r>
      <w:r w:rsidRPr="00664D0A">
        <w:rPr>
          <w:rFonts w:eastAsia="Times New Roman"/>
          <w:lang w:val="fr-FR" w:eastAsia="fr-FR"/>
        </w:rPr>
        <w:t xml:space="preserve">Riche en punicalagines (ellagitanins), anthocyanes et acide punicique. </w:t>
      </w:r>
      <w:proofErr w:type="gramStart"/>
      <w:r w:rsidRPr="00664D0A">
        <w:rPr>
          <w:lang w:val="fr-FR"/>
        </w:rPr>
        <w:t>cette</w:t>
      </w:r>
      <w:proofErr w:type="gramEnd"/>
      <w:r w:rsidRPr="00664D0A">
        <w:rPr>
          <w:lang w:val="fr-FR"/>
        </w:rPr>
        <w:t xml:space="preserve"> plante était traditionnellement </w:t>
      </w:r>
      <w:r w:rsidRPr="00664D0A">
        <w:rPr>
          <w:rFonts w:eastAsia="Times New Roman"/>
          <w:lang w:val="fr-FR" w:eastAsia="fr-FR"/>
        </w:rPr>
        <w:t>Utilisé pour les parasites intestinaux et les diarrhées</w:t>
      </w:r>
      <w:r w:rsidRPr="00664D0A">
        <w:rPr>
          <w:lang w:val="fr-FR"/>
        </w:rPr>
        <w:t xml:space="preserve"> ses effets antidiabétiques  </w:t>
      </w:r>
      <w:r w:rsidRPr="00664D0A">
        <w:rPr>
          <w:rFonts w:eastAsia="Times New Roman"/>
          <w:lang w:val="fr-FR" w:eastAsia="fr-FR"/>
        </w:rPr>
        <w:t>: Les polyphénols bloquent l'absorption intestinale du glucose et améliorent la fonction des cellules bêta. Ils réduisent aussi l'inflammation chronique liée au diabète.</w:t>
      </w:r>
    </w:p>
    <w:p w14:paraId="473F0731" w14:textId="77777777" w:rsidR="00664D0A" w:rsidRPr="00664D0A" w:rsidRDefault="00664D0A" w:rsidP="001C2505">
      <w:pPr>
        <w:pStyle w:val="Heading2"/>
      </w:pPr>
      <w:bookmarkStart w:id="151" w:name="_Toc229618844"/>
      <w:r w:rsidRPr="00664D0A">
        <w:t>1-19/Urticaceae</w:t>
      </w:r>
      <w:bookmarkEnd w:id="151"/>
    </w:p>
    <w:p w14:paraId="5803AE07" w14:textId="77777777" w:rsidR="00664D0A" w:rsidRPr="00664D0A" w:rsidRDefault="00664D0A" w:rsidP="001C2505">
      <w:pPr>
        <w:pStyle w:val="Heading3"/>
      </w:pPr>
      <w:r w:rsidRPr="00664D0A">
        <w:t>1-19-1/Urtica dioica (Ortie / Horreiga)</w:t>
      </w:r>
    </w:p>
    <w:p w14:paraId="20382A79" w14:textId="77777777" w:rsidR="00664D0A" w:rsidRPr="003766EB" w:rsidRDefault="00664D0A" w:rsidP="00B139C3">
      <w:pPr>
        <w:rPr>
          <w:rFonts w:eastAsia="Times New Roman"/>
          <w:lang w:val="fr-FR" w:eastAsia="fr-FR"/>
        </w:rPr>
      </w:pPr>
      <w:proofErr w:type="gramStart"/>
      <w:r w:rsidRPr="00664D0A">
        <w:rPr>
          <w:lang w:val="fr-FR"/>
        </w:rPr>
        <w:t>sur</w:t>
      </w:r>
      <w:proofErr w:type="gramEnd"/>
      <w:r w:rsidRPr="00664D0A">
        <w:rPr>
          <w:lang w:val="fr-FR"/>
        </w:rPr>
        <w:t xml:space="preserve"> le plan morphologiq </w:t>
      </w:r>
      <w:r w:rsidRPr="00664D0A">
        <w:rPr>
          <w:rFonts w:eastAsia="Times New Roman"/>
          <w:lang w:val="fr-FR" w:eastAsia="fr-FR"/>
        </w:rPr>
        <w:t xml:space="preserve">Plante herbacée couverte de poils urticants. </w:t>
      </w:r>
      <w:r w:rsidRPr="003766EB">
        <w:rPr>
          <w:rFonts w:eastAsia="Times New Roman"/>
          <w:lang w:val="fr-FR" w:eastAsia="fr-FR"/>
        </w:rPr>
        <w:t xml:space="preserve">Les feuilles sont dentées et les fleurs verdâtres. </w:t>
      </w:r>
    </w:p>
    <w:p w14:paraId="25C214F6" w14:textId="77777777" w:rsidR="00664D0A" w:rsidRDefault="00664D0A" w:rsidP="00B139C3">
      <w:r w:rsidRPr="00E71797">
        <w:rPr>
          <w:noProof/>
          <w:lang w:val="fr-FR" w:eastAsia="fr-FR"/>
        </w:rPr>
        <w:lastRenderedPageBreak/>
        <w:drawing>
          <wp:inline distT="0" distB="0" distL="0" distR="0" wp14:anchorId="3151B2F0" wp14:editId="7C971933">
            <wp:extent cx="1923325" cy="2330927"/>
            <wp:effectExtent l="133350" t="76200" r="77470" b="127000"/>
            <wp:docPr id="104" name="Image 58" descr="Velika kopriva | Vrt in nar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Velika kopriva | Vrt in narava"/>
                    <pic:cNvPicPr>
                      <a:picLocks noChangeAspect="1" noChangeArrowheads="1"/>
                    </pic:cNvPicPr>
                  </pic:nvPicPr>
                  <pic:blipFill>
                    <a:blip r:embed="rId63"/>
                    <a:srcRect/>
                    <a:stretch>
                      <a:fillRect/>
                    </a:stretch>
                  </pic:blipFill>
                  <pic:spPr bwMode="auto">
                    <a:xfrm>
                      <a:off x="0" y="0"/>
                      <a:ext cx="1927726" cy="233626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E71797">
        <w:rPr>
          <w:noProof/>
          <w:lang w:val="fr-FR" w:eastAsia="fr-FR"/>
        </w:rPr>
        <w:drawing>
          <wp:inline distT="0" distB="0" distL="0" distR="0" wp14:anchorId="0F36D18F" wp14:editId="77D1B220">
            <wp:extent cx="2411682" cy="2394354"/>
            <wp:effectExtent l="133350" t="76200" r="84455" b="139700"/>
            <wp:docPr id="4" name="Image 61" descr="Urtica dioica, often called common nettle, or stinging nettle, or nettle leaf. Nettle 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Urtica dioica, often called common nettle, or stinging nettle, or nettle leaf. Nettle flowers"/>
                    <pic:cNvPicPr>
                      <a:picLocks noChangeAspect="1" noChangeArrowheads="1"/>
                    </pic:cNvPicPr>
                  </pic:nvPicPr>
                  <pic:blipFill>
                    <a:blip r:embed="rId64" cstate="print"/>
                    <a:srcRect/>
                    <a:stretch>
                      <a:fillRect/>
                    </a:stretch>
                  </pic:blipFill>
                  <pic:spPr bwMode="auto">
                    <a:xfrm>
                      <a:off x="0" y="0"/>
                      <a:ext cx="2413585" cy="239624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6433FA3" w14:textId="683D4D05" w:rsidR="00664D0A" w:rsidRPr="00F96B82" w:rsidRDefault="00664D0A" w:rsidP="003766EB">
      <w:pPr>
        <w:rPr>
          <w:lang w:val="fr-FR"/>
        </w:rPr>
      </w:pPr>
      <w:bookmarkStart w:id="152" w:name="_Toc229617334"/>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45</w:t>
      </w:r>
      <w:r>
        <w:rPr>
          <w:noProof/>
        </w:rPr>
        <w:fldChar w:fldCharType="end"/>
      </w:r>
      <w:r w:rsidRPr="00F96B82">
        <w:rPr>
          <w:lang w:val="fr-FR"/>
        </w:rPr>
        <w:t xml:space="preserve"> : Urtica dioica</w:t>
      </w:r>
      <w:bookmarkEnd w:id="152"/>
    </w:p>
    <w:p w14:paraId="3DDB5624" w14:textId="2ED5D7F2" w:rsidR="00664D0A" w:rsidRPr="003766EB" w:rsidRDefault="00664D0A" w:rsidP="003766EB">
      <w:pPr>
        <w:rPr>
          <w:rFonts w:eastAsia="Times New Roman"/>
          <w:sz w:val="27"/>
          <w:szCs w:val="27"/>
          <w:lang w:val="fr-FR" w:eastAsia="fr-FR"/>
        </w:rPr>
      </w:pPr>
      <w:r w:rsidRPr="00664D0A">
        <w:rPr>
          <w:lang w:val="fr-FR"/>
        </w:rPr>
        <w:t xml:space="preserve">Sur le plan chimique, </w:t>
      </w:r>
      <w:r w:rsidRPr="00664D0A">
        <w:rPr>
          <w:rFonts w:eastAsia="Times New Roman"/>
          <w:lang w:val="fr-FR" w:eastAsia="fr-FR"/>
        </w:rPr>
        <w:t>Riche en minéraux, flavonoïdes et stérols</w:t>
      </w:r>
      <w:r w:rsidRPr="00664D0A">
        <w:rPr>
          <w:lang w:val="fr-FR"/>
        </w:rPr>
        <w:t xml:space="preserve"> cette plante était traditionnellement </w:t>
      </w:r>
      <w:r w:rsidRPr="00664D0A">
        <w:rPr>
          <w:rFonts w:eastAsia="Times New Roman"/>
          <w:lang w:val="fr-FR" w:eastAsia="fr-FR"/>
        </w:rPr>
        <w:t xml:space="preserve">Diurétique, tonique et remède contre l'anémie. </w:t>
      </w:r>
      <w:proofErr w:type="gramStart"/>
      <w:r w:rsidRPr="00664D0A">
        <w:rPr>
          <w:lang w:val="fr-FR"/>
        </w:rPr>
        <w:t>ses</w:t>
      </w:r>
      <w:proofErr w:type="gramEnd"/>
      <w:r w:rsidRPr="00664D0A">
        <w:rPr>
          <w:lang w:val="fr-FR"/>
        </w:rPr>
        <w:t xml:space="preserve"> effets antidiabétiques </w:t>
      </w:r>
      <w:r w:rsidRPr="00664D0A">
        <w:rPr>
          <w:rFonts w:eastAsia="Times New Roman"/>
          <w:lang w:val="fr-FR" w:eastAsia="fr-FR"/>
        </w:rPr>
        <w:t>Elle possède un effet sécrétagogue (stimule la libération d'insuline) et améliore la capture du glucose par les cellules cibles.</w:t>
      </w:r>
    </w:p>
    <w:p w14:paraId="22848ADB" w14:textId="77777777" w:rsidR="00664D0A" w:rsidRPr="00664D0A" w:rsidRDefault="00664D0A" w:rsidP="001C2505">
      <w:pPr>
        <w:pStyle w:val="Heading2"/>
      </w:pPr>
      <w:bookmarkStart w:id="153" w:name="_Toc229618845"/>
      <w:r w:rsidRPr="00664D0A">
        <w:t>1-20/Ranunculaceae</w:t>
      </w:r>
      <w:bookmarkEnd w:id="153"/>
    </w:p>
    <w:p w14:paraId="51CFBCFD" w14:textId="77777777" w:rsidR="00664D0A" w:rsidRPr="00664D0A" w:rsidRDefault="00664D0A" w:rsidP="001C2505">
      <w:pPr>
        <w:pStyle w:val="Heading3"/>
      </w:pPr>
      <w:r w:rsidRPr="00664D0A">
        <w:t>1-20-1/Nigella sativa (Nigelle / Sanoudj)</w:t>
      </w:r>
    </w:p>
    <w:p w14:paraId="2992100D" w14:textId="77777777" w:rsidR="00664D0A" w:rsidRPr="00E71797" w:rsidRDefault="00664D0A" w:rsidP="00B139C3">
      <w:pPr>
        <w:rPr>
          <w:rFonts w:eastAsia="Times New Roman"/>
          <w:lang w:eastAsia="fr-FR"/>
        </w:rPr>
      </w:pPr>
      <w:proofErr w:type="gramStart"/>
      <w:r w:rsidRPr="00664D0A">
        <w:rPr>
          <w:lang w:val="fr-FR"/>
        </w:rPr>
        <w:t>sur</w:t>
      </w:r>
      <w:proofErr w:type="gramEnd"/>
      <w:r w:rsidRPr="00664D0A">
        <w:rPr>
          <w:lang w:val="fr-FR"/>
        </w:rPr>
        <w:t xml:space="preserve"> le plan morphologiq </w:t>
      </w:r>
      <w:r w:rsidRPr="00664D0A">
        <w:rPr>
          <w:rFonts w:eastAsia="Times New Roman"/>
          <w:lang w:val="fr-FR" w:eastAsia="fr-FR"/>
        </w:rPr>
        <w:t xml:space="preserve">Petite plante annuelle à fleurs bleues ou blanches. </w:t>
      </w:r>
      <w:r w:rsidRPr="00E71797">
        <w:rPr>
          <w:rFonts w:eastAsia="Times New Roman"/>
          <w:lang w:eastAsia="fr-FR"/>
        </w:rPr>
        <w:t>Les graines noires sont contenues dans des capsules.</w:t>
      </w:r>
    </w:p>
    <w:p w14:paraId="637E89E7" w14:textId="77777777" w:rsidR="00664D0A" w:rsidRDefault="00664D0A" w:rsidP="00B139C3">
      <w:r w:rsidRPr="00E71797">
        <w:rPr>
          <w:noProof/>
          <w:lang w:val="fr-FR" w:eastAsia="fr-FR"/>
        </w:rPr>
        <w:drawing>
          <wp:inline distT="0" distB="0" distL="0" distR="0" wp14:anchorId="61C011C2" wp14:editId="207629BA">
            <wp:extent cx="2018807" cy="2752725"/>
            <wp:effectExtent l="133350" t="38100" r="57643" b="66675"/>
            <wp:docPr id="106" name="Image 64" descr="Black cumin (Nigella sativa) f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Black cumin (Nigella sativa) flower"/>
                    <pic:cNvPicPr>
                      <a:picLocks noChangeAspect="1" noChangeArrowheads="1"/>
                    </pic:cNvPicPr>
                  </pic:nvPicPr>
                  <pic:blipFill>
                    <a:blip r:embed="rId65" cstate="print"/>
                    <a:srcRect/>
                    <a:stretch>
                      <a:fillRect/>
                    </a:stretch>
                  </pic:blipFill>
                  <pic:spPr bwMode="auto">
                    <a:xfrm>
                      <a:off x="0" y="0"/>
                      <a:ext cx="2020238" cy="275467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E71797">
        <w:rPr>
          <w:noProof/>
          <w:lang w:val="fr-FR" w:eastAsia="fr-FR"/>
        </w:rPr>
        <w:drawing>
          <wp:inline distT="0" distB="0" distL="0" distR="0" wp14:anchorId="702B8DC6" wp14:editId="51EAD087">
            <wp:extent cx="2219325" cy="2752725"/>
            <wp:effectExtent l="133350" t="38100" r="47625" b="66675"/>
            <wp:docPr id="5" name="Image 67" descr="فوائد حبة البركة للجسم - موسوع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فوائد حبة البركة للجسم - موسوعة"/>
                    <pic:cNvPicPr>
                      <a:picLocks noChangeAspect="1" noChangeArrowheads="1"/>
                    </pic:cNvPicPr>
                  </pic:nvPicPr>
                  <pic:blipFill>
                    <a:blip r:embed="rId66"/>
                    <a:srcRect/>
                    <a:stretch>
                      <a:fillRect/>
                    </a:stretch>
                  </pic:blipFill>
                  <pic:spPr bwMode="auto">
                    <a:xfrm>
                      <a:off x="0" y="0"/>
                      <a:ext cx="2220427" cy="275409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87D5231" w14:textId="1ADFFC70" w:rsidR="00664D0A" w:rsidRPr="00F96B82" w:rsidRDefault="00664D0A" w:rsidP="00B139C3">
      <w:pPr>
        <w:rPr>
          <w:lang w:val="fr-FR"/>
        </w:rPr>
      </w:pPr>
      <w:bookmarkStart w:id="154" w:name="_Toc229617335"/>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46</w:t>
      </w:r>
      <w:r>
        <w:rPr>
          <w:noProof/>
        </w:rPr>
        <w:fldChar w:fldCharType="end"/>
      </w:r>
      <w:r w:rsidRPr="00F96B82">
        <w:rPr>
          <w:lang w:val="fr-FR"/>
        </w:rPr>
        <w:t xml:space="preserve"> : Nigella sativa</w:t>
      </w:r>
      <w:bookmarkEnd w:id="154"/>
    </w:p>
    <w:p w14:paraId="4AC6CB29" w14:textId="77777777" w:rsidR="00664D0A" w:rsidRPr="00664D0A" w:rsidRDefault="00664D0A" w:rsidP="00B139C3">
      <w:pPr>
        <w:rPr>
          <w:lang w:val="fr-FR"/>
        </w:rPr>
      </w:pPr>
    </w:p>
    <w:p w14:paraId="333E9562" w14:textId="5974F413" w:rsidR="00664D0A" w:rsidRPr="003766EB" w:rsidRDefault="00664D0A" w:rsidP="003766EB">
      <w:pPr>
        <w:rPr>
          <w:rFonts w:eastAsia="Times New Roman"/>
          <w:lang w:val="fr-FR" w:eastAsia="fr-FR"/>
        </w:rPr>
      </w:pPr>
      <w:r w:rsidRPr="00664D0A">
        <w:rPr>
          <w:lang w:val="fr-FR"/>
        </w:rPr>
        <w:lastRenderedPageBreak/>
        <w:t xml:space="preserve">Sur le plan chimique, </w:t>
      </w:r>
      <w:r w:rsidRPr="00664D0A">
        <w:rPr>
          <w:rFonts w:eastAsia="Times New Roman"/>
          <w:lang w:val="fr-FR" w:eastAsia="fr-FR"/>
        </w:rPr>
        <w:t>Le principe actif majeur est la thymoquinone</w:t>
      </w:r>
      <w:r w:rsidRPr="00664D0A">
        <w:rPr>
          <w:lang w:val="fr-FR"/>
        </w:rPr>
        <w:t xml:space="preserve"> cette plante était traditionnellement </w:t>
      </w:r>
      <w:r w:rsidRPr="00664D0A">
        <w:rPr>
          <w:rFonts w:eastAsia="Times New Roman"/>
          <w:lang w:val="fr-FR" w:eastAsia="fr-FR"/>
        </w:rPr>
        <w:t xml:space="preserve">"Remède contre tout sauf la mort". Utilisée pour l'immunité et </w:t>
      </w:r>
      <w:proofErr w:type="gramStart"/>
      <w:r w:rsidRPr="00664D0A">
        <w:rPr>
          <w:rFonts w:eastAsia="Times New Roman"/>
          <w:lang w:val="fr-FR" w:eastAsia="fr-FR"/>
        </w:rPr>
        <w:t>l'asthme.</w:t>
      </w:r>
      <w:r w:rsidRPr="00664D0A">
        <w:rPr>
          <w:lang w:val="fr-FR"/>
        </w:rPr>
        <w:t>ses</w:t>
      </w:r>
      <w:proofErr w:type="gramEnd"/>
      <w:r w:rsidRPr="00664D0A">
        <w:rPr>
          <w:lang w:val="fr-FR"/>
        </w:rPr>
        <w:t xml:space="preserve"> effets antidiabétiques </w:t>
      </w:r>
      <w:r w:rsidRPr="00664D0A">
        <w:rPr>
          <w:rFonts w:eastAsia="Times New Roman"/>
          <w:lang w:val="fr-FR" w:eastAsia="fr-FR"/>
        </w:rPr>
        <w:t>Elle réduit la résistance à l'insuline, stimule la régénération des cellules bêta pancréatiques et diminue l'abs</w:t>
      </w:r>
      <w:r w:rsidR="003766EB">
        <w:rPr>
          <w:rFonts w:eastAsia="Times New Roman"/>
          <w:lang w:val="fr-FR" w:eastAsia="fr-FR"/>
        </w:rPr>
        <w:t>orption intestinale du glucose.</w:t>
      </w:r>
    </w:p>
    <w:p w14:paraId="02F5929E" w14:textId="77777777" w:rsidR="00664D0A" w:rsidRPr="00664D0A" w:rsidRDefault="00664D0A" w:rsidP="001C2505">
      <w:pPr>
        <w:pStyle w:val="Heading2"/>
      </w:pPr>
      <w:bookmarkStart w:id="155" w:name="_Toc229618846"/>
      <w:r w:rsidRPr="00664D0A">
        <w:t>1-21/ Acetaceae (produit fermenté végétal) :</w:t>
      </w:r>
      <w:bookmarkEnd w:id="155"/>
    </w:p>
    <w:p w14:paraId="22066BDA" w14:textId="77777777" w:rsidR="00664D0A" w:rsidRPr="00664D0A" w:rsidRDefault="00664D0A" w:rsidP="001C2505">
      <w:pPr>
        <w:pStyle w:val="Heading3"/>
      </w:pPr>
      <w:r w:rsidRPr="00664D0A">
        <w:t xml:space="preserve"> 1-21-1/Vinaigre de cidre :</w:t>
      </w:r>
    </w:p>
    <w:p w14:paraId="6B64435E" w14:textId="77777777" w:rsidR="00664D0A" w:rsidRPr="00664D0A" w:rsidRDefault="00664D0A" w:rsidP="00B139C3">
      <w:pPr>
        <w:rPr>
          <w:lang w:val="fr-FR"/>
        </w:rPr>
      </w:pPr>
      <w:r w:rsidRPr="00664D0A">
        <w:rPr>
          <w:lang w:val="fr-FR"/>
        </w:rPr>
        <w:t>Le vinaigre de cidre est un produit fermenté fabriqué à partir de jus de pomme. Il est obtenu par deux étapes successives : une fermentation alcoolique, puis une fermentation acétique, ce qui donne un liquide acide contenant divers composés bioactifs.</w:t>
      </w:r>
    </w:p>
    <w:p w14:paraId="48BEDCFC" w14:textId="78B2B304" w:rsidR="00664D0A" w:rsidRDefault="00664D0A" w:rsidP="003766EB">
      <w:pPr>
        <w:rPr>
          <w:lang w:val="fr-FR"/>
        </w:rPr>
      </w:pPr>
      <w:r w:rsidRPr="00664D0A">
        <w:rPr>
          <w:lang w:val="fr-FR"/>
        </w:rPr>
        <w:t xml:space="preserve">Ce n’est pas une plante, mais un produit naturel issu de la fermentation. Il est couramment utilisé dans l’alimentation et dans certains contextes de médecine </w:t>
      </w:r>
      <w:proofErr w:type="gramStart"/>
      <w:r w:rsidRPr="00664D0A">
        <w:rPr>
          <w:lang w:val="fr-FR"/>
        </w:rPr>
        <w:t>traditionnelle;</w:t>
      </w:r>
      <w:proofErr w:type="gramEnd"/>
      <w:r w:rsidRPr="00664D0A">
        <w:rPr>
          <w:lang w:val="fr-FR"/>
        </w:rPr>
        <w:t xml:space="preserve"> on l’emploie pour ses effets possibles sur le métabolisme. Sur le plan chimique, sa composition repose surtout sur l’acide acétique. On y trouve aussi des polyphénols, des minéraux et d’autres acides organiques provenant de la pomme. </w:t>
      </w:r>
      <w:proofErr w:type="gramStart"/>
      <w:r w:rsidRPr="00664D0A">
        <w:rPr>
          <w:lang w:val="fr-FR"/>
        </w:rPr>
        <w:t>cette</w:t>
      </w:r>
      <w:proofErr w:type="gramEnd"/>
      <w:r w:rsidRPr="00664D0A">
        <w:rPr>
          <w:lang w:val="fr-FR"/>
        </w:rPr>
        <w:t xml:space="preserve"> plante était traditionnellement aide à la digestion et utilisé comme conservateur nature .pour ses effets antidiabétiques</w:t>
      </w:r>
      <w:r w:rsidRPr="00664D0A">
        <w:rPr>
          <w:rFonts w:eastAsia="Times New Roman"/>
          <w:lang w:val="fr-FR" w:eastAsia="fr-FR"/>
        </w:rPr>
        <w:t xml:space="preserve"> </w:t>
      </w:r>
      <w:r w:rsidRPr="00664D0A">
        <w:rPr>
          <w:lang w:val="fr-FR"/>
        </w:rPr>
        <w:t>le vinaigre de cidre pourrait ralentir la vidange gastrique et aider à atténuer les pics de glycémie après les repas, ce qui peut s’inscrire dans une approch</w:t>
      </w:r>
      <w:r w:rsidR="003766EB">
        <w:rPr>
          <w:lang w:val="fr-FR"/>
        </w:rPr>
        <w:t>e de régulation de la glycémie</w:t>
      </w:r>
    </w:p>
    <w:p w14:paraId="7A8A8BAC" w14:textId="301D42FE" w:rsidR="003766EB" w:rsidRDefault="003766EB" w:rsidP="003766EB">
      <w:pPr>
        <w:rPr>
          <w:lang w:val="fr-FR"/>
        </w:rPr>
      </w:pPr>
    </w:p>
    <w:p w14:paraId="6D9FC756" w14:textId="77777777" w:rsidR="003766EB" w:rsidRPr="003766EB" w:rsidRDefault="003766EB" w:rsidP="003766EB">
      <w:pPr>
        <w:rPr>
          <w:lang w:val="fr-FR"/>
        </w:rPr>
      </w:pPr>
    </w:p>
    <w:p w14:paraId="5D307BAC" w14:textId="7775AE75" w:rsidR="00664D0A" w:rsidRDefault="001C2505" w:rsidP="001C2505">
      <w:pPr>
        <w:pStyle w:val="Heading1"/>
        <w:rPr>
          <w:shd w:val="clear" w:color="auto" w:fill="FFFFFF"/>
          <w:rtl/>
        </w:rPr>
      </w:pPr>
      <w:bookmarkStart w:id="156" w:name="_Toc229618847"/>
      <w:r>
        <w:rPr>
          <w:sz w:val="27"/>
          <w:szCs w:val="27"/>
        </w:rPr>
        <w:t>2</w:t>
      </w:r>
      <w:r w:rsidR="00664D0A" w:rsidRPr="00664D0A">
        <w:rPr>
          <w:shd w:val="clear" w:color="auto" w:fill="FFFFFF"/>
        </w:rPr>
        <w:t xml:space="preserve">/les plantes les plus utilisées chez les patients diabétiques à Laghouat et au Nord </w:t>
      </w:r>
      <w:proofErr w:type="gramStart"/>
      <w:r w:rsidR="00664D0A" w:rsidRPr="00664D0A">
        <w:rPr>
          <w:shd w:val="clear" w:color="auto" w:fill="FFFFFF"/>
        </w:rPr>
        <w:t>et  sud</w:t>
      </w:r>
      <w:proofErr w:type="gramEnd"/>
      <w:r w:rsidR="00664D0A">
        <w:rPr>
          <w:rFonts w:hint="cs"/>
          <w:shd w:val="clear" w:color="auto" w:fill="FFFFFF"/>
          <w:rtl/>
        </w:rPr>
        <w:t xml:space="preserve"> </w:t>
      </w:r>
      <w:r w:rsidR="00664D0A" w:rsidRPr="00664D0A">
        <w:rPr>
          <w:shd w:val="clear" w:color="auto" w:fill="FFFFFF"/>
        </w:rPr>
        <w:t>algériens :</w:t>
      </w:r>
      <w:bookmarkEnd w:id="156"/>
      <w:r w:rsidR="00664D0A" w:rsidRPr="00664D0A">
        <w:rPr>
          <w:shd w:val="clear" w:color="auto" w:fill="FFFFFF"/>
        </w:rPr>
        <w:t xml:space="preserve"> </w:t>
      </w:r>
    </w:p>
    <w:p w14:paraId="739D9CD3" w14:textId="48515E83" w:rsidR="00664D0A" w:rsidRPr="001C2505" w:rsidRDefault="00664D0A" w:rsidP="001C2505">
      <w:pPr>
        <w:rPr>
          <w:sz w:val="36"/>
          <w:szCs w:val="36"/>
          <w:shd w:val="clear" w:color="auto" w:fill="FFFFFF"/>
          <w:lang w:val="fr-FR"/>
        </w:rPr>
      </w:pPr>
      <w:r w:rsidRPr="00664D0A">
        <w:rPr>
          <w:lang w:val="fr-FR"/>
        </w:rPr>
        <w:t xml:space="preserve">L'utilisation des plantes médicinales occupe une place centrale dans la culture algérienne, où la phytothérapie est souvent perçue comme une alternative ou un complément indispensable à la médecine moderne. Ce recours massif à la "pharmacie verte" s'explique par la richesse de la biodiversité locale et la transmission ancestrale des savoirs thérapeutiques. Que ce soit pour des raisons </w:t>
      </w:r>
      <w:proofErr w:type="gramStart"/>
      <w:r w:rsidRPr="00664D0A">
        <w:rPr>
          <w:lang w:val="fr-FR"/>
        </w:rPr>
        <w:t>économiques  ou</w:t>
      </w:r>
      <w:proofErr w:type="gramEnd"/>
      <w:r w:rsidRPr="00664D0A">
        <w:rPr>
          <w:lang w:val="fr-FR"/>
        </w:rPr>
        <w:t xml:space="preserve"> par conviction en l'efficacité de la nature, les Algériens maintiennent un lien profond avec les remèdes traditionnels. En croisant les pratiques de la wilaya de Laghouat avec les données scientifiques du Nord et du Sud, nous avons réussi à regrouper les plantes les plus fréquemment utilisées dans l'ensemble de ces zones.</w:t>
      </w:r>
    </w:p>
    <w:p w14:paraId="009636B4" w14:textId="25AF2FDF" w:rsidR="00664D0A" w:rsidRPr="00F96B82" w:rsidRDefault="00664D0A" w:rsidP="00B139C3">
      <w:pPr>
        <w:rPr>
          <w:rFonts w:eastAsia="Times New Roman"/>
          <w:sz w:val="27"/>
          <w:szCs w:val="27"/>
          <w:lang w:val="fr-FR" w:eastAsia="fr-FR" w:bidi="ar-DZ"/>
        </w:rPr>
      </w:pPr>
    </w:p>
    <w:p w14:paraId="4CCC3AC7" w14:textId="51F7CA0B" w:rsidR="003766EB" w:rsidRPr="00F96B82" w:rsidRDefault="003766EB" w:rsidP="00B139C3">
      <w:pPr>
        <w:rPr>
          <w:rFonts w:eastAsia="Times New Roman"/>
          <w:sz w:val="27"/>
          <w:szCs w:val="27"/>
          <w:lang w:val="fr-FR" w:eastAsia="fr-FR" w:bidi="ar-DZ"/>
        </w:rPr>
      </w:pPr>
    </w:p>
    <w:p w14:paraId="2A0EFB76" w14:textId="1BD1B430" w:rsidR="003766EB" w:rsidRPr="00F96B82" w:rsidRDefault="003766EB" w:rsidP="00B139C3">
      <w:pPr>
        <w:rPr>
          <w:rFonts w:eastAsia="Times New Roman"/>
          <w:sz w:val="27"/>
          <w:szCs w:val="27"/>
          <w:lang w:val="fr-FR" w:eastAsia="fr-FR" w:bidi="ar-DZ"/>
        </w:rPr>
      </w:pPr>
    </w:p>
    <w:p w14:paraId="56FA5281" w14:textId="5C3BFA20" w:rsidR="003766EB" w:rsidRPr="00F96B82" w:rsidRDefault="003766EB" w:rsidP="00B139C3">
      <w:pPr>
        <w:rPr>
          <w:rFonts w:eastAsia="Times New Roman"/>
          <w:sz w:val="27"/>
          <w:szCs w:val="27"/>
          <w:lang w:val="fr-FR" w:eastAsia="fr-FR" w:bidi="ar-DZ"/>
        </w:rPr>
      </w:pPr>
    </w:p>
    <w:p w14:paraId="03F7809C" w14:textId="77777777" w:rsidR="003766EB" w:rsidRDefault="003766EB" w:rsidP="00B139C3">
      <w:pPr>
        <w:rPr>
          <w:rFonts w:eastAsia="Times New Roman"/>
          <w:sz w:val="27"/>
          <w:szCs w:val="27"/>
          <w:rtl/>
          <w:lang w:eastAsia="fr-FR" w:bidi="ar-DZ"/>
        </w:rPr>
      </w:pPr>
    </w:p>
    <w:p w14:paraId="72BC7F8B" w14:textId="04EC4B94" w:rsidR="001C2505" w:rsidRDefault="001C2505" w:rsidP="001C2505">
      <w:pPr>
        <w:pStyle w:val="Caption"/>
        <w:keepNext/>
      </w:pPr>
      <w:bookmarkStart w:id="157" w:name="_Toc229617372"/>
      <w:r>
        <w:lastRenderedPageBreak/>
        <w:t xml:space="preserve">Tableau </w:t>
      </w:r>
      <w:r>
        <w:fldChar w:fldCharType="begin"/>
      </w:r>
      <w:r>
        <w:instrText xml:space="preserve"> SEQ Tableau \* ARABIC </w:instrText>
      </w:r>
      <w:r>
        <w:fldChar w:fldCharType="separate"/>
      </w:r>
      <w:r w:rsidR="00983108">
        <w:rPr>
          <w:noProof/>
        </w:rPr>
        <w:t>11</w:t>
      </w:r>
      <w:r>
        <w:fldChar w:fldCharType="end"/>
      </w:r>
      <w:r>
        <w:t xml:space="preserve"> l</w:t>
      </w:r>
      <w:r w:rsidRPr="00A244AD">
        <w:t>es Plantes Médicales Utilisées contre le Diabète en Algérie (Laghouat, Nord et Sud)</w:t>
      </w:r>
      <w:bookmarkEnd w:id="157"/>
    </w:p>
    <w:tbl>
      <w:tblPr>
        <w:tblW w:w="0" w:type="auto"/>
        <w:tblLook w:val="04A0" w:firstRow="1" w:lastRow="0" w:firstColumn="1" w:lastColumn="0" w:noHBand="0" w:noVBand="1"/>
      </w:tblPr>
      <w:tblGrid>
        <w:gridCol w:w="1822"/>
        <w:gridCol w:w="2428"/>
        <w:gridCol w:w="2331"/>
        <w:gridCol w:w="2491"/>
      </w:tblGrid>
      <w:tr w:rsidR="00664D0A" w:rsidRPr="0070364B" w14:paraId="5C580060" w14:textId="77777777" w:rsidTr="00784D29">
        <w:tc>
          <w:tcPr>
            <w:tcW w:w="0" w:type="auto"/>
            <w:hideMark/>
          </w:tcPr>
          <w:p w14:paraId="1DBD482C"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lang w:eastAsia="fr-FR"/>
              </w:rPr>
              <w:t>Famille Botanique</w:t>
            </w:r>
          </w:p>
        </w:tc>
        <w:tc>
          <w:tcPr>
            <w:tcW w:w="0" w:type="auto"/>
            <w:hideMark/>
          </w:tcPr>
          <w:p w14:paraId="01867CFB" w14:textId="77777777" w:rsidR="00664D0A" w:rsidRPr="0070364B" w:rsidRDefault="00664D0A" w:rsidP="00B139C3">
            <w:pPr>
              <w:rPr>
                <w:rFonts w:ascii="Times New Roman" w:eastAsia="Times New Roman" w:hAnsi="Times New Roman" w:cs="Times New Roman"/>
                <w:color w:val="1F1F1F"/>
                <w:lang w:eastAsia="fr-FR"/>
              </w:rPr>
            </w:pPr>
            <w:r>
              <w:rPr>
                <w:rFonts w:ascii="Times New Roman" w:eastAsia="Times New Roman" w:hAnsi="Times New Roman" w:cs="Times New Roman"/>
                <w:color w:val="1F1F1F"/>
                <w:lang w:eastAsia="fr-FR"/>
              </w:rPr>
              <w:t xml:space="preserve">Laghouat </w:t>
            </w:r>
          </w:p>
        </w:tc>
        <w:tc>
          <w:tcPr>
            <w:tcW w:w="0" w:type="auto"/>
            <w:hideMark/>
          </w:tcPr>
          <w:p w14:paraId="1F75629E"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lang w:eastAsia="fr-FR"/>
              </w:rPr>
              <w:t>Nord Algérien (Études 2019-2025)</w:t>
            </w:r>
          </w:p>
        </w:tc>
        <w:tc>
          <w:tcPr>
            <w:tcW w:w="0" w:type="auto"/>
            <w:hideMark/>
          </w:tcPr>
          <w:p w14:paraId="755516C9"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lang w:eastAsia="fr-FR"/>
              </w:rPr>
              <w:t>Sud Algérien (Études 2019-2025)</w:t>
            </w:r>
          </w:p>
        </w:tc>
      </w:tr>
      <w:tr w:rsidR="00664D0A" w:rsidRPr="00116A61" w14:paraId="119CCE68" w14:textId="77777777" w:rsidTr="00784D29">
        <w:tc>
          <w:tcPr>
            <w:tcW w:w="0" w:type="auto"/>
            <w:hideMark/>
          </w:tcPr>
          <w:p w14:paraId="37133752"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Lamiaceae</w:t>
            </w:r>
          </w:p>
        </w:tc>
        <w:tc>
          <w:tcPr>
            <w:tcW w:w="0" w:type="auto"/>
            <w:hideMark/>
          </w:tcPr>
          <w:p w14:paraId="773E1376"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Romarin, Germandrée, Thym, Menthe, Sauge, Marjolaine, Iva</w:t>
            </w:r>
          </w:p>
        </w:tc>
        <w:tc>
          <w:tcPr>
            <w:tcW w:w="0" w:type="auto"/>
            <w:hideMark/>
          </w:tcPr>
          <w:p w14:paraId="237D8B6F" w14:textId="77777777" w:rsidR="00664D0A" w:rsidRPr="0080119A" w:rsidRDefault="00664D0A" w:rsidP="00B139C3">
            <w:pPr>
              <w:rPr>
                <w:rFonts w:ascii="Times New Roman" w:eastAsia="Times New Roman" w:hAnsi="Times New Roman" w:cs="Times New Roman"/>
                <w:color w:val="1F1F1F"/>
                <w:lang w:val="fr-FR" w:eastAsia="fr-FR"/>
              </w:rPr>
            </w:pPr>
            <w:r w:rsidRPr="0080119A">
              <w:rPr>
                <w:rFonts w:ascii="Times New Roman" w:eastAsia="Times New Roman" w:hAnsi="Times New Roman" w:cs="Times New Roman"/>
                <w:color w:val="1F1F1F"/>
                <w:bdr w:val="none" w:sz="0" w:space="0" w:color="auto" w:frame="1"/>
                <w:lang w:val="fr-FR" w:eastAsia="fr-FR"/>
              </w:rPr>
              <w:t>Sauge, Thym, Romarin, Marjolaine, Menthe poivrée, Lavande</w:t>
            </w:r>
          </w:p>
        </w:tc>
        <w:tc>
          <w:tcPr>
            <w:tcW w:w="0" w:type="auto"/>
            <w:hideMark/>
          </w:tcPr>
          <w:p w14:paraId="225AD4A7" w14:textId="77777777" w:rsidR="00664D0A" w:rsidRPr="0080119A" w:rsidRDefault="00664D0A" w:rsidP="00B139C3">
            <w:pPr>
              <w:rPr>
                <w:rFonts w:ascii="Times New Roman" w:eastAsia="Times New Roman" w:hAnsi="Times New Roman" w:cs="Times New Roman"/>
                <w:color w:val="1F1F1F"/>
                <w:lang w:val="fr-FR" w:eastAsia="fr-FR"/>
              </w:rPr>
            </w:pPr>
            <w:r w:rsidRPr="0080119A">
              <w:rPr>
                <w:rFonts w:ascii="Times New Roman" w:eastAsia="Times New Roman" w:hAnsi="Times New Roman" w:cs="Times New Roman"/>
                <w:color w:val="1F1F1F"/>
                <w:bdr w:val="none" w:sz="0" w:space="0" w:color="auto" w:frame="1"/>
                <w:lang w:val="fr-FR" w:eastAsia="fr-FR"/>
              </w:rPr>
              <w:t>Germandrée (Djaïda), Thym saharien, Menthe sauvage, Origan</w:t>
            </w:r>
          </w:p>
        </w:tc>
      </w:tr>
      <w:tr w:rsidR="00664D0A" w:rsidRPr="00116A61" w14:paraId="47F2BFD4" w14:textId="77777777" w:rsidTr="00784D29">
        <w:tc>
          <w:tcPr>
            <w:tcW w:w="0" w:type="auto"/>
            <w:hideMark/>
          </w:tcPr>
          <w:p w14:paraId="47A7270D"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Asteraceae</w:t>
            </w:r>
          </w:p>
        </w:tc>
        <w:tc>
          <w:tcPr>
            <w:tcW w:w="0" w:type="auto"/>
            <w:hideMark/>
          </w:tcPr>
          <w:p w14:paraId="7291EB32" w14:textId="77777777" w:rsidR="00664D0A" w:rsidRPr="0080119A" w:rsidRDefault="00664D0A" w:rsidP="00B139C3">
            <w:pPr>
              <w:rPr>
                <w:rFonts w:ascii="Times New Roman" w:eastAsia="Times New Roman" w:hAnsi="Times New Roman" w:cs="Times New Roman"/>
                <w:color w:val="1F1F1F"/>
                <w:lang w:val="fr-FR" w:eastAsia="fr-FR"/>
              </w:rPr>
            </w:pPr>
            <w:r w:rsidRPr="0080119A">
              <w:rPr>
                <w:rFonts w:ascii="Times New Roman" w:eastAsia="Times New Roman" w:hAnsi="Times New Roman" w:cs="Times New Roman"/>
                <w:color w:val="1F1F1F"/>
                <w:bdr w:val="none" w:sz="0" w:space="0" w:color="auto" w:frame="1"/>
                <w:lang w:val="fr-FR" w:eastAsia="fr-FR"/>
              </w:rPr>
              <w:t>Armoise (Chih), Camomille, Matricaire, Costus indien</w:t>
            </w:r>
          </w:p>
        </w:tc>
        <w:tc>
          <w:tcPr>
            <w:tcW w:w="0" w:type="auto"/>
            <w:hideMark/>
          </w:tcPr>
          <w:p w14:paraId="62F8D652" w14:textId="77777777" w:rsidR="00664D0A" w:rsidRPr="0080119A" w:rsidRDefault="00664D0A" w:rsidP="00B139C3">
            <w:pPr>
              <w:rPr>
                <w:rFonts w:ascii="Times New Roman" w:eastAsia="Times New Roman" w:hAnsi="Times New Roman" w:cs="Times New Roman"/>
                <w:color w:val="1F1F1F"/>
                <w:lang w:val="fr-FR" w:eastAsia="fr-FR"/>
              </w:rPr>
            </w:pPr>
            <w:r w:rsidRPr="0080119A">
              <w:rPr>
                <w:rFonts w:ascii="Times New Roman" w:eastAsia="Times New Roman" w:hAnsi="Times New Roman" w:cs="Times New Roman"/>
                <w:color w:val="1F1F1F"/>
                <w:bdr w:val="none" w:sz="0" w:space="0" w:color="auto" w:frame="1"/>
                <w:lang w:val="fr-FR" w:eastAsia="fr-FR"/>
              </w:rPr>
              <w:t>Armoise (Chih), Artichaut sauvage, Chardon-Marie, Pissenlit</w:t>
            </w:r>
          </w:p>
        </w:tc>
        <w:tc>
          <w:tcPr>
            <w:tcW w:w="0" w:type="auto"/>
            <w:hideMark/>
          </w:tcPr>
          <w:p w14:paraId="7F42FD0C" w14:textId="77777777" w:rsidR="00664D0A" w:rsidRPr="0080119A" w:rsidRDefault="00664D0A" w:rsidP="00B139C3">
            <w:pPr>
              <w:rPr>
                <w:rFonts w:ascii="Times New Roman" w:eastAsia="Times New Roman" w:hAnsi="Times New Roman" w:cs="Times New Roman"/>
                <w:color w:val="1F1F1F"/>
                <w:lang w:val="fr-FR" w:eastAsia="fr-FR"/>
              </w:rPr>
            </w:pPr>
            <w:r w:rsidRPr="0080119A">
              <w:rPr>
                <w:rFonts w:ascii="Times New Roman" w:eastAsia="Times New Roman" w:hAnsi="Times New Roman" w:cs="Times New Roman"/>
                <w:color w:val="1F1F1F"/>
                <w:bdr w:val="none" w:sz="0" w:space="0" w:color="auto" w:frame="1"/>
                <w:lang w:val="fr-FR" w:eastAsia="fr-FR"/>
              </w:rPr>
              <w:t>Armoise (Chih), Laiteron (Tifaf), Centaurée, Ammi visnaga</w:t>
            </w:r>
          </w:p>
        </w:tc>
      </w:tr>
      <w:tr w:rsidR="00664D0A" w:rsidRPr="0070364B" w14:paraId="6CFD997F" w14:textId="77777777" w:rsidTr="00784D29">
        <w:tc>
          <w:tcPr>
            <w:tcW w:w="0" w:type="auto"/>
            <w:hideMark/>
          </w:tcPr>
          <w:p w14:paraId="46B5F544"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Apiaceae</w:t>
            </w:r>
          </w:p>
        </w:tc>
        <w:tc>
          <w:tcPr>
            <w:tcW w:w="0" w:type="auto"/>
            <w:hideMark/>
          </w:tcPr>
          <w:p w14:paraId="4D8F15F5"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Coriandre, Fenouil, Cumin</w:t>
            </w:r>
          </w:p>
        </w:tc>
        <w:tc>
          <w:tcPr>
            <w:tcW w:w="0" w:type="auto"/>
            <w:hideMark/>
          </w:tcPr>
          <w:p w14:paraId="054A3332"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Fenouil, Persil, Céleri sauvage</w:t>
            </w:r>
          </w:p>
        </w:tc>
        <w:tc>
          <w:tcPr>
            <w:tcW w:w="0" w:type="auto"/>
            <w:hideMark/>
          </w:tcPr>
          <w:p w14:paraId="0A9ABAD1"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Fenouil (Besbass), Cumin, Anis vert</w:t>
            </w:r>
          </w:p>
        </w:tc>
      </w:tr>
      <w:tr w:rsidR="00664D0A" w:rsidRPr="0070364B" w14:paraId="001AB526" w14:textId="77777777" w:rsidTr="00784D29">
        <w:tc>
          <w:tcPr>
            <w:tcW w:w="0" w:type="auto"/>
            <w:hideMark/>
          </w:tcPr>
          <w:p w14:paraId="57F69878"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Cucurbitaceae</w:t>
            </w:r>
          </w:p>
        </w:tc>
        <w:tc>
          <w:tcPr>
            <w:tcW w:w="0" w:type="auto"/>
            <w:hideMark/>
          </w:tcPr>
          <w:p w14:paraId="2A440CD6"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Coloquinte (Handhal)</w:t>
            </w:r>
          </w:p>
        </w:tc>
        <w:tc>
          <w:tcPr>
            <w:tcW w:w="0" w:type="auto"/>
            <w:hideMark/>
          </w:tcPr>
          <w:p w14:paraId="0FAD2E09"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Coloquinte, Courge (graines)</w:t>
            </w:r>
          </w:p>
        </w:tc>
        <w:tc>
          <w:tcPr>
            <w:tcW w:w="0" w:type="auto"/>
            <w:hideMark/>
          </w:tcPr>
          <w:p w14:paraId="01CBBCE8"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Coloquinte (Handhal), Ecballium (Feggous el hmir)</w:t>
            </w:r>
          </w:p>
        </w:tc>
      </w:tr>
      <w:tr w:rsidR="00664D0A" w:rsidRPr="0070364B" w14:paraId="35DD54CF" w14:textId="77777777" w:rsidTr="00784D29">
        <w:tc>
          <w:tcPr>
            <w:tcW w:w="0" w:type="auto"/>
            <w:hideMark/>
          </w:tcPr>
          <w:p w14:paraId="1BA4345F"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Fabaceae</w:t>
            </w:r>
          </w:p>
        </w:tc>
        <w:tc>
          <w:tcPr>
            <w:tcW w:w="0" w:type="auto"/>
            <w:hideMark/>
          </w:tcPr>
          <w:p w14:paraId="0579E884"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Fenugrec (Helba)</w:t>
            </w:r>
          </w:p>
        </w:tc>
        <w:tc>
          <w:tcPr>
            <w:tcW w:w="0" w:type="auto"/>
            <w:hideMark/>
          </w:tcPr>
          <w:p w14:paraId="30D9C886"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Fenugrec (Helba), Fèves (Cosses), Caroubier</w:t>
            </w:r>
          </w:p>
        </w:tc>
        <w:tc>
          <w:tcPr>
            <w:tcW w:w="0" w:type="auto"/>
            <w:hideMark/>
          </w:tcPr>
          <w:p w14:paraId="2DEE9BD7"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Fenugrec (Helba), Acacia (Gomme arabique), Luzerne</w:t>
            </w:r>
          </w:p>
        </w:tc>
      </w:tr>
      <w:tr w:rsidR="00664D0A" w:rsidRPr="0070364B" w14:paraId="54461633" w14:textId="77777777" w:rsidTr="00784D29">
        <w:tc>
          <w:tcPr>
            <w:tcW w:w="0" w:type="auto"/>
            <w:hideMark/>
          </w:tcPr>
          <w:p w14:paraId="070B4A8A"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Oleaceae</w:t>
            </w:r>
          </w:p>
        </w:tc>
        <w:tc>
          <w:tcPr>
            <w:tcW w:w="0" w:type="auto"/>
            <w:hideMark/>
          </w:tcPr>
          <w:p w14:paraId="57375298"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Feuilles d'olivier</w:t>
            </w:r>
          </w:p>
        </w:tc>
        <w:tc>
          <w:tcPr>
            <w:tcW w:w="0" w:type="auto"/>
            <w:hideMark/>
          </w:tcPr>
          <w:p w14:paraId="00686F7C"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Feuilles d'olivier (Zitoun)</w:t>
            </w:r>
          </w:p>
        </w:tc>
        <w:tc>
          <w:tcPr>
            <w:tcW w:w="0" w:type="auto"/>
            <w:hideMark/>
          </w:tcPr>
          <w:p w14:paraId="4189887E"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Frêne (Dardar)</w:t>
            </w:r>
          </w:p>
        </w:tc>
      </w:tr>
      <w:tr w:rsidR="00664D0A" w:rsidRPr="0070364B" w14:paraId="4F48F7F2" w14:textId="77777777" w:rsidTr="00784D29">
        <w:tc>
          <w:tcPr>
            <w:tcW w:w="0" w:type="auto"/>
            <w:hideMark/>
          </w:tcPr>
          <w:p w14:paraId="1FCE953F"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Lauraceae</w:t>
            </w:r>
          </w:p>
        </w:tc>
        <w:tc>
          <w:tcPr>
            <w:tcW w:w="0" w:type="auto"/>
            <w:hideMark/>
          </w:tcPr>
          <w:p w14:paraId="534048E2"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Cannelle, Laurier sauce</w:t>
            </w:r>
          </w:p>
        </w:tc>
        <w:tc>
          <w:tcPr>
            <w:tcW w:w="0" w:type="auto"/>
            <w:hideMark/>
          </w:tcPr>
          <w:p w14:paraId="6438EC60"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Cannelle, Laurier sauce</w:t>
            </w:r>
          </w:p>
        </w:tc>
        <w:tc>
          <w:tcPr>
            <w:tcW w:w="0" w:type="auto"/>
            <w:hideMark/>
          </w:tcPr>
          <w:p w14:paraId="76D11CC0"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Cannelle</w:t>
            </w:r>
          </w:p>
        </w:tc>
      </w:tr>
      <w:tr w:rsidR="00664D0A" w:rsidRPr="0070364B" w14:paraId="6400E3C7" w14:textId="77777777" w:rsidTr="00784D29">
        <w:tc>
          <w:tcPr>
            <w:tcW w:w="0" w:type="auto"/>
            <w:hideMark/>
          </w:tcPr>
          <w:p w14:paraId="3D5CE50B"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Amaryllidaceae</w:t>
            </w:r>
          </w:p>
        </w:tc>
        <w:tc>
          <w:tcPr>
            <w:tcW w:w="0" w:type="auto"/>
            <w:hideMark/>
          </w:tcPr>
          <w:p w14:paraId="2FCBA094"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Ail</w:t>
            </w:r>
          </w:p>
        </w:tc>
        <w:tc>
          <w:tcPr>
            <w:tcW w:w="0" w:type="auto"/>
            <w:hideMark/>
          </w:tcPr>
          <w:p w14:paraId="31DC0F7B"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Oignon, Ail, Poireau</w:t>
            </w:r>
          </w:p>
        </w:tc>
        <w:tc>
          <w:tcPr>
            <w:tcW w:w="0" w:type="auto"/>
            <w:hideMark/>
          </w:tcPr>
          <w:p w14:paraId="624AA09F"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Ail</w:t>
            </w:r>
          </w:p>
        </w:tc>
      </w:tr>
      <w:tr w:rsidR="00664D0A" w:rsidRPr="0070364B" w14:paraId="1800C0E2" w14:textId="77777777" w:rsidTr="00784D29">
        <w:tc>
          <w:tcPr>
            <w:tcW w:w="0" w:type="auto"/>
            <w:hideMark/>
          </w:tcPr>
          <w:p w14:paraId="112F3857"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Ranunculaceae</w:t>
            </w:r>
          </w:p>
        </w:tc>
        <w:tc>
          <w:tcPr>
            <w:tcW w:w="0" w:type="auto"/>
            <w:hideMark/>
          </w:tcPr>
          <w:p w14:paraId="5B911C6C"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Nigelle (Sanouj)</w:t>
            </w:r>
          </w:p>
        </w:tc>
        <w:tc>
          <w:tcPr>
            <w:tcW w:w="0" w:type="auto"/>
            <w:hideMark/>
          </w:tcPr>
          <w:p w14:paraId="68FC4BA0"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Nigelle</w:t>
            </w:r>
          </w:p>
        </w:tc>
        <w:tc>
          <w:tcPr>
            <w:tcW w:w="0" w:type="auto"/>
            <w:hideMark/>
          </w:tcPr>
          <w:p w14:paraId="31EE24A6"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Nigelle (Sanouj)</w:t>
            </w:r>
          </w:p>
        </w:tc>
      </w:tr>
      <w:tr w:rsidR="00664D0A" w:rsidRPr="0070364B" w14:paraId="20EFB6D2" w14:textId="77777777" w:rsidTr="00784D29">
        <w:tc>
          <w:tcPr>
            <w:tcW w:w="0" w:type="auto"/>
            <w:hideMark/>
          </w:tcPr>
          <w:p w14:paraId="6FF46A00"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Zingiberaceae</w:t>
            </w:r>
          </w:p>
        </w:tc>
        <w:tc>
          <w:tcPr>
            <w:tcW w:w="0" w:type="auto"/>
            <w:hideMark/>
          </w:tcPr>
          <w:p w14:paraId="0E938248"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Gingembre</w:t>
            </w:r>
          </w:p>
        </w:tc>
        <w:tc>
          <w:tcPr>
            <w:tcW w:w="0" w:type="auto"/>
            <w:hideMark/>
          </w:tcPr>
          <w:p w14:paraId="4BF9B66F"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Gingembre</w:t>
            </w:r>
          </w:p>
        </w:tc>
        <w:tc>
          <w:tcPr>
            <w:tcW w:w="0" w:type="auto"/>
            <w:hideMark/>
          </w:tcPr>
          <w:p w14:paraId="45D89598"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Gingembre, Galanga, Curcuma</w:t>
            </w:r>
          </w:p>
        </w:tc>
      </w:tr>
      <w:tr w:rsidR="00664D0A" w:rsidRPr="0070364B" w14:paraId="371C6CEE" w14:textId="77777777" w:rsidTr="00784D29">
        <w:tc>
          <w:tcPr>
            <w:tcW w:w="0" w:type="auto"/>
            <w:hideMark/>
          </w:tcPr>
          <w:p w14:paraId="27455E86"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Rutaceae</w:t>
            </w:r>
          </w:p>
        </w:tc>
        <w:tc>
          <w:tcPr>
            <w:tcW w:w="0" w:type="auto"/>
            <w:hideMark/>
          </w:tcPr>
          <w:p w14:paraId="2B47F20E"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Citron (Zestes)</w:t>
            </w:r>
          </w:p>
        </w:tc>
        <w:tc>
          <w:tcPr>
            <w:tcW w:w="0" w:type="auto"/>
            <w:hideMark/>
          </w:tcPr>
          <w:p w14:paraId="021DBF7B" w14:textId="77777777" w:rsidR="00664D0A" w:rsidRPr="0080119A" w:rsidRDefault="00664D0A" w:rsidP="00B139C3">
            <w:pPr>
              <w:rPr>
                <w:rFonts w:ascii="Times New Roman" w:eastAsia="Times New Roman" w:hAnsi="Times New Roman" w:cs="Times New Roman"/>
                <w:color w:val="1F1F1F"/>
                <w:lang w:val="fr-FR" w:eastAsia="fr-FR"/>
              </w:rPr>
            </w:pPr>
            <w:r w:rsidRPr="0080119A">
              <w:rPr>
                <w:rFonts w:ascii="Times New Roman" w:eastAsia="Times New Roman" w:hAnsi="Times New Roman" w:cs="Times New Roman"/>
                <w:color w:val="1F1F1F"/>
                <w:bdr w:val="none" w:sz="0" w:space="0" w:color="auto" w:frame="1"/>
                <w:lang w:val="fr-FR" w:eastAsia="fr-FR"/>
              </w:rPr>
              <w:t>Rue officinale (Fidjel), Oranger (Feuilles)</w:t>
            </w:r>
          </w:p>
        </w:tc>
        <w:tc>
          <w:tcPr>
            <w:tcW w:w="0" w:type="auto"/>
            <w:hideMark/>
          </w:tcPr>
          <w:p w14:paraId="4A479498"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Rue officinale</w:t>
            </w:r>
          </w:p>
        </w:tc>
      </w:tr>
      <w:tr w:rsidR="00664D0A" w:rsidRPr="0070364B" w14:paraId="60E24AD9" w14:textId="77777777" w:rsidTr="00784D29">
        <w:tc>
          <w:tcPr>
            <w:tcW w:w="0" w:type="auto"/>
            <w:hideMark/>
          </w:tcPr>
          <w:p w14:paraId="588BAB8B"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Myrtaceae</w:t>
            </w:r>
          </w:p>
        </w:tc>
        <w:tc>
          <w:tcPr>
            <w:tcW w:w="0" w:type="auto"/>
            <w:hideMark/>
          </w:tcPr>
          <w:p w14:paraId="0140DF79"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w:t>
            </w:r>
          </w:p>
        </w:tc>
        <w:tc>
          <w:tcPr>
            <w:tcW w:w="0" w:type="auto"/>
            <w:hideMark/>
          </w:tcPr>
          <w:p w14:paraId="30C9CE9E"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Myrte (Rihane), Eucalyptus</w:t>
            </w:r>
          </w:p>
        </w:tc>
        <w:tc>
          <w:tcPr>
            <w:tcW w:w="0" w:type="auto"/>
            <w:hideMark/>
          </w:tcPr>
          <w:p w14:paraId="49085CF0"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Eucalyptus</w:t>
            </w:r>
          </w:p>
        </w:tc>
      </w:tr>
      <w:tr w:rsidR="00664D0A" w:rsidRPr="0070364B" w14:paraId="1FC4650B" w14:textId="77777777" w:rsidTr="00784D29">
        <w:tc>
          <w:tcPr>
            <w:tcW w:w="0" w:type="auto"/>
            <w:hideMark/>
          </w:tcPr>
          <w:p w14:paraId="645E5F51"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Zygophyllaceae</w:t>
            </w:r>
          </w:p>
        </w:tc>
        <w:tc>
          <w:tcPr>
            <w:tcW w:w="0" w:type="auto"/>
            <w:hideMark/>
          </w:tcPr>
          <w:p w14:paraId="137B8344"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w:t>
            </w:r>
          </w:p>
        </w:tc>
        <w:tc>
          <w:tcPr>
            <w:tcW w:w="0" w:type="auto"/>
            <w:hideMark/>
          </w:tcPr>
          <w:p w14:paraId="04677D35"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w:t>
            </w:r>
          </w:p>
        </w:tc>
        <w:tc>
          <w:tcPr>
            <w:tcW w:w="0" w:type="auto"/>
            <w:hideMark/>
          </w:tcPr>
          <w:p w14:paraId="113B01E5"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Zygophyllum (Agaya), Peganum (Harmel)</w:t>
            </w:r>
          </w:p>
        </w:tc>
      </w:tr>
      <w:tr w:rsidR="00664D0A" w:rsidRPr="0070364B" w14:paraId="0517B71B" w14:textId="77777777" w:rsidTr="00784D29">
        <w:tc>
          <w:tcPr>
            <w:tcW w:w="0" w:type="auto"/>
            <w:hideMark/>
          </w:tcPr>
          <w:p w14:paraId="4C6508F9"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Rosaceae</w:t>
            </w:r>
          </w:p>
        </w:tc>
        <w:tc>
          <w:tcPr>
            <w:tcW w:w="0" w:type="auto"/>
            <w:hideMark/>
          </w:tcPr>
          <w:p w14:paraId="5B161837"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Feuilles de pêcher</w:t>
            </w:r>
          </w:p>
        </w:tc>
        <w:tc>
          <w:tcPr>
            <w:tcW w:w="0" w:type="auto"/>
            <w:hideMark/>
          </w:tcPr>
          <w:p w14:paraId="79ABD510"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Églantier, Amandier (Feuilles)</w:t>
            </w:r>
          </w:p>
        </w:tc>
        <w:tc>
          <w:tcPr>
            <w:tcW w:w="0" w:type="auto"/>
            <w:hideMark/>
          </w:tcPr>
          <w:p w14:paraId="5019B3E8"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w:t>
            </w:r>
          </w:p>
        </w:tc>
      </w:tr>
      <w:tr w:rsidR="00664D0A" w:rsidRPr="0070364B" w14:paraId="59BC9A02" w14:textId="77777777" w:rsidTr="00784D29">
        <w:tc>
          <w:tcPr>
            <w:tcW w:w="0" w:type="auto"/>
            <w:hideMark/>
          </w:tcPr>
          <w:p w14:paraId="79D848E4"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Punicaceae</w:t>
            </w:r>
          </w:p>
        </w:tc>
        <w:tc>
          <w:tcPr>
            <w:tcW w:w="0" w:type="auto"/>
            <w:hideMark/>
          </w:tcPr>
          <w:p w14:paraId="79715AF8"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Écorces de grenade</w:t>
            </w:r>
          </w:p>
        </w:tc>
        <w:tc>
          <w:tcPr>
            <w:tcW w:w="0" w:type="auto"/>
            <w:hideMark/>
          </w:tcPr>
          <w:p w14:paraId="0CBBDDF3"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Écorces de grenade</w:t>
            </w:r>
          </w:p>
        </w:tc>
        <w:tc>
          <w:tcPr>
            <w:tcW w:w="0" w:type="auto"/>
            <w:hideMark/>
          </w:tcPr>
          <w:p w14:paraId="1E3E5E83"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Écorces de grenade</w:t>
            </w:r>
          </w:p>
        </w:tc>
      </w:tr>
      <w:tr w:rsidR="00664D0A" w:rsidRPr="0070364B" w14:paraId="1EC52FFA" w14:textId="77777777" w:rsidTr="00784D29">
        <w:tc>
          <w:tcPr>
            <w:tcW w:w="0" w:type="auto"/>
            <w:hideMark/>
          </w:tcPr>
          <w:p w14:paraId="336D3770"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lastRenderedPageBreak/>
              <w:t>Substances / Autres</w:t>
            </w:r>
          </w:p>
        </w:tc>
        <w:tc>
          <w:tcPr>
            <w:tcW w:w="0" w:type="auto"/>
            <w:hideMark/>
          </w:tcPr>
          <w:p w14:paraId="7FF48F10"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Tisane, Vinaigre, Goudron</w:t>
            </w:r>
          </w:p>
        </w:tc>
        <w:tc>
          <w:tcPr>
            <w:tcW w:w="0" w:type="auto"/>
            <w:hideMark/>
          </w:tcPr>
          <w:p w14:paraId="64214EAC" w14:textId="77777777" w:rsidR="00664D0A" w:rsidRPr="0080119A" w:rsidRDefault="00664D0A" w:rsidP="00B139C3">
            <w:pPr>
              <w:rPr>
                <w:rFonts w:ascii="Times New Roman" w:eastAsia="Times New Roman" w:hAnsi="Times New Roman" w:cs="Times New Roman"/>
                <w:color w:val="1F1F1F"/>
                <w:lang w:val="fr-FR" w:eastAsia="fr-FR"/>
              </w:rPr>
            </w:pPr>
            <w:r w:rsidRPr="0080119A">
              <w:rPr>
                <w:rFonts w:ascii="Times New Roman" w:eastAsia="Times New Roman" w:hAnsi="Times New Roman" w:cs="Times New Roman"/>
                <w:color w:val="1F1F1F"/>
                <w:bdr w:val="none" w:sz="0" w:space="0" w:color="auto" w:frame="1"/>
                <w:lang w:val="fr-FR" w:eastAsia="fr-FR"/>
              </w:rPr>
              <w:t>Thé vert, Jus de citron</w:t>
            </w:r>
          </w:p>
        </w:tc>
        <w:tc>
          <w:tcPr>
            <w:tcW w:w="0" w:type="auto"/>
            <w:hideMark/>
          </w:tcPr>
          <w:p w14:paraId="6CD4120B" w14:textId="77777777" w:rsidR="00664D0A" w:rsidRPr="0070364B" w:rsidRDefault="00664D0A" w:rsidP="00B139C3">
            <w:pPr>
              <w:rPr>
                <w:rFonts w:ascii="Times New Roman" w:eastAsia="Times New Roman" w:hAnsi="Times New Roman" w:cs="Times New Roman"/>
                <w:color w:val="1F1F1F"/>
                <w:lang w:eastAsia="fr-FR"/>
              </w:rPr>
            </w:pPr>
            <w:r w:rsidRPr="0070364B">
              <w:rPr>
                <w:rFonts w:ascii="Times New Roman" w:eastAsia="Times New Roman" w:hAnsi="Times New Roman" w:cs="Times New Roman"/>
                <w:color w:val="1F1F1F"/>
                <w:bdr w:val="none" w:sz="0" w:space="0" w:color="auto" w:frame="1"/>
                <w:lang w:eastAsia="fr-FR"/>
              </w:rPr>
              <w:t>Gomme arabique (Talh), Aloès</w:t>
            </w:r>
          </w:p>
        </w:tc>
      </w:tr>
    </w:tbl>
    <w:p w14:paraId="0DCE4697" w14:textId="77777777" w:rsidR="00664D0A" w:rsidRPr="00E71797" w:rsidRDefault="00664D0A" w:rsidP="00B139C3">
      <w:pPr>
        <w:rPr>
          <w:rFonts w:eastAsia="Times New Roman"/>
          <w:sz w:val="27"/>
          <w:szCs w:val="27"/>
          <w:rtl/>
          <w:lang w:eastAsia="fr-FR"/>
        </w:rPr>
      </w:pPr>
    </w:p>
    <w:p w14:paraId="69B2A73A" w14:textId="5CCAC1A9" w:rsidR="00664D0A" w:rsidRPr="003766EB" w:rsidRDefault="00664D0A" w:rsidP="003766EB">
      <w:pPr>
        <w:rPr>
          <w:lang w:val="fr-FR"/>
        </w:rPr>
      </w:pPr>
      <w:r>
        <w:rPr>
          <w:lang w:val="fr-FR"/>
        </w:rPr>
        <w:br w:type="page"/>
      </w:r>
    </w:p>
    <w:p w14:paraId="05C63F81" w14:textId="77777777" w:rsidR="00664D0A" w:rsidRDefault="00664D0A" w:rsidP="00B139C3">
      <w:pPr>
        <w:rPr>
          <w:sz w:val="96"/>
          <w:szCs w:val="96"/>
          <w:lang w:val="fr-FR"/>
        </w:rPr>
      </w:pPr>
    </w:p>
    <w:p w14:paraId="217EECC4" w14:textId="77777777" w:rsidR="00664D0A" w:rsidRDefault="00664D0A" w:rsidP="00B139C3">
      <w:pPr>
        <w:rPr>
          <w:sz w:val="96"/>
          <w:szCs w:val="96"/>
          <w:lang w:val="fr-FR"/>
        </w:rPr>
      </w:pPr>
    </w:p>
    <w:p w14:paraId="4E5D6B1B" w14:textId="0A1EB2B6" w:rsidR="00664D0A" w:rsidRDefault="003766EB" w:rsidP="00B139C3">
      <w:pPr>
        <w:rPr>
          <w:sz w:val="96"/>
          <w:szCs w:val="96"/>
          <w:lang w:val="fr-FR"/>
        </w:rPr>
      </w:pPr>
      <w:r>
        <w:rPr>
          <w:noProof/>
          <w:sz w:val="96"/>
          <w:szCs w:val="96"/>
          <w:lang w:val="fr-FR" w:eastAsia="fr-FR"/>
        </w:rPr>
        <mc:AlternateContent>
          <mc:Choice Requires="wps">
            <w:drawing>
              <wp:anchor distT="0" distB="0" distL="114300" distR="114300" simplePos="0" relativeHeight="251672576" behindDoc="0" locked="0" layoutInCell="1" allowOverlap="1" wp14:anchorId="56BAA3AB" wp14:editId="4F305326">
                <wp:simplePos x="0" y="0"/>
                <wp:positionH relativeFrom="margin">
                  <wp:align>center</wp:align>
                </wp:positionH>
                <wp:positionV relativeFrom="paragraph">
                  <wp:posOffset>2011680</wp:posOffset>
                </wp:positionV>
                <wp:extent cx="4762280" cy="1405956"/>
                <wp:effectExtent l="0" t="0" r="19685" b="22860"/>
                <wp:wrapNone/>
                <wp:docPr id="46" name="Rounded Rectangle 46"/>
                <wp:cNvGraphicFramePr/>
                <a:graphic xmlns:a="http://schemas.openxmlformats.org/drawingml/2006/main">
                  <a:graphicData uri="http://schemas.microsoft.com/office/word/2010/wordprocessingShape">
                    <wps:wsp>
                      <wps:cNvSpPr/>
                      <wps:spPr>
                        <a:xfrm>
                          <a:off x="0" y="0"/>
                          <a:ext cx="4762280" cy="1405956"/>
                        </a:xfrm>
                        <a:prstGeom prst="roundRect">
                          <a:avLst/>
                        </a:prstGeom>
                      </wps:spPr>
                      <wps:style>
                        <a:lnRef idx="2">
                          <a:schemeClr val="dk1"/>
                        </a:lnRef>
                        <a:fillRef idx="1">
                          <a:schemeClr val="lt1"/>
                        </a:fillRef>
                        <a:effectRef idx="0">
                          <a:schemeClr val="dk1"/>
                        </a:effectRef>
                        <a:fontRef idx="minor">
                          <a:schemeClr val="dk1"/>
                        </a:fontRef>
                      </wps:style>
                      <wps:txbx>
                        <w:txbxContent>
                          <w:p w14:paraId="0A915C0E" w14:textId="64E5C651" w:rsidR="00F568F0" w:rsidRPr="003766EB" w:rsidRDefault="00F568F0" w:rsidP="003766EB">
                            <w:pPr>
                              <w:jc w:val="center"/>
                              <w:rPr>
                                <w:sz w:val="96"/>
                                <w:szCs w:val="72"/>
                              </w:rPr>
                            </w:pPr>
                            <w:r w:rsidRPr="003766EB">
                              <w:rPr>
                                <w:sz w:val="96"/>
                                <w:szCs w:val="72"/>
                              </w:rPr>
                              <w:t>Partie pratique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BAA3AB" id="Rounded Rectangle 46" o:spid="_x0000_s1029" style="position:absolute;margin-left:0;margin-top:158.4pt;width:375pt;height:110.7pt;z-index:251672576;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" fillcolor="white [3201]" strokecolor="black [3200]" strokeweight="1pt">
                <v:stroke joinstyle="miter"/>
                <v:textbox>
                  <w:txbxContent>
                    <w:p w14:paraId="0A915C0E" w14:textId="64E5C651" w:rsidR="00F568F0" w:rsidRPr="003766EB" w:rsidRDefault="00F568F0" w:rsidP="003766EB">
                      <w:pPr>
                        <w:jc w:val="center"/>
                        <w:rPr>
                          <w:sz w:val="96"/>
                          <w:szCs w:val="72"/>
                        </w:rPr>
                      </w:pPr>
                      <w:r w:rsidRPr="003766EB">
                        <w:rPr>
                          <w:sz w:val="96"/>
                          <w:szCs w:val="72"/>
                        </w:rPr>
                        <w:t>Partie pratique</w:t>
                      </w:r>
                    </w:p>
                  </w:txbxContent>
                </v:textbox>
                <w10:wrap anchorx="margin"/>
              </v:roundrect>
            </w:pict>
          </mc:Fallback>
        </mc:AlternateContent>
      </w:r>
      <w:r w:rsidR="00664D0A">
        <w:rPr>
          <w:sz w:val="96"/>
          <w:szCs w:val="96"/>
          <w:lang w:val="fr-FR"/>
        </w:rPr>
        <w:br w:type="page"/>
      </w:r>
    </w:p>
    <w:p w14:paraId="0068AFED" w14:textId="3C497715" w:rsidR="00664D0A" w:rsidRPr="00664D0A" w:rsidRDefault="003766EB" w:rsidP="003766EB">
      <w:pPr>
        <w:rPr>
          <w:rFonts w:eastAsia="Times New Roman"/>
          <w:color w:val="000000"/>
          <w:lang w:val="fr-FR" w:eastAsia="fr-FR"/>
        </w:rPr>
      </w:pPr>
      <w:r w:rsidRPr="003766EB">
        <w:rPr>
          <w:noProof/>
          <w:lang w:val="fr-FR" w:eastAsia="fr-FR"/>
        </w:rPr>
        <w:lastRenderedPageBreak/>
        <mc:AlternateContent>
          <mc:Choice Requires="wps">
            <w:drawing>
              <wp:anchor distT="0" distB="0" distL="114300" distR="114300" simplePos="0" relativeHeight="251674624" behindDoc="0" locked="0" layoutInCell="1" allowOverlap="1" wp14:anchorId="70248BA9" wp14:editId="3401D43E">
                <wp:simplePos x="0" y="0"/>
                <wp:positionH relativeFrom="margin">
                  <wp:align>center</wp:align>
                </wp:positionH>
                <wp:positionV relativeFrom="paragraph">
                  <wp:posOffset>2644287</wp:posOffset>
                </wp:positionV>
                <wp:extent cx="4797188" cy="3582537"/>
                <wp:effectExtent l="0" t="0" r="22860" b="18415"/>
                <wp:wrapNone/>
                <wp:docPr id="47" name="Snip Diagonal Corner Rectangle 47"/>
                <wp:cNvGraphicFramePr/>
                <a:graphic xmlns:a="http://schemas.openxmlformats.org/drawingml/2006/main">
                  <a:graphicData uri="http://schemas.microsoft.com/office/word/2010/wordprocessingShape">
                    <wps:wsp>
                      <wps:cNvSpPr/>
                      <wps:spPr>
                        <a:xfrm>
                          <a:off x="0" y="0"/>
                          <a:ext cx="4797188" cy="3582537"/>
                        </a:xfrm>
                        <a:prstGeom prst="snip2DiagRect">
                          <a:avLst/>
                        </a:prstGeom>
                        <a:solidFill>
                          <a:sysClr val="window" lastClr="FFFFFF"/>
                        </a:solidFill>
                        <a:ln w="12700" cap="flat" cmpd="sng" algn="ctr">
                          <a:solidFill>
                            <a:sysClr val="windowText" lastClr="000000"/>
                          </a:solidFill>
                          <a:prstDash val="solid"/>
                          <a:miter lim="800000"/>
                        </a:ln>
                        <a:effectLst/>
                      </wps:spPr>
                      <wps:txbx>
                        <w:txbxContent>
                          <w:p w14:paraId="6D8FF37A" w14:textId="11F18A02" w:rsidR="00F568F0" w:rsidRPr="007C4445" w:rsidRDefault="00F568F0" w:rsidP="007277D4">
                            <w:pPr>
                              <w:jc w:val="center"/>
                              <w:outlineLvl w:val="0"/>
                              <w:rPr>
                                <w:rFonts w:cstheme="majorBidi"/>
                                <w:b/>
                                <w:bCs/>
                                <w:sz w:val="96"/>
                                <w:szCs w:val="96"/>
                                <w:lang w:val="fr-FR"/>
                              </w:rPr>
                            </w:pPr>
                            <w:bookmarkStart w:id="158" w:name="_Toc229618848"/>
                            <w:r>
                              <w:rPr>
                                <w:rFonts w:cstheme="majorBidi"/>
                                <w:b/>
                                <w:bCs/>
                                <w:sz w:val="96"/>
                                <w:szCs w:val="96"/>
                                <w:lang w:val="fr-FR"/>
                              </w:rPr>
                              <w:t>Matériels et méthodes</w:t>
                            </w:r>
                            <w:bookmarkEnd w:id="15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48BA9" id="Snip Diagonal Corner Rectangle 47" o:spid="_x0000_s1030" style="position:absolute;margin-left:0;margin-top:208.2pt;width:377.75pt;height:282.1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797188,358253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" adj="-11796480,,5400" path="m,l4200087,r597101,597101l4797188,3582537r,l597101,3582537,,2985436,,xe" fillcolor="window" strokecolor="windowText" strokeweight="1pt">
                <v:stroke joinstyle="miter"/>
                <v:formulas/>
                <v:path arrowok="t" o:connecttype="custom" o:connectlocs="0,0;4200087,0;4797188,597101;4797188,3582537;4797188,3582537;597101,3582537;0,2985436;0,0" o:connectangles="0,0,0,0,0,0,0,0" textboxrect="0,0,4797188,3582537"/>
                <v:textbox>
                  <w:txbxContent>
                    <w:p w14:paraId="6D8FF37A" w14:textId="11F18A02" w:rsidR="00F568F0" w:rsidRPr="007C4445" w:rsidRDefault="00F568F0" w:rsidP="007277D4">
                      <w:pPr>
                        <w:jc w:val="center"/>
                        <w:outlineLvl w:val="0"/>
                        <w:rPr>
                          <w:rFonts w:cstheme="majorBidi"/>
                          <w:b/>
                          <w:bCs/>
                          <w:sz w:val="96"/>
                          <w:szCs w:val="96"/>
                          <w:lang w:val="fr-FR"/>
                        </w:rPr>
                      </w:pPr>
                      <w:bookmarkStart w:id="161" w:name="_Toc229618848"/>
                      <w:r>
                        <w:rPr>
                          <w:rFonts w:cstheme="majorBidi"/>
                          <w:b/>
                          <w:bCs/>
                          <w:sz w:val="96"/>
                          <w:szCs w:val="96"/>
                          <w:lang w:val="fr-FR"/>
                        </w:rPr>
                        <w:t>Matériels et méthodes</w:t>
                      </w:r>
                      <w:bookmarkEnd w:id="161"/>
                    </w:p>
                  </w:txbxContent>
                </v:textbox>
                <w10:wrap anchorx="margin"/>
              </v:shape>
            </w:pict>
          </mc:Fallback>
        </mc:AlternateContent>
      </w:r>
      <w:r>
        <w:rPr>
          <w:rFonts w:eastAsia="Times New Roman"/>
          <w:color w:val="000000"/>
          <w:lang w:val="fr-FR" w:eastAsia="fr-FR"/>
        </w:rPr>
        <w:br w:type="page"/>
      </w:r>
    </w:p>
    <w:p w14:paraId="748F5472" w14:textId="3A886F6F" w:rsidR="00664D0A" w:rsidRPr="003766EB" w:rsidRDefault="003766EB" w:rsidP="003766EB">
      <w:pPr>
        <w:rPr>
          <w:rFonts w:eastAsia="Times New Roman"/>
          <w:b/>
          <w:bCs/>
          <w:color w:val="000000"/>
          <w:sz w:val="32"/>
          <w:szCs w:val="32"/>
          <w:u w:val="single"/>
          <w:lang w:val="fr-FR" w:eastAsia="fr-FR"/>
        </w:rPr>
      </w:pPr>
      <w:r w:rsidRPr="003766EB">
        <w:rPr>
          <w:rFonts w:eastAsia="Times New Roman"/>
          <w:b/>
          <w:bCs/>
          <w:color w:val="000000"/>
          <w:sz w:val="32"/>
          <w:szCs w:val="32"/>
          <w:u w:val="single"/>
          <w:lang w:val="fr-FR" w:eastAsia="fr-FR"/>
        </w:rPr>
        <w:lastRenderedPageBreak/>
        <w:t>-Méthodologie :</w:t>
      </w:r>
    </w:p>
    <w:p w14:paraId="6AF43437" w14:textId="732FDD37" w:rsidR="00664D0A" w:rsidRPr="003766EB" w:rsidRDefault="003766EB" w:rsidP="003766EB">
      <w:pPr>
        <w:rPr>
          <w:rFonts w:eastAsia="Times New Roman"/>
          <w:color w:val="000000"/>
          <w:sz w:val="28"/>
          <w:szCs w:val="28"/>
          <w:lang w:val="fr-FR" w:eastAsia="fr-FR"/>
        </w:rPr>
      </w:pPr>
      <w:r>
        <w:rPr>
          <w:rFonts w:eastAsia="Times New Roman"/>
          <w:color w:val="000000"/>
          <w:sz w:val="28"/>
          <w:szCs w:val="28"/>
          <w:lang w:val="fr-FR" w:eastAsia="fr-FR"/>
        </w:rPr>
        <w:t>1/Le type de l’étude :</w:t>
      </w:r>
    </w:p>
    <w:p w14:paraId="0B38B720" w14:textId="0674216C" w:rsidR="00664D0A" w:rsidRPr="003766EB" w:rsidRDefault="00664D0A" w:rsidP="003766EB">
      <w:pPr>
        <w:rPr>
          <w:rFonts w:eastAsia="Times New Roman"/>
          <w:color w:val="000000"/>
          <w:lang w:val="fr-FR" w:eastAsia="fr-FR"/>
        </w:rPr>
      </w:pPr>
      <w:r w:rsidRPr="00664D0A">
        <w:rPr>
          <w:rFonts w:eastAsia="Times New Roman"/>
          <w:color w:val="000000"/>
          <w:lang w:val="fr-FR" w:eastAsia="fr-FR"/>
        </w:rPr>
        <w:t>Nous avons réalisé Étude observationnelle transversale descriptive et analytique à méthode quantitative et qualitative</w:t>
      </w:r>
      <w:proofErr w:type="gramStart"/>
      <w:r w:rsidRPr="00664D0A">
        <w:rPr>
          <w:rFonts w:eastAsia="Times New Roman"/>
          <w:color w:val="000000"/>
          <w:lang w:val="fr-FR" w:eastAsia="fr-FR"/>
        </w:rPr>
        <w:t xml:space="preserve"> ;menée</w:t>
      </w:r>
      <w:proofErr w:type="gramEnd"/>
      <w:r w:rsidRPr="00664D0A">
        <w:rPr>
          <w:rFonts w:eastAsia="Times New Roman"/>
          <w:color w:val="000000"/>
          <w:lang w:val="fr-FR" w:eastAsia="fr-FR"/>
        </w:rPr>
        <w:t xml:space="preserve"> la période de 01/12</w:t>
      </w:r>
      <w:r w:rsidR="00F568F0">
        <w:rPr>
          <w:rFonts w:eastAsia="Times New Roman"/>
          <w:color w:val="000000"/>
          <w:lang w:val="fr-FR" w:eastAsia="fr-FR"/>
        </w:rPr>
        <w:t>/2025</w:t>
      </w:r>
      <w:r w:rsidRPr="00664D0A">
        <w:rPr>
          <w:rFonts w:eastAsia="Times New Roman"/>
          <w:color w:val="000000"/>
          <w:lang w:val="fr-FR" w:eastAsia="fr-FR"/>
        </w:rPr>
        <w:t xml:space="preserve"> jusqu'au 01/05</w:t>
      </w:r>
      <w:r w:rsidR="00F568F0">
        <w:rPr>
          <w:rFonts w:eastAsia="Times New Roman"/>
          <w:color w:val="000000"/>
          <w:lang w:val="fr-FR" w:eastAsia="fr-FR"/>
        </w:rPr>
        <w:t>/2026</w:t>
      </w:r>
      <w:r w:rsidRPr="00664D0A">
        <w:rPr>
          <w:rFonts w:eastAsia="Times New Roman"/>
          <w:color w:val="000000"/>
          <w:lang w:val="fr-FR" w:eastAsia="fr-FR"/>
        </w:rPr>
        <w:t xml:space="preserve"> dans la région de la wilaya de Laghouat, visant à analyser les pratiques phytothérapeutiques par utilisatios des plantes médicinales chez les patients diabétiques, et leur impact sur l’équilibre métabolique,</w:t>
      </w:r>
      <w:r w:rsidR="003766EB">
        <w:rPr>
          <w:rFonts w:eastAsia="Times New Roman"/>
          <w:color w:val="000000"/>
          <w:lang w:val="fr-FR" w:eastAsia="fr-FR"/>
        </w:rPr>
        <w:t xml:space="preserve"> </w:t>
      </w:r>
    </w:p>
    <w:p w14:paraId="43FC25AF" w14:textId="570F3B3D" w:rsidR="00664D0A" w:rsidRPr="003766EB" w:rsidRDefault="00664D0A" w:rsidP="003766EB">
      <w:pPr>
        <w:rPr>
          <w:rFonts w:eastAsia="Times New Roman"/>
          <w:b/>
          <w:bCs/>
          <w:color w:val="000000"/>
          <w:sz w:val="28"/>
          <w:szCs w:val="28"/>
          <w:lang w:val="fr-FR" w:eastAsia="fr-FR"/>
        </w:rPr>
      </w:pPr>
      <w:r w:rsidRPr="003766EB">
        <w:rPr>
          <w:rFonts w:eastAsia="Times New Roman"/>
          <w:b/>
          <w:bCs/>
          <w:color w:val="000000"/>
          <w:sz w:val="28"/>
          <w:szCs w:val="28"/>
          <w:lang w:val="fr-FR" w:eastAsia="fr-FR"/>
        </w:rPr>
        <w:t>2/</w:t>
      </w:r>
      <w:r w:rsidR="003766EB" w:rsidRPr="003766EB">
        <w:rPr>
          <w:rFonts w:eastAsia="Times New Roman"/>
          <w:b/>
          <w:bCs/>
          <w:color w:val="000000"/>
          <w:sz w:val="28"/>
          <w:szCs w:val="28"/>
          <w:lang w:val="fr-FR" w:eastAsia="fr-FR"/>
        </w:rPr>
        <w:t xml:space="preserve"> Patients et lieu de l’étude : </w:t>
      </w:r>
    </w:p>
    <w:p w14:paraId="65DB45AA" w14:textId="528CD727" w:rsidR="00664D0A" w:rsidRPr="00664D0A" w:rsidRDefault="00664D0A" w:rsidP="003766EB">
      <w:pPr>
        <w:rPr>
          <w:rFonts w:eastAsia="Times New Roman"/>
          <w:color w:val="000000"/>
          <w:lang w:val="fr-FR" w:eastAsia="fr-FR"/>
        </w:rPr>
      </w:pPr>
      <w:r w:rsidRPr="00664D0A">
        <w:rPr>
          <w:rFonts w:eastAsia="Times New Roman"/>
          <w:color w:val="000000"/>
          <w:lang w:val="fr-FR" w:eastAsia="fr-FR"/>
        </w:rPr>
        <w:t>La population d’étude était constituée de l’ensemble des patients diabétiques de type 2 consultants au niveau d</w:t>
      </w:r>
      <w:r w:rsidR="003766EB">
        <w:rPr>
          <w:rFonts w:eastAsia="Times New Roman"/>
          <w:color w:val="000000"/>
          <w:lang w:val="fr-FR" w:eastAsia="fr-FR"/>
        </w:rPr>
        <w:t xml:space="preserve">u polyclinique </w:t>
      </w:r>
      <w:proofErr w:type="gramStart"/>
      <w:r w:rsidR="003766EB">
        <w:rPr>
          <w:rFonts w:eastAsia="Times New Roman"/>
          <w:color w:val="000000"/>
          <w:lang w:val="fr-FR" w:eastAsia="fr-FR"/>
        </w:rPr>
        <w:t>( DJOUDI</w:t>
      </w:r>
      <w:proofErr w:type="gramEnd"/>
      <w:r w:rsidR="003766EB">
        <w:rPr>
          <w:rFonts w:eastAsia="Times New Roman"/>
          <w:color w:val="000000"/>
          <w:lang w:val="fr-FR" w:eastAsia="fr-FR"/>
        </w:rPr>
        <w:t xml:space="preserve"> AHMED )</w:t>
      </w:r>
      <w:r w:rsidR="00F568F0">
        <w:rPr>
          <w:rFonts w:eastAsia="Times New Roman"/>
          <w:color w:val="000000"/>
          <w:lang w:val="fr-FR" w:eastAsia="fr-FR"/>
        </w:rPr>
        <w:t xml:space="preserve"> et quelque patients hospitalisés au niveau de l’hopital mixte ( AKID LOTFI ) 240 lits </w:t>
      </w:r>
    </w:p>
    <w:p w14:paraId="013F3372" w14:textId="22F4F107" w:rsidR="00664D0A" w:rsidRPr="003766EB" w:rsidRDefault="003766EB" w:rsidP="003766EB">
      <w:pPr>
        <w:rPr>
          <w:rFonts w:eastAsia="Times New Roman"/>
          <w:b/>
          <w:bCs/>
          <w:color w:val="000000"/>
          <w:sz w:val="28"/>
          <w:szCs w:val="28"/>
          <w:lang w:val="fr-FR" w:eastAsia="fr-FR"/>
        </w:rPr>
      </w:pPr>
      <w:r w:rsidRPr="003766EB">
        <w:rPr>
          <w:rFonts w:eastAsia="Times New Roman"/>
          <w:b/>
          <w:bCs/>
          <w:color w:val="000000"/>
          <w:sz w:val="28"/>
          <w:szCs w:val="28"/>
          <w:lang w:val="fr-FR" w:eastAsia="fr-FR"/>
        </w:rPr>
        <w:t>2-1/Les Critères d’inclusion :</w:t>
      </w:r>
    </w:p>
    <w:p w14:paraId="70A53F1A" w14:textId="77777777" w:rsidR="00664D0A" w:rsidRPr="00664D0A" w:rsidRDefault="00664D0A" w:rsidP="00B139C3">
      <w:pPr>
        <w:rPr>
          <w:rFonts w:eastAsia="Times New Roman"/>
          <w:color w:val="000000"/>
          <w:sz w:val="28"/>
          <w:szCs w:val="28"/>
          <w:lang w:val="fr-FR" w:eastAsia="fr-FR"/>
        </w:rPr>
      </w:pPr>
      <w:r w:rsidRPr="00664D0A">
        <w:rPr>
          <w:rFonts w:eastAsia="Times New Roman"/>
          <w:color w:val="000000"/>
          <w:lang w:val="fr-FR" w:eastAsia="fr-FR"/>
        </w:rPr>
        <w:t>- Patients atteints de diabète de type 2.</w:t>
      </w:r>
    </w:p>
    <w:p w14:paraId="651AFEEB" w14:textId="14D27C10" w:rsidR="00664D0A" w:rsidRPr="003766EB" w:rsidRDefault="00664D0A" w:rsidP="003766EB">
      <w:pPr>
        <w:rPr>
          <w:rFonts w:eastAsia="Times New Roman"/>
          <w:color w:val="000000"/>
          <w:lang w:val="fr-FR" w:eastAsia="fr-FR"/>
        </w:rPr>
      </w:pPr>
      <w:r w:rsidRPr="00664D0A">
        <w:rPr>
          <w:rFonts w:eastAsia="Times New Roman"/>
          <w:color w:val="000000"/>
          <w:lang w:val="fr-FR" w:eastAsia="fr-FR"/>
        </w:rPr>
        <w:t>- Patients utilisant ou non uti</w:t>
      </w:r>
      <w:r w:rsidR="003766EB">
        <w:rPr>
          <w:rFonts w:eastAsia="Times New Roman"/>
          <w:color w:val="000000"/>
          <w:lang w:val="fr-FR" w:eastAsia="fr-FR"/>
        </w:rPr>
        <w:t>lisant des plantes médicinales.</w:t>
      </w:r>
    </w:p>
    <w:p w14:paraId="728E8458" w14:textId="72891D7D" w:rsidR="00664D0A" w:rsidRPr="003766EB" w:rsidRDefault="00664D0A" w:rsidP="003766EB">
      <w:pPr>
        <w:rPr>
          <w:rFonts w:eastAsia="Times New Roman"/>
          <w:b/>
          <w:bCs/>
          <w:color w:val="000000"/>
          <w:sz w:val="28"/>
          <w:szCs w:val="28"/>
          <w:lang w:val="fr-FR" w:eastAsia="fr-FR"/>
        </w:rPr>
      </w:pPr>
      <w:r w:rsidRPr="003766EB">
        <w:rPr>
          <w:rFonts w:eastAsia="Times New Roman"/>
          <w:b/>
          <w:bCs/>
          <w:color w:val="000000"/>
          <w:sz w:val="28"/>
          <w:szCs w:val="28"/>
          <w:lang w:val="fr-FR" w:eastAsia="fr-FR"/>
        </w:rPr>
        <w:t>2-2/Les Critères de n</w:t>
      </w:r>
      <w:r w:rsidR="003766EB" w:rsidRPr="003766EB">
        <w:rPr>
          <w:rFonts w:eastAsia="Times New Roman"/>
          <w:b/>
          <w:bCs/>
          <w:color w:val="000000"/>
          <w:sz w:val="28"/>
          <w:szCs w:val="28"/>
          <w:lang w:val="fr-FR" w:eastAsia="fr-FR"/>
        </w:rPr>
        <w:t>on inclusion :</w:t>
      </w:r>
    </w:p>
    <w:p w14:paraId="60780F44" w14:textId="77777777" w:rsidR="00664D0A" w:rsidRPr="00664D0A" w:rsidRDefault="00664D0A" w:rsidP="00B139C3">
      <w:pPr>
        <w:rPr>
          <w:rFonts w:eastAsia="Times New Roman"/>
          <w:color w:val="000000"/>
          <w:lang w:val="fr-FR" w:eastAsia="fr-FR"/>
        </w:rPr>
      </w:pPr>
      <w:r w:rsidRPr="00664D0A">
        <w:rPr>
          <w:rFonts w:eastAsia="Times New Roman"/>
          <w:color w:val="000000"/>
          <w:lang w:val="fr-FR" w:eastAsia="fr-FR"/>
        </w:rPr>
        <w:t xml:space="preserve">- Patients atteints de diabète de type 1 ou autre type de diabète </w:t>
      </w:r>
    </w:p>
    <w:p w14:paraId="78EE81BC" w14:textId="77777777" w:rsidR="00664D0A" w:rsidRPr="00664D0A" w:rsidRDefault="00664D0A" w:rsidP="00B139C3">
      <w:pPr>
        <w:rPr>
          <w:rFonts w:eastAsia="Times New Roman"/>
          <w:color w:val="000000"/>
          <w:lang w:val="fr-FR" w:eastAsia="fr-FR"/>
        </w:rPr>
      </w:pPr>
      <w:r w:rsidRPr="00664D0A">
        <w:rPr>
          <w:rFonts w:eastAsia="Times New Roman"/>
          <w:color w:val="000000"/>
          <w:lang w:val="fr-FR" w:eastAsia="fr-FR"/>
        </w:rPr>
        <w:t>- Patients non-coopérants à cause de l’âge avancé ou autre pathologie grave.</w:t>
      </w:r>
    </w:p>
    <w:p w14:paraId="610FEFBE" w14:textId="4818262E" w:rsidR="00664D0A" w:rsidRPr="003766EB" w:rsidRDefault="00664D0A" w:rsidP="003766EB">
      <w:pPr>
        <w:rPr>
          <w:rFonts w:eastAsia="Times New Roman"/>
          <w:color w:val="000000"/>
          <w:lang w:val="fr-FR" w:eastAsia="fr-FR"/>
        </w:rPr>
      </w:pPr>
      <w:r w:rsidRPr="00664D0A">
        <w:rPr>
          <w:rFonts w:eastAsia="Times New Roman"/>
          <w:color w:val="000000"/>
          <w:lang w:val="fr-FR" w:eastAsia="fr-FR"/>
        </w:rPr>
        <w:t>- Patients refusant de participer à l’enquête.</w:t>
      </w:r>
    </w:p>
    <w:p w14:paraId="69998FAE" w14:textId="28DC0B04" w:rsidR="00664D0A" w:rsidRPr="003766EB" w:rsidRDefault="00664D0A" w:rsidP="003766EB">
      <w:pPr>
        <w:rPr>
          <w:rFonts w:eastAsia="Times New Roman"/>
          <w:b/>
          <w:bCs/>
          <w:color w:val="000000"/>
          <w:sz w:val="28"/>
          <w:szCs w:val="28"/>
          <w:lang w:val="fr-FR" w:eastAsia="fr-FR"/>
        </w:rPr>
      </w:pPr>
      <w:r w:rsidRPr="003766EB">
        <w:rPr>
          <w:rFonts w:eastAsia="Times New Roman"/>
          <w:b/>
          <w:bCs/>
          <w:color w:val="000000"/>
          <w:sz w:val="28"/>
          <w:szCs w:val="28"/>
          <w:lang w:val="fr-FR" w:eastAsia="fr-FR"/>
        </w:rPr>
        <w:t>3/</w:t>
      </w:r>
      <w:r w:rsidR="00BF29E3" w:rsidRPr="003766EB">
        <w:rPr>
          <w:rFonts w:eastAsia="Times New Roman"/>
          <w:b/>
          <w:bCs/>
          <w:color w:val="000000"/>
          <w:sz w:val="28"/>
          <w:szCs w:val="28"/>
          <w:lang w:val="fr-FR" w:eastAsia="fr-FR"/>
        </w:rPr>
        <w:t>Les variables</w:t>
      </w:r>
      <w:r w:rsidRPr="003766EB">
        <w:rPr>
          <w:rFonts w:eastAsia="Times New Roman"/>
          <w:b/>
          <w:bCs/>
          <w:color w:val="000000"/>
          <w:sz w:val="28"/>
          <w:szCs w:val="28"/>
          <w:lang w:val="fr-FR" w:eastAsia="fr-FR"/>
        </w:rPr>
        <w:t xml:space="preserve"> </w:t>
      </w:r>
      <w:r w:rsidR="00BF29E3" w:rsidRPr="003766EB">
        <w:rPr>
          <w:rFonts w:eastAsia="Times New Roman"/>
          <w:b/>
          <w:bCs/>
          <w:color w:val="000000"/>
          <w:sz w:val="28"/>
          <w:szCs w:val="28"/>
          <w:lang w:val="fr-FR" w:eastAsia="fr-FR"/>
        </w:rPr>
        <w:t>étudiés :</w:t>
      </w:r>
    </w:p>
    <w:p w14:paraId="4011D28A" w14:textId="2294EEEE" w:rsidR="00BF29E3" w:rsidRPr="00A33DED" w:rsidRDefault="00664D0A" w:rsidP="00B139C3">
      <w:pPr>
        <w:rPr>
          <w:rFonts w:eastAsia="Times New Roman"/>
          <w:color w:val="000000"/>
          <w:lang w:val="fr-FR" w:eastAsia="fr-FR"/>
        </w:rPr>
      </w:pPr>
      <w:r w:rsidRPr="00A33DED">
        <w:rPr>
          <w:rFonts w:eastAsia="Times New Roman"/>
          <w:color w:val="000000"/>
          <w:lang w:val="fr-FR" w:eastAsia="fr-FR"/>
        </w:rPr>
        <w:t xml:space="preserve">Le sexe ; l’âge ; </w:t>
      </w:r>
      <w:r w:rsidR="00BF29E3" w:rsidRPr="00A33DED">
        <w:rPr>
          <w:rFonts w:eastAsia="Times New Roman"/>
          <w:color w:val="000000"/>
          <w:lang w:val="fr-FR" w:eastAsia="fr-FR"/>
        </w:rPr>
        <w:t xml:space="preserve">et l'IMC et tour de taille </w:t>
      </w:r>
    </w:p>
    <w:p w14:paraId="2A6AD109" w14:textId="77777777" w:rsidR="00BF29E3" w:rsidRPr="00A33DED" w:rsidRDefault="00BF29E3" w:rsidP="00B139C3">
      <w:pPr>
        <w:rPr>
          <w:rFonts w:eastAsia="Times New Roman"/>
          <w:color w:val="000000"/>
          <w:lang w:val="fr-FR" w:eastAsia="fr-FR"/>
        </w:rPr>
      </w:pPr>
      <w:r w:rsidRPr="00A33DED">
        <w:rPr>
          <w:rFonts w:eastAsia="Times New Roman"/>
          <w:color w:val="000000"/>
          <w:lang w:val="fr-FR" w:eastAsia="fr-FR"/>
        </w:rPr>
        <w:t xml:space="preserve">L'ancienneté de diabète </w:t>
      </w:r>
    </w:p>
    <w:p w14:paraId="5EE21B89" w14:textId="7F1D600F" w:rsidR="00BF29E3" w:rsidRPr="00A33DED" w:rsidRDefault="00BF29E3" w:rsidP="00B139C3">
      <w:pPr>
        <w:rPr>
          <w:rFonts w:eastAsia="Times New Roman"/>
          <w:color w:val="000000"/>
          <w:lang w:val="fr-FR" w:eastAsia="fr-FR"/>
        </w:rPr>
      </w:pPr>
      <w:r w:rsidRPr="00A33DED">
        <w:rPr>
          <w:rFonts w:eastAsia="Times New Roman"/>
          <w:color w:val="000000"/>
          <w:lang w:val="fr-FR" w:eastAsia="fr-FR"/>
        </w:rPr>
        <w:t xml:space="preserve">Les traitements du diabète </w:t>
      </w:r>
    </w:p>
    <w:p w14:paraId="24FB2905" w14:textId="536C8C3B" w:rsidR="00BF29E3" w:rsidRPr="00A33DED" w:rsidRDefault="00BF29E3" w:rsidP="00B139C3">
      <w:pPr>
        <w:rPr>
          <w:rFonts w:eastAsia="Times New Roman"/>
          <w:color w:val="000000"/>
          <w:lang w:val="fr-FR" w:eastAsia="fr-FR"/>
        </w:rPr>
      </w:pPr>
      <w:r w:rsidRPr="00A33DED">
        <w:rPr>
          <w:rFonts w:eastAsia="Times New Roman"/>
          <w:color w:val="000000"/>
          <w:lang w:val="fr-FR" w:eastAsia="fr-FR"/>
        </w:rPr>
        <w:t xml:space="preserve">L'adhérence thérapeutique </w:t>
      </w:r>
    </w:p>
    <w:p w14:paraId="23474BBC" w14:textId="7079E136" w:rsidR="00BF29E3" w:rsidRPr="00A33DED" w:rsidRDefault="00BF29E3" w:rsidP="00B139C3">
      <w:pPr>
        <w:rPr>
          <w:rFonts w:eastAsia="Times New Roman"/>
          <w:color w:val="000000"/>
          <w:lang w:val="fr-FR" w:eastAsia="fr-FR"/>
        </w:rPr>
      </w:pPr>
      <w:r w:rsidRPr="00A33DED">
        <w:rPr>
          <w:rFonts w:eastAsia="Times New Roman"/>
          <w:color w:val="000000"/>
          <w:lang w:val="fr-FR" w:eastAsia="fr-FR"/>
        </w:rPr>
        <w:t xml:space="preserve">Les méthodes de surveillance </w:t>
      </w:r>
      <w:r w:rsidR="00580E17" w:rsidRPr="00A33DED">
        <w:rPr>
          <w:rFonts w:eastAsia="Times New Roman"/>
          <w:color w:val="000000"/>
          <w:lang w:val="fr-FR" w:eastAsia="fr-FR"/>
        </w:rPr>
        <w:t xml:space="preserve">glycémique </w:t>
      </w:r>
      <w:r w:rsidR="00580E17">
        <w:rPr>
          <w:rFonts w:eastAsia="Times New Roman"/>
          <w:color w:val="000000"/>
          <w:lang w:val="fr-FR" w:eastAsia="fr-FR"/>
        </w:rPr>
        <w:t>résultats</w:t>
      </w:r>
      <w:r w:rsidR="00A33DED">
        <w:rPr>
          <w:rFonts w:eastAsia="Times New Roman"/>
          <w:color w:val="000000"/>
          <w:lang w:val="fr-FR" w:eastAsia="fr-FR"/>
        </w:rPr>
        <w:t xml:space="preserve"> de l</w:t>
      </w:r>
      <w:r w:rsidRPr="00A33DED">
        <w:rPr>
          <w:rFonts w:eastAsia="Times New Roman"/>
          <w:color w:val="000000"/>
          <w:lang w:val="fr-FR" w:eastAsia="fr-FR"/>
        </w:rPr>
        <w:t xml:space="preserve">HbA1c </w:t>
      </w:r>
    </w:p>
    <w:p w14:paraId="229DE1F5" w14:textId="15DECB03" w:rsidR="00664D0A" w:rsidRPr="00A33DED" w:rsidRDefault="00BF29E3" w:rsidP="00B139C3">
      <w:pPr>
        <w:rPr>
          <w:rFonts w:eastAsia="Times New Roman"/>
          <w:color w:val="000000"/>
          <w:lang w:val="fr-FR" w:eastAsia="fr-FR"/>
        </w:rPr>
      </w:pPr>
      <w:r w:rsidRPr="00A33DED">
        <w:rPr>
          <w:rFonts w:eastAsia="Times New Roman"/>
          <w:color w:val="000000"/>
          <w:lang w:val="fr-FR" w:eastAsia="fr-FR"/>
        </w:rPr>
        <w:t xml:space="preserve">Les complications du diabète </w:t>
      </w:r>
    </w:p>
    <w:p w14:paraId="751E292B" w14:textId="3EF27BAA" w:rsidR="00664D0A" w:rsidRPr="003766EB" w:rsidRDefault="00664D0A" w:rsidP="003766EB">
      <w:pPr>
        <w:rPr>
          <w:rFonts w:eastAsia="Times New Roman"/>
          <w:color w:val="000000"/>
          <w:lang w:val="fr-FR" w:eastAsia="fr-FR"/>
        </w:rPr>
      </w:pPr>
      <w:r w:rsidRPr="00A33DED">
        <w:rPr>
          <w:rFonts w:eastAsia="Times New Roman"/>
          <w:color w:val="000000"/>
          <w:lang w:val="fr-FR" w:eastAsia="fr-FR"/>
        </w:rPr>
        <w:t>Des questionnaires ont été établis contient toutes les variables nécessaires pour l’étude.</w:t>
      </w:r>
      <w:r w:rsidR="003766EB">
        <w:rPr>
          <w:rFonts w:eastAsia="Times New Roman"/>
          <w:color w:val="000000"/>
          <w:lang w:val="fr-FR" w:eastAsia="fr-FR"/>
        </w:rPr>
        <w:t xml:space="preserve"> </w:t>
      </w:r>
    </w:p>
    <w:p w14:paraId="5F74F441" w14:textId="6070AF40" w:rsidR="00580E17" w:rsidRPr="003766EB" w:rsidRDefault="00664D0A" w:rsidP="003766EB">
      <w:pPr>
        <w:rPr>
          <w:rFonts w:eastAsia="Times New Roman"/>
          <w:b/>
          <w:bCs/>
          <w:color w:val="000000"/>
          <w:sz w:val="28"/>
          <w:szCs w:val="28"/>
          <w:lang w:val="fr-FR" w:eastAsia="fr-FR"/>
        </w:rPr>
      </w:pPr>
      <w:r w:rsidRPr="003766EB">
        <w:rPr>
          <w:rFonts w:eastAsia="Times New Roman"/>
          <w:b/>
          <w:bCs/>
          <w:color w:val="000000"/>
          <w:sz w:val="28"/>
          <w:szCs w:val="28"/>
          <w:lang w:val="fr-FR" w:eastAsia="fr-FR"/>
        </w:rPr>
        <w:t>B.</w:t>
      </w:r>
      <w:r w:rsidR="00580E17" w:rsidRPr="003766EB">
        <w:rPr>
          <w:rFonts w:eastAsia="Times New Roman"/>
          <w:b/>
          <w:bCs/>
          <w:color w:val="000000"/>
          <w:sz w:val="28"/>
          <w:szCs w:val="28"/>
          <w:lang w:val="fr-FR" w:eastAsia="fr-FR"/>
        </w:rPr>
        <w:t xml:space="preserve"> L’utilisation des plantes ant</w:t>
      </w:r>
      <w:r w:rsidR="003766EB" w:rsidRPr="003766EB">
        <w:rPr>
          <w:rFonts w:eastAsia="Times New Roman"/>
          <w:b/>
          <w:bCs/>
          <w:color w:val="000000"/>
          <w:sz w:val="28"/>
          <w:szCs w:val="28"/>
          <w:lang w:val="fr-FR" w:eastAsia="fr-FR"/>
        </w:rPr>
        <w:t>idiabétiques par les patients :</w:t>
      </w:r>
    </w:p>
    <w:p w14:paraId="24CB40A0" w14:textId="77777777" w:rsidR="00580E17" w:rsidRPr="00664D0A" w:rsidRDefault="00580E17" w:rsidP="00B139C3">
      <w:pPr>
        <w:rPr>
          <w:rFonts w:eastAsia="Times New Roman"/>
          <w:color w:val="000000"/>
          <w:lang w:val="fr-FR" w:eastAsia="fr-FR"/>
        </w:rPr>
      </w:pPr>
      <w:r w:rsidRPr="00664D0A">
        <w:rPr>
          <w:rFonts w:eastAsia="Times New Roman"/>
          <w:color w:val="000000"/>
          <w:lang w:val="fr-FR" w:eastAsia="fr-FR"/>
        </w:rPr>
        <w:t xml:space="preserve">Le nom vernaculaire de la plante étudiée </w:t>
      </w:r>
    </w:p>
    <w:p w14:paraId="247AF9E4" w14:textId="77777777" w:rsidR="00580E17" w:rsidRPr="00664D0A" w:rsidRDefault="00580E17" w:rsidP="00B139C3">
      <w:pPr>
        <w:rPr>
          <w:rFonts w:eastAsia="Times New Roman"/>
          <w:color w:val="000000"/>
          <w:lang w:val="fr-FR" w:eastAsia="fr-FR"/>
        </w:rPr>
      </w:pPr>
      <w:r w:rsidRPr="00664D0A">
        <w:rPr>
          <w:rFonts w:eastAsia="Times New Roman"/>
          <w:color w:val="000000"/>
          <w:lang w:val="fr-FR" w:eastAsia="fr-FR"/>
        </w:rPr>
        <w:t xml:space="preserve">La fréquence de l’utilisation </w:t>
      </w:r>
    </w:p>
    <w:p w14:paraId="1CD16969" w14:textId="77777777" w:rsidR="00580E17" w:rsidRPr="00664D0A" w:rsidRDefault="00580E17" w:rsidP="00B139C3">
      <w:pPr>
        <w:rPr>
          <w:rFonts w:eastAsia="Times New Roman"/>
          <w:color w:val="000000"/>
          <w:lang w:val="fr-FR" w:eastAsia="fr-FR"/>
        </w:rPr>
      </w:pPr>
      <w:r w:rsidRPr="00664D0A">
        <w:rPr>
          <w:rFonts w:eastAsia="Times New Roman"/>
          <w:color w:val="000000"/>
          <w:lang w:val="fr-FR" w:eastAsia="fr-FR"/>
        </w:rPr>
        <w:t xml:space="preserve">Les parties utilisées : graine, feuille, fruit, écorce... </w:t>
      </w:r>
    </w:p>
    <w:p w14:paraId="28C5A2DC" w14:textId="77777777" w:rsidR="00580E17" w:rsidRPr="00664D0A" w:rsidRDefault="00580E17" w:rsidP="00B139C3">
      <w:pPr>
        <w:rPr>
          <w:rFonts w:eastAsia="Times New Roman"/>
          <w:color w:val="000000"/>
          <w:lang w:val="fr-FR" w:eastAsia="fr-FR"/>
        </w:rPr>
      </w:pPr>
      <w:r w:rsidRPr="00664D0A">
        <w:rPr>
          <w:rFonts w:eastAsia="Times New Roman"/>
          <w:color w:val="000000"/>
          <w:lang w:val="fr-FR" w:eastAsia="fr-FR"/>
        </w:rPr>
        <w:t xml:space="preserve">Le mode de préparation : infusion, décoction, macération, poudre… </w:t>
      </w:r>
    </w:p>
    <w:p w14:paraId="410590DD" w14:textId="77777777" w:rsidR="00580E17" w:rsidRPr="00664D0A" w:rsidRDefault="00580E17" w:rsidP="00B139C3">
      <w:pPr>
        <w:rPr>
          <w:rFonts w:eastAsia="Times New Roman"/>
          <w:color w:val="000000"/>
          <w:lang w:val="fr-FR" w:eastAsia="fr-FR"/>
        </w:rPr>
      </w:pPr>
      <w:r w:rsidRPr="00664D0A">
        <w:rPr>
          <w:rFonts w:eastAsia="Times New Roman"/>
          <w:color w:val="000000"/>
          <w:lang w:val="fr-FR" w:eastAsia="fr-FR"/>
        </w:rPr>
        <w:t xml:space="preserve">Les motifs de l’utilisation de la plante. </w:t>
      </w:r>
    </w:p>
    <w:p w14:paraId="0D9337F1" w14:textId="77777777" w:rsidR="00580E17" w:rsidRPr="00664D0A" w:rsidRDefault="00580E17" w:rsidP="00B139C3">
      <w:pPr>
        <w:rPr>
          <w:rFonts w:eastAsia="Times New Roman"/>
          <w:color w:val="000000"/>
          <w:lang w:val="fr-FR" w:eastAsia="fr-FR"/>
        </w:rPr>
      </w:pPr>
      <w:r w:rsidRPr="00664D0A">
        <w:rPr>
          <w:rFonts w:eastAsia="Times New Roman"/>
          <w:color w:val="000000"/>
          <w:lang w:val="fr-FR" w:eastAsia="fr-FR"/>
        </w:rPr>
        <w:lastRenderedPageBreak/>
        <w:t>La source des plantes utilisées</w:t>
      </w:r>
    </w:p>
    <w:p w14:paraId="63D5E13B" w14:textId="77777777" w:rsidR="00580E17" w:rsidRPr="00664D0A" w:rsidRDefault="00580E17" w:rsidP="00B139C3">
      <w:pPr>
        <w:rPr>
          <w:rFonts w:eastAsia="Times New Roman"/>
          <w:color w:val="000000"/>
          <w:lang w:val="fr-FR" w:eastAsia="fr-FR"/>
        </w:rPr>
      </w:pPr>
      <w:r w:rsidRPr="00664D0A">
        <w:rPr>
          <w:rFonts w:eastAsia="Times New Roman"/>
          <w:color w:val="000000"/>
          <w:lang w:val="fr-FR" w:eastAsia="fr-FR"/>
        </w:rPr>
        <w:t>L'efficacité d'utilisation de ces plantes</w:t>
      </w:r>
    </w:p>
    <w:p w14:paraId="2A14104E" w14:textId="73DEFCC6" w:rsidR="00580E17" w:rsidRPr="003766EB" w:rsidRDefault="00580E17" w:rsidP="003766EB">
      <w:pPr>
        <w:rPr>
          <w:rFonts w:eastAsia="Times New Roman"/>
          <w:color w:val="000000"/>
          <w:lang w:val="fr-FR" w:eastAsia="fr-FR"/>
        </w:rPr>
      </w:pPr>
      <w:r w:rsidRPr="00664D0A">
        <w:rPr>
          <w:rFonts w:eastAsia="Times New Roman"/>
          <w:color w:val="000000"/>
          <w:lang w:val="fr-FR" w:eastAsia="fr-FR"/>
        </w:rPr>
        <w:t>L</w:t>
      </w:r>
      <w:r w:rsidR="003766EB">
        <w:rPr>
          <w:rFonts w:eastAsia="Times New Roman"/>
          <w:color w:val="000000"/>
          <w:lang w:val="fr-FR" w:eastAsia="fr-FR"/>
        </w:rPr>
        <w:t>es effets indésirables signalés</w:t>
      </w:r>
    </w:p>
    <w:p w14:paraId="23299782" w14:textId="6A070707" w:rsidR="00664D0A" w:rsidRPr="003766EB" w:rsidRDefault="00580E17" w:rsidP="003766EB">
      <w:pPr>
        <w:rPr>
          <w:rFonts w:eastAsia="Times New Roman"/>
          <w:b/>
          <w:bCs/>
          <w:color w:val="000000"/>
          <w:sz w:val="28"/>
          <w:szCs w:val="28"/>
          <w:lang w:val="fr-FR" w:eastAsia="fr-FR"/>
        </w:rPr>
      </w:pPr>
      <w:proofErr w:type="gramStart"/>
      <w:r w:rsidRPr="003766EB">
        <w:rPr>
          <w:rFonts w:eastAsia="Times New Roman"/>
          <w:b/>
          <w:bCs/>
          <w:color w:val="000000"/>
          <w:sz w:val="28"/>
          <w:szCs w:val="28"/>
          <w:lang w:val="fr-FR" w:eastAsia="fr-FR"/>
        </w:rPr>
        <w:t>C .</w:t>
      </w:r>
      <w:proofErr w:type="gramEnd"/>
      <w:r w:rsidR="00664D0A" w:rsidRPr="003766EB">
        <w:rPr>
          <w:rFonts w:eastAsia="Times New Roman"/>
          <w:b/>
          <w:bCs/>
          <w:color w:val="000000"/>
          <w:sz w:val="28"/>
          <w:szCs w:val="28"/>
          <w:lang w:val="fr-FR" w:eastAsia="fr-FR"/>
        </w:rPr>
        <w:t xml:space="preserve"> L</w:t>
      </w:r>
      <w:r w:rsidR="003766EB">
        <w:rPr>
          <w:rFonts w:eastAsia="Times New Roman"/>
          <w:b/>
          <w:bCs/>
          <w:color w:val="000000"/>
          <w:sz w:val="28"/>
          <w:szCs w:val="28"/>
          <w:lang w:val="fr-FR" w:eastAsia="fr-FR"/>
        </w:rPr>
        <w:t>es autres paramétres étudiers :</w:t>
      </w:r>
    </w:p>
    <w:p w14:paraId="715AE017" w14:textId="77777777" w:rsidR="00BF29E3" w:rsidRPr="00A33DED" w:rsidRDefault="00BF29E3" w:rsidP="00B139C3">
      <w:pPr>
        <w:rPr>
          <w:rFonts w:eastAsia="Times New Roman"/>
          <w:color w:val="000000"/>
          <w:lang w:val="fr-FR" w:eastAsia="fr-FR"/>
        </w:rPr>
      </w:pPr>
      <w:r w:rsidRPr="00A33DED">
        <w:rPr>
          <w:rFonts w:eastAsia="Times New Roman"/>
          <w:color w:val="000000"/>
          <w:lang w:val="fr-FR" w:eastAsia="fr-FR"/>
        </w:rPr>
        <w:t>La situation familiale et le niveau d’instruction, le niveau socio-économique</w:t>
      </w:r>
    </w:p>
    <w:p w14:paraId="7AB5633B" w14:textId="2D8A6E42" w:rsidR="00580E17" w:rsidRDefault="00BF29E3" w:rsidP="003766EB">
      <w:pPr>
        <w:rPr>
          <w:rFonts w:eastAsia="Times New Roman"/>
          <w:color w:val="000000"/>
          <w:lang w:val="fr-FR" w:eastAsia="fr-FR"/>
        </w:rPr>
      </w:pPr>
      <w:proofErr w:type="gramStart"/>
      <w:r w:rsidRPr="00A33DED">
        <w:rPr>
          <w:rFonts w:eastAsia="Times New Roman"/>
          <w:color w:val="000000"/>
          <w:lang w:val="fr-FR" w:eastAsia="fr-FR"/>
        </w:rPr>
        <w:t>la</w:t>
      </w:r>
      <w:proofErr w:type="gramEnd"/>
      <w:r w:rsidRPr="00A33DED">
        <w:rPr>
          <w:rFonts w:eastAsia="Times New Roman"/>
          <w:color w:val="000000"/>
          <w:lang w:val="fr-FR" w:eastAsia="fr-FR"/>
        </w:rPr>
        <w:t xml:space="preserve"> zone de résidence</w:t>
      </w:r>
      <w:r w:rsidR="003766EB">
        <w:rPr>
          <w:rFonts w:eastAsia="Times New Roman"/>
          <w:color w:val="000000"/>
          <w:lang w:val="fr-FR" w:eastAsia="fr-FR"/>
        </w:rPr>
        <w:t xml:space="preserve"> </w:t>
      </w:r>
    </w:p>
    <w:p w14:paraId="1F00BD39" w14:textId="585216E2" w:rsidR="00664D0A" w:rsidRPr="003766EB" w:rsidRDefault="00664D0A" w:rsidP="003766EB">
      <w:pPr>
        <w:rPr>
          <w:rFonts w:eastAsia="Times New Roman"/>
          <w:b/>
          <w:bCs/>
          <w:color w:val="000000"/>
          <w:sz w:val="28"/>
          <w:szCs w:val="24"/>
          <w:lang w:val="fr-FR" w:eastAsia="fr-FR"/>
        </w:rPr>
      </w:pPr>
      <w:r w:rsidRPr="003766EB">
        <w:rPr>
          <w:rFonts w:eastAsia="Times New Roman"/>
          <w:b/>
          <w:bCs/>
          <w:color w:val="000000"/>
          <w:sz w:val="32"/>
          <w:szCs w:val="32"/>
          <w:lang w:val="fr-FR" w:eastAsia="fr-FR"/>
        </w:rPr>
        <w:t xml:space="preserve">4/Traitement des données et tests statistiques : </w:t>
      </w:r>
    </w:p>
    <w:p w14:paraId="7A68029A" w14:textId="2E70B0DE" w:rsidR="00664D0A" w:rsidRPr="00664D0A" w:rsidRDefault="00664D0A" w:rsidP="00B139C3">
      <w:pPr>
        <w:rPr>
          <w:rFonts w:eastAsia="Times New Roman"/>
          <w:color w:val="000000"/>
          <w:lang w:val="fr-FR" w:eastAsia="fr-FR"/>
        </w:rPr>
      </w:pPr>
      <w:r w:rsidRPr="00664D0A">
        <w:rPr>
          <w:rFonts w:eastAsia="Times New Roman"/>
          <w:color w:val="000000"/>
          <w:lang w:val="fr-FR" w:eastAsia="fr-FR"/>
        </w:rPr>
        <w:t>L’étude a été réalisée grâce à une fiche d’enquête informatisée (la fiche technique)</w:t>
      </w:r>
      <w:r w:rsidR="00F568F0">
        <w:rPr>
          <w:rFonts w:eastAsia="Times New Roman"/>
          <w:color w:val="000000"/>
          <w:lang w:val="fr-FR" w:eastAsia="fr-FR"/>
        </w:rPr>
        <w:t xml:space="preserve"> en </w:t>
      </w:r>
      <w:proofErr w:type="gramStart"/>
      <w:r w:rsidR="00F568F0">
        <w:rPr>
          <w:rFonts w:eastAsia="Times New Roman"/>
          <w:color w:val="000000"/>
          <w:lang w:val="fr-FR" w:eastAsia="fr-FR"/>
        </w:rPr>
        <w:t xml:space="preserve">présentiel </w:t>
      </w:r>
      <w:r w:rsidRPr="00664D0A">
        <w:rPr>
          <w:rFonts w:eastAsia="Times New Roman"/>
          <w:color w:val="000000"/>
          <w:lang w:val="fr-FR" w:eastAsia="fr-FR"/>
        </w:rPr>
        <w:t>.</w:t>
      </w:r>
      <w:proofErr w:type="gramEnd"/>
      <w:r w:rsidRPr="00664D0A">
        <w:rPr>
          <w:rFonts w:eastAsia="Times New Roman"/>
          <w:color w:val="000000"/>
          <w:lang w:val="fr-FR" w:eastAsia="fr-FR"/>
        </w:rPr>
        <w:t xml:space="preserve"> </w:t>
      </w:r>
    </w:p>
    <w:p w14:paraId="0338D86B" w14:textId="38F39CE1" w:rsidR="00664D0A" w:rsidRPr="00664D0A" w:rsidRDefault="00664D0A" w:rsidP="00B139C3">
      <w:pPr>
        <w:rPr>
          <w:rFonts w:eastAsia="Times New Roman"/>
          <w:color w:val="000000"/>
          <w:lang w:val="fr-FR" w:eastAsia="fr-FR"/>
        </w:rPr>
      </w:pPr>
      <w:r w:rsidRPr="00664D0A">
        <w:rPr>
          <w:rFonts w:eastAsia="Times New Roman"/>
          <w:color w:val="000000"/>
          <w:lang w:val="fr-FR" w:eastAsia="fr-FR"/>
        </w:rPr>
        <w:t>Dans un premier temps, nous avons procédé au recrutement des données, la saisie sur</w:t>
      </w:r>
      <w:proofErr w:type="gramStart"/>
      <w:r w:rsidRPr="00664D0A">
        <w:rPr>
          <w:rFonts w:eastAsia="Times New Roman"/>
          <w:color w:val="000000"/>
          <w:lang w:val="fr-FR" w:eastAsia="fr-FR"/>
        </w:rPr>
        <w:t xml:space="preserve"> «google</w:t>
      </w:r>
      <w:proofErr w:type="gramEnd"/>
      <w:r w:rsidRPr="00664D0A">
        <w:rPr>
          <w:rFonts w:eastAsia="Times New Roman"/>
          <w:color w:val="000000"/>
          <w:lang w:val="fr-FR" w:eastAsia="fr-FR"/>
        </w:rPr>
        <w:t xml:space="preserve"> form»  puis le logiciel « EXCEL </w:t>
      </w:r>
      <w:r w:rsidR="00F568F0">
        <w:rPr>
          <w:rFonts w:eastAsia="Times New Roman"/>
          <w:color w:val="000000"/>
          <w:lang w:val="fr-FR" w:eastAsia="fr-FR"/>
        </w:rPr>
        <w:t xml:space="preserve">2019 </w:t>
      </w:r>
      <w:r w:rsidRPr="00664D0A">
        <w:rPr>
          <w:rFonts w:eastAsia="Times New Roman"/>
          <w:color w:val="000000"/>
          <w:lang w:val="fr-FR" w:eastAsia="fr-FR"/>
        </w:rPr>
        <w:t>» avec contrôle des valeurs.</w:t>
      </w:r>
    </w:p>
    <w:p w14:paraId="36D327C3" w14:textId="77777777" w:rsidR="00664D0A" w:rsidRDefault="00664D0A" w:rsidP="00B139C3">
      <w:pPr>
        <w:rPr>
          <w:rFonts w:eastAsia="Times New Roman"/>
          <w:color w:val="000000"/>
          <w:lang w:val="fr-FR" w:eastAsia="fr-FR"/>
        </w:rPr>
      </w:pPr>
      <w:r>
        <w:rPr>
          <w:rFonts w:eastAsia="Times New Roman"/>
          <w:color w:val="000000"/>
          <w:lang w:val="fr-FR" w:eastAsia="fr-FR"/>
        </w:rPr>
        <w:br w:type="page"/>
      </w:r>
    </w:p>
    <w:p w14:paraId="5DA921BB" w14:textId="77777777" w:rsidR="00664D0A" w:rsidRPr="00664D0A" w:rsidRDefault="00664D0A" w:rsidP="00B139C3">
      <w:pPr>
        <w:rPr>
          <w:rFonts w:eastAsia="Times New Roman"/>
          <w:color w:val="000000"/>
          <w:lang w:val="fr-FR" w:eastAsia="fr-FR"/>
        </w:rPr>
      </w:pPr>
    </w:p>
    <w:p w14:paraId="3C7FF520" w14:textId="77777777" w:rsidR="00664D0A" w:rsidRPr="00664D0A" w:rsidRDefault="00664D0A" w:rsidP="00B139C3">
      <w:pPr>
        <w:rPr>
          <w:rFonts w:eastAsia="Times New Roman"/>
          <w:color w:val="000000"/>
          <w:lang w:val="fr-FR" w:eastAsia="fr-FR"/>
        </w:rPr>
      </w:pPr>
    </w:p>
    <w:p w14:paraId="13EB9F93" w14:textId="77777777" w:rsidR="00664D0A" w:rsidRPr="00664D0A" w:rsidRDefault="00664D0A" w:rsidP="00B139C3">
      <w:pPr>
        <w:rPr>
          <w:rFonts w:eastAsia="Times New Roman"/>
          <w:color w:val="000000"/>
          <w:lang w:val="fr-FR" w:eastAsia="fr-FR"/>
        </w:rPr>
      </w:pPr>
    </w:p>
    <w:p w14:paraId="515580CD" w14:textId="77777777" w:rsidR="00664D0A" w:rsidRPr="00664D0A" w:rsidRDefault="00664D0A" w:rsidP="00B139C3">
      <w:pPr>
        <w:rPr>
          <w:rFonts w:eastAsia="Times New Roman"/>
          <w:color w:val="000000"/>
          <w:lang w:val="fr-FR" w:eastAsia="fr-FR"/>
        </w:rPr>
      </w:pPr>
    </w:p>
    <w:p w14:paraId="583B0D5E" w14:textId="77777777" w:rsidR="00664D0A" w:rsidRPr="00664D0A" w:rsidRDefault="00664D0A" w:rsidP="00B139C3">
      <w:pPr>
        <w:rPr>
          <w:rFonts w:eastAsia="Times New Roman"/>
          <w:color w:val="000000"/>
          <w:lang w:val="fr-FR" w:eastAsia="fr-FR"/>
        </w:rPr>
      </w:pPr>
    </w:p>
    <w:p w14:paraId="6C7CA144" w14:textId="77777777" w:rsidR="00664D0A" w:rsidRPr="00664D0A" w:rsidRDefault="00664D0A" w:rsidP="00B139C3">
      <w:pPr>
        <w:rPr>
          <w:rFonts w:eastAsia="Times New Roman"/>
          <w:color w:val="000000"/>
          <w:lang w:val="fr-FR" w:eastAsia="fr-FR"/>
        </w:rPr>
      </w:pPr>
    </w:p>
    <w:p w14:paraId="0443B0E8" w14:textId="77777777" w:rsidR="00664D0A" w:rsidRPr="00664D0A" w:rsidRDefault="00664D0A" w:rsidP="00B139C3">
      <w:pPr>
        <w:rPr>
          <w:rFonts w:eastAsia="Times New Roman"/>
          <w:color w:val="000000"/>
          <w:lang w:val="fr-FR" w:eastAsia="fr-FR"/>
        </w:rPr>
      </w:pPr>
    </w:p>
    <w:p w14:paraId="33E669DB" w14:textId="77777777" w:rsidR="00664D0A" w:rsidRPr="00664D0A" w:rsidRDefault="00664D0A" w:rsidP="00B139C3">
      <w:pPr>
        <w:rPr>
          <w:rFonts w:eastAsia="Times New Roman"/>
          <w:color w:val="000000"/>
          <w:lang w:val="fr-FR" w:eastAsia="fr-FR"/>
        </w:rPr>
      </w:pPr>
    </w:p>
    <w:p w14:paraId="2977CB87" w14:textId="66170D96" w:rsidR="00664D0A" w:rsidRDefault="003766EB" w:rsidP="00B139C3">
      <w:pPr>
        <w:rPr>
          <w:sz w:val="72"/>
          <w:szCs w:val="72"/>
          <w:lang w:val="fr-FR"/>
        </w:rPr>
      </w:pPr>
      <w:r w:rsidRPr="003766EB">
        <w:rPr>
          <w:noProof/>
          <w:lang w:val="fr-FR" w:eastAsia="fr-FR"/>
        </w:rPr>
        <mc:AlternateContent>
          <mc:Choice Requires="wps">
            <w:drawing>
              <wp:anchor distT="0" distB="0" distL="114300" distR="114300" simplePos="0" relativeHeight="251676672" behindDoc="0" locked="0" layoutInCell="1" allowOverlap="1" wp14:anchorId="6DCF1561" wp14:editId="1D711E91">
                <wp:simplePos x="0" y="0"/>
                <wp:positionH relativeFrom="margin">
                  <wp:align>center</wp:align>
                </wp:positionH>
                <wp:positionV relativeFrom="paragraph">
                  <wp:posOffset>312986</wp:posOffset>
                </wp:positionV>
                <wp:extent cx="4797188" cy="3582537"/>
                <wp:effectExtent l="0" t="0" r="22860" b="18415"/>
                <wp:wrapNone/>
                <wp:docPr id="48" name="Snip Diagonal Corner Rectangle 48"/>
                <wp:cNvGraphicFramePr/>
                <a:graphic xmlns:a="http://schemas.openxmlformats.org/drawingml/2006/main">
                  <a:graphicData uri="http://schemas.microsoft.com/office/word/2010/wordprocessingShape">
                    <wps:wsp>
                      <wps:cNvSpPr/>
                      <wps:spPr>
                        <a:xfrm>
                          <a:off x="0" y="0"/>
                          <a:ext cx="4797188" cy="3582537"/>
                        </a:xfrm>
                        <a:prstGeom prst="snip2DiagRect">
                          <a:avLst/>
                        </a:prstGeom>
                        <a:solidFill>
                          <a:sysClr val="window" lastClr="FFFFFF"/>
                        </a:solidFill>
                        <a:ln w="12700" cap="flat" cmpd="sng" algn="ctr">
                          <a:solidFill>
                            <a:sysClr val="windowText" lastClr="000000"/>
                          </a:solidFill>
                          <a:prstDash val="solid"/>
                          <a:miter lim="800000"/>
                        </a:ln>
                        <a:effectLst/>
                      </wps:spPr>
                      <wps:txbx>
                        <w:txbxContent>
                          <w:p w14:paraId="6044BD5B" w14:textId="3D3C273E" w:rsidR="00F568F0" w:rsidRPr="003766EB" w:rsidRDefault="00F568F0" w:rsidP="007277D4">
                            <w:pPr>
                              <w:jc w:val="center"/>
                              <w:outlineLvl w:val="0"/>
                              <w:rPr>
                                <w:rFonts w:cstheme="majorBidi"/>
                                <w:b/>
                                <w:bCs/>
                                <w:sz w:val="144"/>
                                <w:szCs w:val="144"/>
                                <w:lang w:val="fr-FR"/>
                              </w:rPr>
                            </w:pPr>
                            <w:bookmarkStart w:id="159" w:name="_Toc229618849"/>
                            <w:r>
                              <w:rPr>
                                <w:b/>
                                <w:bCs/>
                                <w:sz w:val="96"/>
                                <w:szCs w:val="96"/>
                                <w:lang w:val="fr-FR"/>
                              </w:rPr>
                              <w:t>Résultats</w:t>
                            </w:r>
                            <w:bookmarkEnd w:id="15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F1561" id="Snip Diagonal Corner Rectangle 48" o:spid="_x0000_s1031" style="position:absolute;margin-left:0;margin-top:24.65pt;width:377.75pt;height:282.1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797188,358253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" adj="-11796480,,5400" path="m,l4200087,r597101,597101l4797188,3582537r,l597101,3582537,,2985436,,xe" fillcolor="window" strokecolor="windowText" strokeweight="1pt">
                <v:stroke joinstyle="miter"/>
                <v:formulas/>
                <v:path arrowok="t" o:connecttype="custom" o:connectlocs="0,0;4200087,0;4797188,597101;4797188,3582537;4797188,3582537;597101,3582537;0,2985436;0,0" o:connectangles="0,0,0,0,0,0,0,0" textboxrect="0,0,4797188,3582537"/>
                <v:textbox>
                  <w:txbxContent>
                    <w:p w14:paraId="6044BD5B" w14:textId="3D3C273E" w:rsidR="00F568F0" w:rsidRPr="003766EB" w:rsidRDefault="00F568F0" w:rsidP="007277D4">
                      <w:pPr>
                        <w:jc w:val="center"/>
                        <w:outlineLvl w:val="0"/>
                        <w:rPr>
                          <w:rFonts w:cstheme="majorBidi"/>
                          <w:b/>
                          <w:bCs/>
                          <w:sz w:val="144"/>
                          <w:szCs w:val="144"/>
                          <w:lang w:val="fr-FR"/>
                        </w:rPr>
                      </w:pPr>
                      <w:bookmarkStart w:id="163" w:name="_Toc229618849"/>
                      <w:r>
                        <w:rPr>
                          <w:b/>
                          <w:bCs/>
                          <w:sz w:val="96"/>
                          <w:szCs w:val="96"/>
                          <w:lang w:val="fr-FR"/>
                        </w:rPr>
                        <w:t>Résultats</w:t>
                      </w:r>
                      <w:bookmarkEnd w:id="163"/>
                    </w:p>
                  </w:txbxContent>
                </v:textbox>
                <w10:wrap anchorx="margin"/>
              </v:shape>
            </w:pict>
          </mc:Fallback>
        </mc:AlternateContent>
      </w:r>
    </w:p>
    <w:p w14:paraId="73C7D321" w14:textId="68A301E2" w:rsidR="00664D0A" w:rsidRDefault="00664D0A" w:rsidP="00B139C3">
      <w:pPr>
        <w:rPr>
          <w:sz w:val="72"/>
          <w:szCs w:val="72"/>
          <w:lang w:val="fr-FR"/>
        </w:rPr>
      </w:pPr>
    </w:p>
    <w:p w14:paraId="53FB9811" w14:textId="7B6AAD96" w:rsidR="00664D0A" w:rsidRDefault="00664D0A" w:rsidP="00B139C3">
      <w:pPr>
        <w:rPr>
          <w:sz w:val="72"/>
          <w:szCs w:val="72"/>
          <w:lang w:val="fr-FR"/>
        </w:rPr>
      </w:pPr>
    </w:p>
    <w:p w14:paraId="7605A069" w14:textId="196226BA" w:rsidR="00664D0A" w:rsidRDefault="00664D0A" w:rsidP="00B139C3">
      <w:pPr>
        <w:rPr>
          <w:sz w:val="72"/>
          <w:szCs w:val="72"/>
          <w:lang w:val="fr-FR"/>
        </w:rPr>
      </w:pPr>
    </w:p>
    <w:p w14:paraId="50E7CCFC" w14:textId="74AE8451" w:rsidR="00664D0A" w:rsidRDefault="00664D0A" w:rsidP="003766EB">
      <w:pPr>
        <w:rPr>
          <w:sz w:val="72"/>
          <w:szCs w:val="72"/>
          <w:lang w:val="fr-FR"/>
        </w:rPr>
      </w:pPr>
    </w:p>
    <w:p w14:paraId="67AFCEAA" w14:textId="77777777" w:rsidR="00664D0A" w:rsidRDefault="00664D0A" w:rsidP="00B139C3">
      <w:pPr>
        <w:rPr>
          <w:sz w:val="72"/>
          <w:szCs w:val="72"/>
          <w:lang w:val="fr-FR"/>
        </w:rPr>
      </w:pPr>
      <w:r>
        <w:rPr>
          <w:sz w:val="72"/>
          <w:szCs w:val="72"/>
          <w:lang w:val="fr-FR"/>
        </w:rPr>
        <w:br w:type="page"/>
      </w:r>
    </w:p>
    <w:p w14:paraId="5E9837E8" w14:textId="77777777" w:rsidR="00664D0A" w:rsidRPr="007277D4" w:rsidRDefault="00664D0A" w:rsidP="00B139C3">
      <w:pPr>
        <w:rPr>
          <w:b/>
          <w:bCs/>
          <w:sz w:val="32"/>
          <w:szCs w:val="32"/>
          <w:lang w:val="fr-FR"/>
        </w:rPr>
      </w:pPr>
      <w:r w:rsidRPr="007277D4">
        <w:rPr>
          <w:b/>
          <w:bCs/>
          <w:sz w:val="32"/>
          <w:szCs w:val="32"/>
          <w:lang w:val="fr-FR"/>
        </w:rPr>
        <w:lastRenderedPageBreak/>
        <w:t>1/Répartition des patients diabétiques selon le recours à la phytothérapie :</w:t>
      </w:r>
    </w:p>
    <w:p w14:paraId="10A5AB8E" w14:textId="77777777" w:rsidR="00664D0A" w:rsidRPr="00664D0A" w:rsidRDefault="00664D0A" w:rsidP="00B139C3">
      <w:pPr>
        <w:rPr>
          <w:color w:val="44546A" w:themeColor="text2"/>
          <w:sz w:val="28"/>
          <w:szCs w:val="28"/>
          <w:lang w:val="fr-FR"/>
        </w:rPr>
      </w:pPr>
      <w:proofErr w:type="gramStart"/>
      <w:r w:rsidRPr="00664D0A">
        <w:rPr>
          <w:color w:val="44546A" w:themeColor="text2"/>
          <w:sz w:val="28"/>
          <w:szCs w:val="28"/>
          <w:lang w:val="fr-FR"/>
        </w:rPr>
        <w:t>description:</w:t>
      </w:r>
      <w:proofErr w:type="gramEnd"/>
    </w:p>
    <w:p w14:paraId="7AB06A50" w14:textId="5ED658EB" w:rsidR="00664D0A" w:rsidRPr="00664D0A" w:rsidRDefault="00664D0A" w:rsidP="00CB543A">
      <w:pPr>
        <w:rPr>
          <w:lang w:val="fr-FR"/>
        </w:rPr>
      </w:pPr>
      <w:r w:rsidRPr="00664D0A">
        <w:rPr>
          <w:lang w:val="fr-FR"/>
        </w:rPr>
        <w:t>Parmi les 251 patients atteints de diabète de type 2 inclus dans notre étude, 158 patients ont déclaré avoir recours à la phytothérapie dans la prise en charge de leur maladie, soit une fréquence de 62,9 %. En revanche, 93 patients, représentant 37,1 % de la population étudiée, ont affirmé ne pas ut</w:t>
      </w:r>
      <w:r w:rsidR="00CB543A">
        <w:rPr>
          <w:lang w:val="fr-FR"/>
        </w:rPr>
        <w:t xml:space="preserve">iliser de plantes médicinales. </w:t>
      </w:r>
    </w:p>
    <w:p w14:paraId="37340268" w14:textId="1FFEE763" w:rsidR="00CB543A" w:rsidRDefault="00CB543A" w:rsidP="00CB543A">
      <w:pPr>
        <w:pStyle w:val="Caption"/>
        <w:keepNext/>
      </w:pPr>
      <w:bookmarkStart w:id="160" w:name="_Toc229617373"/>
      <w:r>
        <w:t xml:space="preserve">Tableau </w:t>
      </w:r>
      <w:r>
        <w:fldChar w:fldCharType="begin"/>
      </w:r>
      <w:r>
        <w:instrText xml:space="preserve"> SEQ Tableau \* ARABIC </w:instrText>
      </w:r>
      <w:r>
        <w:fldChar w:fldCharType="separate"/>
      </w:r>
      <w:r w:rsidR="00983108">
        <w:rPr>
          <w:noProof/>
        </w:rPr>
        <w:t>12</w:t>
      </w:r>
      <w:r>
        <w:fldChar w:fldCharType="end"/>
      </w:r>
      <w:r>
        <w:t xml:space="preserve"> </w:t>
      </w:r>
      <w:r w:rsidRPr="001D7B19">
        <w:t>Répartition des patients diabétiques selon le recours à la phytothérapie (N = 251)</w:t>
      </w:r>
      <w:bookmarkEnd w:id="160"/>
    </w:p>
    <w:tbl>
      <w:tblPr>
        <w:tblW w:w="0" w:type="auto"/>
        <w:tblLook w:val="04A0" w:firstRow="1" w:lastRow="0" w:firstColumn="1" w:lastColumn="0" w:noHBand="0" w:noVBand="1"/>
      </w:tblPr>
      <w:tblGrid>
        <w:gridCol w:w="2782"/>
        <w:gridCol w:w="1289"/>
        <w:gridCol w:w="1636"/>
      </w:tblGrid>
      <w:tr w:rsidR="00664D0A" w:rsidRPr="00927A76" w14:paraId="3C00A60D" w14:textId="77777777" w:rsidTr="00784D29">
        <w:tc>
          <w:tcPr>
            <w:tcW w:w="0" w:type="auto"/>
            <w:hideMark/>
          </w:tcPr>
          <w:p w14:paraId="5CEB8316" w14:textId="77777777" w:rsidR="00664D0A" w:rsidRPr="00927A76" w:rsidRDefault="00664D0A" w:rsidP="00B139C3">
            <w:pPr>
              <w:rPr>
                <w:rFonts w:eastAsia="Times New Roman"/>
                <w:lang w:eastAsia="fr-FR"/>
              </w:rPr>
            </w:pPr>
            <w:r w:rsidRPr="00927A76">
              <w:rPr>
                <w:rFonts w:eastAsia="Times New Roman"/>
                <w:lang w:eastAsia="fr-FR"/>
              </w:rPr>
              <w:t>Recours à la phytothérapie</w:t>
            </w:r>
          </w:p>
        </w:tc>
        <w:tc>
          <w:tcPr>
            <w:tcW w:w="0" w:type="auto"/>
            <w:hideMark/>
          </w:tcPr>
          <w:p w14:paraId="5210BEEE" w14:textId="77777777" w:rsidR="00664D0A" w:rsidRPr="00927A76" w:rsidRDefault="00664D0A" w:rsidP="00B139C3">
            <w:pPr>
              <w:rPr>
                <w:rFonts w:eastAsia="Times New Roman"/>
                <w:lang w:eastAsia="fr-FR"/>
              </w:rPr>
            </w:pPr>
            <w:r w:rsidRPr="00927A76">
              <w:rPr>
                <w:rFonts w:eastAsia="Times New Roman"/>
                <w:lang w:eastAsia="fr-FR"/>
              </w:rPr>
              <w:t>Effectif (n)</w:t>
            </w:r>
          </w:p>
        </w:tc>
        <w:tc>
          <w:tcPr>
            <w:tcW w:w="0" w:type="auto"/>
            <w:hideMark/>
          </w:tcPr>
          <w:p w14:paraId="6779856D" w14:textId="77777777" w:rsidR="00664D0A" w:rsidRPr="00927A76" w:rsidRDefault="00664D0A" w:rsidP="00B139C3">
            <w:pPr>
              <w:rPr>
                <w:rFonts w:eastAsia="Times New Roman"/>
                <w:lang w:eastAsia="fr-FR"/>
              </w:rPr>
            </w:pPr>
            <w:r w:rsidRPr="00927A76">
              <w:rPr>
                <w:rFonts w:eastAsia="Times New Roman"/>
                <w:lang w:eastAsia="fr-FR"/>
              </w:rPr>
              <w:t>Fréquence (%)</w:t>
            </w:r>
          </w:p>
        </w:tc>
      </w:tr>
      <w:tr w:rsidR="00664D0A" w:rsidRPr="00927A76" w14:paraId="15D36D3F" w14:textId="77777777" w:rsidTr="00784D29">
        <w:tc>
          <w:tcPr>
            <w:tcW w:w="0" w:type="auto"/>
            <w:hideMark/>
          </w:tcPr>
          <w:p w14:paraId="7FEF196F" w14:textId="77777777" w:rsidR="00664D0A" w:rsidRPr="00927A76" w:rsidRDefault="00664D0A" w:rsidP="00B139C3">
            <w:pPr>
              <w:rPr>
                <w:rFonts w:eastAsia="Times New Roman"/>
                <w:lang w:eastAsia="fr-FR"/>
              </w:rPr>
            </w:pPr>
            <w:r w:rsidRPr="00927A76">
              <w:rPr>
                <w:rFonts w:eastAsia="Times New Roman"/>
                <w:bdr w:val="none" w:sz="0" w:space="0" w:color="auto" w:frame="1"/>
                <w:lang w:eastAsia="fr-FR"/>
              </w:rPr>
              <w:t>Utilisateurs (Oui)</w:t>
            </w:r>
          </w:p>
        </w:tc>
        <w:tc>
          <w:tcPr>
            <w:tcW w:w="0" w:type="auto"/>
            <w:hideMark/>
          </w:tcPr>
          <w:p w14:paraId="12AFB9ED" w14:textId="77777777" w:rsidR="00664D0A" w:rsidRPr="00927A76" w:rsidRDefault="00664D0A" w:rsidP="00B139C3">
            <w:pPr>
              <w:rPr>
                <w:rFonts w:eastAsia="Times New Roman"/>
                <w:lang w:eastAsia="fr-FR"/>
              </w:rPr>
            </w:pPr>
            <w:r w:rsidRPr="00927A76">
              <w:rPr>
                <w:rFonts w:eastAsia="Times New Roman"/>
                <w:bdr w:val="none" w:sz="0" w:space="0" w:color="auto" w:frame="1"/>
                <w:lang w:eastAsia="fr-FR"/>
              </w:rPr>
              <w:t>158</w:t>
            </w:r>
          </w:p>
        </w:tc>
        <w:tc>
          <w:tcPr>
            <w:tcW w:w="0" w:type="auto"/>
            <w:hideMark/>
          </w:tcPr>
          <w:p w14:paraId="7A7C83A6" w14:textId="77777777" w:rsidR="00664D0A" w:rsidRPr="00927A76" w:rsidRDefault="00664D0A" w:rsidP="00B139C3">
            <w:pPr>
              <w:rPr>
                <w:rFonts w:eastAsia="Times New Roman"/>
                <w:lang w:eastAsia="fr-FR"/>
              </w:rPr>
            </w:pPr>
            <w:r w:rsidRPr="00927A76">
              <w:rPr>
                <w:rFonts w:eastAsia="Times New Roman"/>
                <w:bdr w:val="none" w:sz="0" w:space="0" w:color="auto" w:frame="1"/>
                <w:lang w:eastAsia="fr-FR"/>
              </w:rPr>
              <w:t>62,9 %</w:t>
            </w:r>
          </w:p>
        </w:tc>
      </w:tr>
      <w:tr w:rsidR="00664D0A" w:rsidRPr="00927A76" w14:paraId="62D94C6C" w14:textId="77777777" w:rsidTr="00784D29">
        <w:tc>
          <w:tcPr>
            <w:tcW w:w="0" w:type="auto"/>
            <w:hideMark/>
          </w:tcPr>
          <w:p w14:paraId="6B12B9C3" w14:textId="77777777" w:rsidR="00664D0A" w:rsidRPr="00927A76" w:rsidRDefault="00664D0A" w:rsidP="00B139C3">
            <w:pPr>
              <w:rPr>
                <w:rFonts w:eastAsia="Times New Roman"/>
                <w:lang w:eastAsia="fr-FR"/>
              </w:rPr>
            </w:pPr>
            <w:r w:rsidRPr="00927A76">
              <w:rPr>
                <w:rFonts w:eastAsia="Times New Roman"/>
                <w:bdr w:val="none" w:sz="0" w:space="0" w:color="auto" w:frame="1"/>
                <w:lang w:eastAsia="fr-FR"/>
              </w:rPr>
              <w:t>Non-utilisateurs (Non)</w:t>
            </w:r>
          </w:p>
        </w:tc>
        <w:tc>
          <w:tcPr>
            <w:tcW w:w="0" w:type="auto"/>
            <w:hideMark/>
          </w:tcPr>
          <w:p w14:paraId="486D70AA" w14:textId="77777777" w:rsidR="00664D0A" w:rsidRPr="00927A76" w:rsidRDefault="00664D0A" w:rsidP="00B139C3">
            <w:pPr>
              <w:rPr>
                <w:rFonts w:eastAsia="Times New Roman"/>
                <w:lang w:eastAsia="fr-FR"/>
              </w:rPr>
            </w:pPr>
            <w:r w:rsidRPr="00927A76">
              <w:rPr>
                <w:rFonts w:eastAsia="Times New Roman"/>
                <w:bdr w:val="none" w:sz="0" w:space="0" w:color="auto" w:frame="1"/>
                <w:lang w:eastAsia="fr-FR"/>
              </w:rPr>
              <w:t>93</w:t>
            </w:r>
          </w:p>
        </w:tc>
        <w:tc>
          <w:tcPr>
            <w:tcW w:w="0" w:type="auto"/>
            <w:hideMark/>
          </w:tcPr>
          <w:p w14:paraId="2988094B" w14:textId="77777777" w:rsidR="00664D0A" w:rsidRPr="00927A76" w:rsidRDefault="00664D0A" w:rsidP="00B139C3">
            <w:pPr>
              <w:rPr>
                <w:rFonts w:eastAsia="Times New Roman"/>
                <w:lang w:eastAsia="fr-FR"/>
              </w:rPr>
            </w:pPr>
            <w:r w:rsidRPr="00927A76">
              <w:rPr>
                <w:rFonts w:eastAsia="Times New Roman"/>
                <w:bdr w:val="none" w:sz="0" w:space="0" w:color="auto" w:frame="1"/>
                <w:lang w:eastAsia="fr-FR"/>
              </w:rPr>
              <w:t>37,1 %</w:t>
            </w:r>
          </w:p>
        </w:tc>
      </w:tr>
      <w:tr w:rsidR="00664D0A" w:rsidRPr="00927A76" w14:paraId="7C458289" w14:textId="77777777" w:rsidTr="00784D29">
        <w:tc>
          <w:tcPr>
            <w:tcW w:w="0" w:type="auto"/>
            <w:hideMark/>
          </w:tcPr>
          <w:p w14:paraId="4555C4B1" w14:textId="77777777" w:rsidR="00664D0A" w:rsidRPr="00927A76" w:rsidRDefault="00664D0A" w:rsidP="00B139C3">
            <w:pPr>
              <w:rPr>
                <w:rFonts w:eastAsia="Times New Roman"/>
                <w:lang w:eastAsia="fr-FR"/>
              </w:rPr>
            </w:pPr>
            <w:r w:rsidRPr="00927A76">
              <w:rPr>
                <w:rFonts w:eastAsia="Times New Roman"/>
                <w:bdr w:val="none" w:sz="0" w:space="0" w:color="auto" w:frame="1"/>
                <w:lang w:eastAsia="fr-FR"/>
              </w:rPr>
              <w:t>Total</w:t>
            </w:r>
          </w:p>
        </w:tc>
        <w:tc>
          <w:tcPr>
            <w:tcW w:w="0" w:type="auto"/>
            <w:hideMark/>
          </w:tcPr>
          <w:p w14:paraId="0667A501" w14:textId="77777777" w:rsidR="00664D0A" w:rsidRPr="00927A76" w:rsidRDefault="00664D0A" w:rsidP="00B139C3">
            <w:pPr>
              <w:rPr>
                <w:rFonts w:eastAsia="Times New Roman"/>
                <w:lang w:eastAsia="fr-FR"/>
              </w:rPr>
            </w:pPr>
            <w:r w:rsidRPr="00927A76">
              <w:rPr>
                <w:rFonts w:eastAsia="Times New Roman"/>
                <w:bdr w:val="none" w:sz="0" w:space="0" w:color="auto" w:frame="1"/>
                <w:lang w:eastAsia="fr-FR"/>
              </w:rPr>
              <w:t>251</w:t>
            </w:r>
          </w:p>
        </w:tc>
        <w:tc>
          <w:tcPr>
            <w:tcW w:w="0" w:type="auto"/>
            <w:hideMark/>
          </w:tcPr>
          <w:p w14:paraId="5131BDA7" w14:textId="77777777" w:rsidR="00664D0A" w:rsidRPr="00927A76" w:rsidRDefault="00664D0A" w:rsidP="00B139C3">
            <w:pPr>
              <w:rPr>
                <w:rFonts w:eastAsia="Times New Roman"/>
                <w:lang w:eastAsia="fr-FR"/>
              </w:rPr>
            </w:pPr>
            <w:r w:rsidRPr="00927A76">
              <w:rPr>
                <w:rFonts w:eastAsia="Times New Roman"/>
                <w:bdr w:val="none" w:sz="0" w:space="0" w:color="auto" w:frame="1"/>
                <w:lang w:eastAsia="fr-FR"/>
              </w:rPr>
              <w:t>100 %</w:t>
            </w:r>
          </w:p>
        </w:tc>
      </w:tr>
    </w:tbl>
    <w:p w14:paraId="11ADBDEE" w14:textId="77777777" w:rsidR="00664D0A" w:rsidRPr="00927A76" w:rsidRDefault="00664D0A" w:rsidP="00B139C3"/>
    <w:p w14:paraId="07BB6324" w14:textId="77777777" w:rsidR="00580E17" w:rsidRDefault="00664D0A" w:rsidP="00B139C3">
      <w:r w:rsidRPr="00927A76">
        <w:rPr>
          <w:noProof/>
          <w:lang w:val="fr-FR" w:eastAsia="fr-FR"/>
        </w:rPr>
        <w:drawing>
          <wp:inline distT="0" distB="0" distL="0" distR="0" wp14:anchorId="384E9E97" wp14:editId="3B26CEA3">
            <wp:extent cx="4572000" cy="2743200"/>
            <wp:effectExtent l="19050" t="0" r="19050" b="0"/>
            <wp:docPr id="17"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515C0630" w14:textId="0748F15A" w:rsidR="00664D0A" w:rsidRPr="00F96B82" w:rsidRDefault="00580E17" w:rsidP="00B139C3">
      <w:pPr>
        <w:rPr>
          <w:lang w:val="fr-FR"/>
        </w:rPr>
      </w:pPr>
      <w:bookmarkStart w:id="161" w:name="_Toc229617336"/>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47</w:t>
      </w:r>
      <w:r>
        <w:fldChar w:fldCharType="end"/>
      </w:r>
      <w:r w:rsidRPr="00F96B82">
        <w:rPr>
          <w:lang w:val="fr-FR"/>
        </w:rPr>
        <w:t xml:space="preserve"> Répartition des patients diabétiques selon le recours à la phytothérapie (N = 251)</w:t>
      </w:r>
      <w:bookmarkEnd w:id="161"/>
    </w:p>
    <w:p w14:paraId="52663827" w14:textId="77777777" w:rsidR="00664D0A" w:rsidRPr="00F96B82" w:rsidRDefault="00664D0A" w:rsidP="00B139C3">
      <w:pPr>
        <w:rPr>
          <w:color w:val="44546A" w:themeColor="text2"/>
          <w:sz w:val="28"/>
          <w:lang w:val="fr-FR"/>
        </w:rPr>
      </w:pPr>
      <w:r w:rsidRPr="00F96B82">
        <w:rPr>
          <w:color w:val="44546A" w:themeColor="text2"/>
          <w:sz w:val="28"/>
          <w:lang w:val="fr-FR"/>
        </w:rPr>
        <w:t xml:space="preserve">Analyse : </w:t>
      </w:r>
    </w:p>
    <w:p w14:paraId="36850C68" w14:textId="77777777" w:rsidR="00664D0A" w:rsidRPr="00664D0A" w:rsidRDefault="00664D0A" w:rsidP="00B139C3">
      <w:pPr>
        <w:rPr>
          <w:rFonts w:eastAsia="Times New Roman"/>
          <w:lang w:val="fr-FR" w:eastAsia="fr-FR"/>
        </w:rPr>
      </w:pPr>
      <w:r w:rsidRPr="00664D0A">
        <w:rPr>
          <w:rFonts w:eastAsia="Times New Roman"/>
          <w:lang w:val="fr-FR" w:eastAsia="fr-FR"/>
        </w:rPr>
        <w:t>La présente étude met en évidence une fréquence élevée du recours à la phytothérapie chez les patients atteints de diabète de type 2 dans la région de Laghouat, avec près des deux tiers des patients (62,9 %) déclarant utiliser des plantes médicinales dans la gestion de leur maladie.</w:t>
      </w:r>
    </w:p>
    <w:p w14:paraId="2939BC43" w14:textId="77777777" w:rsidR="00664D0A" w:rsidRPr="007277D4" w:rsidRDefault="00664D0A" w:rsidP="00B139C3">
      <w:pPr>
        <w:rPr>
          <w:b/>
          <w:bCs/>
          <w:sz w:val="32"/>
          <w:szCs w:val="32"/>
          <w:lang w:val="fr-FR"/>
        </w:rPr>
      </w:pPr>
      <w:r w:rsidRPr="007277D4">
        <w:rPr>
          <w:b/>
          <w:bCs/>
          <w:sz w:val="32"/>
          <w:szCs w:val="32"/>
          <w:lang w:val="fr-FR"/>
        </w:rPr>
        <w:t xml:space="preserve">2 / Les </w:t>
      </w:r>
      <w:proofErr w:type="gramStart"/>
      <w:r w:rsidRPr="007277D4">
        <w:rPr>
          <w:b/>
          <w:bCs/>
          <w:sz w:val="32"/>
          <w:szCs w:val="32"/>
          <w:lang w:val="fr-FR"/>
        </w:rPr>
        <w:t>principaux  plantes</w:t>
      </w:r>
      <w:proofErr w:type="gramEnd"/>
      <w:r w:rsidRPr="007277D4">
        <w:rPr>
          <w:b/>
          <w:bCs/>
          <w:sz w:val="32"/>
          <w:szCs w:val="32"/>
          <w:lang w:val="fr-FR"/>
        </w:rPr>
        <w:t xml:space="preserve"> médicinales utilisés chez les diabétiques dans la régions de  Laghouat  :</w:t>
      </w:r>
    </w:p>
    <w:p w14:paraId="26F81EF2" w14:textId="77777777" w:rsidR="00664D0A" w:rsidRPr="00664D0A" w:rsidRDefault="00664D0A" w:rsidP="00B139C3">
      <w:pPr>
        <w:rPr>
          <w:sz w:val="28"/>
          <w:szCs w:val="28"/>
          <w:lang w:val="fr-FR"/>
        </w:rPr>
      </w:pPr>
      <w:r w:rsidRPr="00664D0A">
        <w:rPr>
          <w:sz w:val="28"/>
          <w:szCs w:val="28"/>
          <w:lang w:val="fr-FR"/>
        </w:rPr>
        <w:t>Description :</w:t>
      </w:r>
    </w:p>
    <w:p w14:paraId="17C80421" w14:textId="77777777" w:rsidR="00664D0A" w:rsidRPr="00664D0A" w:rsidRDefault="00664D0A" w:rsidP="00B139C3">
      <w:pPr>
        <w:rPr>
          <w:lang w:val="fr-FR"/>
        </w:rPr>
      </w:pPr>
      <w:r w:rsidRPr="00664D0A">
        <w:rPr>
          <w:lang w:val="fr-FR"/>
        </w:rPr>
        <w:lastRenderedPageBreak/>
        <w:t xml:space="preserve">Le tableau met en evidence une grande diversité de plantes médicinales utilisées par les patients diabétiques dans la region de </w:t>
      </w:r>
      <w:proofErr w:type="gramStart"/>
      <w:r w:rsidRPr="00664D0A">
        <w:rPr>
          <w:lang w:val="fr-FR"/>
        </w:rPr>
        <w:t>Laghouat ,</w:t>
      </w:r>
      <w:proofErr w:type="gramEnd"/>
      <w:r w:rsidRPr="00664D0A">
        <w:rPr>
          <w:lang w:val="fr-FR"/>
        </w:rPr>
        <w:t xml:space="preserve"> appartenant à plusieurs familles botaniques différentes. Au total, les plantes recensées sont issues de 16 familles botaniques, ce qui reflète une richesse importante des ressources phytothérapeutiques mobilisées dans la population étudiée. Les familles les plus représentées sont les Astéracées, les Lamiacées, les Apiacées, les Lauracées et les Fabacées, illustrant une prédominance des familles traditionnellement connues pour leurs usages médicinaux.</w:t>
      </w:r>
    </w:p>
    <w:p w14:paraId="6F533423" w14:textId="77777777" w:rsidR="00664D0A" w:rsidRPr="00664D0A" w:rsidRDefault="00664D0A" w:rsidP="00B139C3">
      <w:pPr>
        <w:rPr>
          <w:lang w:val="fr-FR"/>
        </w:rPr>
      </w:pPr>
      <w:r w:rsidRPr="00664D0A">
        <w:rPr>
          <w:lang w:val="fr-FR"/>
        </w:rPr>
        <w:t>Une nette dominance est observée pour certaines plantes, en particulier l’Armoise (Artemisia herba-alba) appartenant à la famille des Astéracées, qui représente à elle seule 48,75% des utilisations (n=117), ce qui en fait l’espèce la plus utilisée de l’étude. Elle est suivie par la cannelle (7,5%), la coriandre (6,67%), et le fenugrec (5,83%), tandis que les autres plantes présentent des fréquences relativement faibles, généralement inférieures à 5%.</w:t>
      </w:r>
    </w:p>
    <w:p w14:paraId="66040DDC" w14:textId="77777777" w:rsidR="00664D0A" w:rsidRPr="00664D0A" w:rsidRDefault="00664D0A" w:rsidP="00B139C3">
      <w:pPr>
        <w:rPr>
          <w:lang w:val="fr-FR"/>
        </w:rPr>
      </w:pPr>
      <w:r w:rsidRPr="00664D0A">
        <w:rPr>
          <w:lang w:val="fr-FR"/>
        </w:rPr>
        <w:t>Cette distribution met en évidence une concentration de l’usage autour de quelques plantes dominantes, malgré la diversité globale des espèces utilisées.</w:t>
      </w:r>
    </w:p>
    <w:p w14:paraId="4494A789" w14:textId="77777777" w:rsidR="00664D0A" w:rsidRPr="00664D0A" w:rsidRDefault="00664D0A" w:rsidP="00B139C3">
      <w:pPr>
        <w:rPr>
          <w:lang w:val="fr-FR"/>
        </w:rPr>
      </w:pPr>
      <w:r w:rsidRPr="00664D0A">
        <w:rPr>
          <w:lang w:val="fr-FR"/>
        </w:rPr>
        <w:t>Concernant les parties utilisées, les feuilles et parties aériennes sont les plus fréquemment exploitées, notamment pour les plantes comme l’Armoise, le romarin ou la menthe. Les graines (fenugrec, cumin, coriandre) et les écorces (cannelle) représentent également des parties importantes. Le mode d’administration est exclusivement oral, ce qui montre une homogénéité dans les pratiques d’utilisation.</w:t>
      </w:r>
    </w:p>
    <w:p w14:paraId="15EBFADA" w14:textId="77777777" w:rsidR="00664D0A" w:rsidRPr="00664D0A" w:rsidRDefault="00664D0A" w:rsidP="00B139C3">
      <w:pPr>
        <w:rPr>
          <w:lang w:val="fr-FR"/>
        </w:rPr>
      </w:pPr>
      <w:r w:rsidRPr="00664D0A">
        <w:rPr>
          <w:lang w:val="fr-FR"/>
        </w:rPr>
        <w:t>Les modes de préparation les plus fréquents sont l’infusion (inf), la décoction (déc) et l’utilisation crue ou en poudre, reflétant des méthodes traditionnelles simples et accessibles.</w:t>
      </w:r>
    </w:p>
    <w:p w14:paraId="62CD4E1E" w14:textId="26244E9C" w:rsidR="00664D0A" w:rsidRDefault="00664D0A" w:rsidP="003766EB">
      <w:pPr>
        <w:rPr>
          <w:lang w:val="fr-FR"/>
        </w:rPr>
      </w:pPr>
      <w:r w:rsidRPr="00664D0A">
        <w:rPr>
          <w:lang w:val="fr-FR"/>
        </w:rPr>
        <w:t>Dans l’ensemble, ces résultats montrent que la phytothérapie utilisée par les patients diabétiques repose principalement sur des plantes locales ou largement connues dans la médecine traditionnelle. La prédominance de certaines espèces, notamment l’Armoise, suggère une forte influence des traditions ethnobotaniques locales et des pratiques transmises oralement.</w:t>
      </w:r>
    </w:p>
    <w:p w14:paraId="59E87EAD" w14:textId="77777777" w:rsidR="003766EB" w:rsidRPr="00664D0A" w:rsidRDefault="003766EB" w:rsidP="003766EB">
      <w:pPr>
        <w:rPr>
          <w:lang w:val="fr-FR"/>
        </w:rPr>
      </w:pPr>
    </w:p>
    <w:p w14:paraId="793AB6D4" w14:textId="77777777" w:rsidR="00664D0A" w:rsidRPr="00664D0A" w:rsidRDefault="00664D0A" w:rsidP="00B139C3">
      <w:pPr>
        <w:rPr>
          <w:lang w:val="fr-FR"/>
        </w:rPr>
        <w:sectPr w:rsidR="00664D0A" w:rsidRPr="00664D0A" w:rsidSect="006F25EE">
          <w:footerReference w:type="default" r:id="rId68"/>
          <w:pgSz w:w="11906" w:h="16838"/>
          <w:pgMar w:top="1417" w:right="1417" w:bottom="1417" w:left="1417" w:header="708" w:footer="708" w:gutter="0"/>
          <w:pgNumType w:start="1"/>
          <w:cols w:space="708"/>
          <w:docGrid w:linePitch="360"/>
        </w:sectPr>
      </w:pPr>
      <w:proofErr w:type="gramStart"/>
      <w:r w:rsidRPr="00664D0A">
        <w:rPr>
          <w:lang w:val="fr-FR"/>
        </w:rPr>
        <w:t>Tableau  :</w:t>
      </w:r>
      <w:proofErr w:type="gramEnd"/>
      <w:r w:rsidRPr="00664D0A">
        <w:rPr>
          <w:lang w:val="fr-FR"/>
        </w:rPr>
        <w:t xml:space="preserve"> la classification des plantes antidiabétiques recensés à Laghouat selon la famille, le nom scientifique, le nom vernaculaire, le nom en français, la partie utilisée et le mode de préparation et la voie d’administration, les différentes indices : effectifs , pourcentages </w:t>
      </w:r>
    </w:p>
    <w:tbl>
      <w:tblPr>
        <w:tblStyle w:val="GridTable1Light-Accent5"/>
        <w:tblpPr w:leftFromText="144" w:rightFromText="144" w:topFromText="4608" w:horzAnchor="margin" w:tblpXSpec="center" w:tblpYSpec="bottom"/>
        <w:tblW w:w="15740" w:type="dxa"/>
        <w:tblLook w:val="04A0" w:firstRow="1" w:lastRow="0" w:firstColumn="1" w:lastColumn="0" w:noHBand="0" w:noVBand="1"/>
      </w:tblPr>
      <w:tblGrid>
        <w:gridCol w:w="1722"/>
        <w:gridCol w:w="2541"/>
        <w:gridCol w:w="1402"/>
        <w:gridCol w:w="2575"/>
        <w:gridCol w:w="2529"/>
        <w:gridCol w:w="1189"/>
        <w:gridCol w:w="1340"/>
        <w:gridCol w:w="949"/>
        <w:gridCol w:w="1493"/>
      </w:tblGrid>
      <w:tr w:rsidR="00664D0A" w:rsidRPr="003D7502" w14:paraId="0DBC8CBC" w14:textId="77777777" w:rsidTr="003E5C80">
        <w:trPr>
          <w:cnfStyle w:val="100000000000" w:firstRow="1" w:lastRow="0" w:firstColumn="0" w:lastColumn="0" w:oddVBand="0" w:evenVBand="0" w:oddHBand="0" w:evenHBand="0" w:firstRowFirstColumn="0" w:firstRowLastColumn="0" w:lastRowFirstColumn="0" w:lastRowLastColumn="0"/>
          <w:trHeight w:val="1130"/>
        </w:trPr>
        <w:tc>
          <w:tcPr>
            <w:cnfStyle w:val="001000000000" w:firstRow="0" w:lastRow="0" w:firstColumn="1" w:lastColumn="0" w:oddVBand="0" w:evenVBand="0" w:oddHBand="0" w:evenHBand="0" w:firstRowFirstColumn="0" w:firstRowLastColumn="0" w:lastRowFirstColumn="0" w:lastRowLastColumn="0"/>
            <w:tcW w:w="1671" w:type="dxa"/>
            <w:hideMark/>
          </w:tcPr>
          <w:p w14:paraId="5C84CC5D"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lastRenderedPageBreak/>
              <w:t>La famille</w:t>
            </w:r>
          </w:p>
        </w:tc>
        <w:tc>
          <w:tcPr>
            <w:tcW w:w="2584" w:type="dxa"/>
            <w:hideMark/>
          </w:tcPr>
          <w:p w14:paraId="6DA0F49B" w14:textId="77777777" w:rsidR="00664D0A" w:rsidRPr="003D7502" w:rsidRDefault="00664D0A" w:rsidP="00B139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Le nom français</w:t>
            </w:r>
          </w:p>
        </w:tc>
        <w:tc>
          <w:tcPr>
            <w:tcW w:w="1402" w:type="dxa"/>
            <w:hideMark/>
          </w:tcPr>
          <w:p w14:paraId="52D4E2EE" w14:textId="77777777" w:rsidR="00664D0A" w:rsidRPr="00C5177C" w:rsidRDefault="00664D0A" w:rsidP="00B139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val="fr-FR" w:eastAsia="fr-FR"/>
              </w:rPr>
            </w:pPr>
            <w:r w:rsidRPr="00C5177C">
              <w:rPr>
                <w:rFonts w:ascii="Times New Roman" w:eastAsia="Times New Roman" w:hAnsi="Times New Roman" w:cs="Times New Roman"/>
                <w:b w:val="0"/>
                <w:bCs w:val="0"/>
                <w:lang w:val="fr-FR" w:eastAsia="fr-FR"/>
              </w:rPr>
              <w:t>Le nom vernaculaire (en arabe)</w:t>
            </w:r>
          </w:p>
        </w:tc>
        <w:tc>
          <w:tcPr>
            <w:tcW w:w="2613" w:type="dxa"/>
            <w:hideMark/>
          </w:tcPr>
          <w:p w14:paraId="4C12B1C8" w14:textId="77777777" w:rsidR="00664D0A" w:rsidRPr="003D7502" w:rsidRDefault="00664D0A" w:rsidP="00B139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Le nom scientifique</w:t>
            </w:r>
          </w:p>
        </w:tc>
        <w:tc>
          <w:tcPr>
            <w:tcW w:w="2579" w:type="dxa"/>
            <w:hideMark/>
          </w:tcPr>
          <w:p w14:paraId="043B2006" w14:textId="77777777" w:rsidR="00664D0A" w:rsidRPr="003D7502" w:rsidRDefault="00664D0A" w:rsidP="00B139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La partie utilisée</w:t>
            </w:r>
          </w:p>
        </w:tc>
        <w:tc>
          <w:tcPr>
            <w:tcW w:w="1190" w:type="dxa"/>
            <w:hideMark/>
          </w:tcPr>
          <w:p w14:paraId="6B483BE7" w14:textId="77777777" w:rsidR="00664D0A" w:rsidRPr="003D7502" w:rsidRDefault="00664D0A" w:rsidP="00B139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La voie d’admini-stration</w:t>
            </w:r>
          </w:p>
        </w:tc>
        <w:tc>
          <w:tcPr>
            <w:tcW w:w="1341" w:type="dxa"/>
            <w:hideMark/>
          </w:tcPr>
          <w:p w14:paraId="4D2EEFD3" w14:textId="77777777" w:rsidR="00664D0A" w:rsidRPr="003D7502" w:rsidRDefault="00664D0A" w:rsidP="00B139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Le mode de préparation</w:t>
            </w:r>
          </w:p>
        </w:tc>
        <w:tc>
          <w:tcPr>
            <w:tcW w:w="864" w:type="dxa"/>
            <w:hideMark/>
          </w:tcPr>
          <w:p w14:paraId="1CB34281" w14:textId="77777777" w:rsidR="00664D0A" w:rsidRDefault="00664D0A" w:rsidP="00B139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Effectif</w:t>
            </w:r>
          </w:p>
          <w:p w14:paraId="240B01F7" w14:textId="77777777" w:rsidR="00664D0A" w:rsidRPr="003D7502" w:rsidRDefault="00664D0A" w:rsidP="00B139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fr-FR"/>
              </w:rPr>
            </w:pPr>
            <w:r>
              <w:rPr>
                <w:rFonts w:ascii="Times New Roman" w:eastAsia="Times New Roman" w:hAnsi="Times New Roman" w:cs="Times New Roman"/>
                <w:b w:val="0"/>
                <w:bCs w:val="0"/>
                <w:lang w:eastAsia="fr-FR"/>
              </w:rPr>
              <w:t>(n)</w:t>
            </w:r>
          </w:p>
        </w:tc>
        <w:tc>
          <w:tcPr>
            <w:tcW w:w="1496" w:type="dxa"/>
            <w:hideMark/>
          </w:tcPr>
          <w:p w14:paraId="555735EC" w14:textId="77777777" w:rsidR="00664D0A" w:rsidRPr="003D7502" w:rsidRDefault="00664D0A" w:rsidP="00B139C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eastAsia="fr-FR"/>
              </w:rPr>
            </w:pPr>
            <w:r w:rsidRPr="003D7502">
              <w:rPr>
                <w:rFonts w:ascii="Times New Roman" w:eastAsia="Times New Roman" w:hAnsi="Times New Roman" w:cs="Times New Roman"/>
                <w:b w:val="0"/>
                <w:bCs w:val="0"/>
                <w:color w:val="000000"/>
                <w:lang w:eastAsia="fr-FR"/>
              </w:rPr>
              <w:t>Pourcentage (%)</w:t>
            </w:r>
          </w:p>
        </w:tc>
      </w:tr>
      <w:tr w:rsidR="00664D0A" w:rsidRPr="003D7502" w14:paraId="3DB58EF0"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val="restart"/>
            <w:hideMark/>
          </w:tcPr>
          <w:p w14:paraId="156FAE4A"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Lamiacées</w:t>
            </w:r>
          </w:p>
        </w:tc>
        <w:tc>
          <w:tcPr>
            <w:tcW w:w="2584" w:type="dxa"/>
            <w:hideMark/>
          </w:tcPr>
          <w:p w14:paraId="787E03E1"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Sauge</w:t>
            </w:r>
          </w:p>
        </w:tc>
        <w:tc>
          <w:tcPr>
            <w:tcW w:w="1402" w:type="dxa"/>
            <w:hideMark/>
          </w:tcPr>
          <w:p w14:paraId="1567B505"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الميرمية</w:t>
            </w:r>
          </w:p>
        </w:tc>
        <w:tc>
          <w:tcPr>
            <w:tcW w:w="2613" w:type="dxa"/>
            <w:hideMark/>
          </w:tcPr>
          <w:p w14:paraId="4698320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Salvia officinalis L.</w:t>
            </w:r>
          </w:p>
        </w:tc>
        <w:tc>
          <w:tcPr>
            <w:tcW w:w="2579" w:type="dxa"/>
            <w:hideMark/>
          </w:tcPr>
          <w:p w14:paraId="57C4B6C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w:t>
            </w:r>
          </w:p>
        </w:tc>
        <w:tc>
          <w:tcPr>
            <w:tcW w:w="1190" w:type="dxa"/>
            <w:hideMark/>
          </w:tcPr>
          <w:p w14:paraId="30A5920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5AE072F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Déc, inf</w:t>
            </w:r>
          </w:p>
        </w:tc>
        <w:tc>
          <w:tcPr>
            <w:tcW w:w="864" w:type="dxa"/>
            <w:noWrap/>
            <w:hideMark/>
          </w:tcPr>
          <w:p w14:paraId="6FA7EFD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w:t>
            </w:r>
          </w:p>
        </w:tc>
        <w:tc>
          <w:tcPr>
            <w:tcW w:w="1496" w:type="dxa"/>
            <w:hideMark/>
          </w:tcPr>
          <w:p w14:paraId="18A99B3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0.42%</w:t>
            </w:r>
          </w:p>
        </w:tc>
      </w:tr>
      <w:tr w:rsidR="00664D0A" w:rsidRPr="003D7502" w14:paraId="07A8822C" w14:textId="77777777" w:rsidTr="003E5C80">
        <w:trPr>
          <w:trHeight w:val="290"/>
        </w:trPr>
        <w:tc>
          <w:tcPr>
            <w:cnfStyle w:val="001000000000" w:firstRow="0" w:lastRow="0" w:firstColumn="1" w:lastColumn="0" w:oddVBand="0" w:evenVBand="0" w:oddHBand="0" w:evenHBand="0" w:firstRowFirstColumn="0" w:firstRowLastColumn="0" w:lastRowFirstColumn="0" w:lastRowLastColumn="0"/>
            <w:tcW w:w="1671" w:type="dxa"/>
            <w:vMerge/>
            <w:hideMark/>
          </w:tcPr>
          <w:p w14:paraId="793958DD" w14:textId="77777777" w:rsidR="00664D0A" w:rsidRPr="003D7502" w:rsidRDefault="00664D0A" w:rsidP="00B139C3">
            <w:pPr>
              <w:rPr>
                <w:rFonts w:ascii="Times New Roman" w:eastAsia="Times New Roman" w:hAnsi="Times New Roman" w:cs="Times New Roman"/>
                <w:b w:val="0"/>
                <w:bCs w:val="0"/>
                <w:lang w:eastAsia="fr-FR"/>
              </w:rPr>
            </w:pPr>
          </w:p>
        </w:tc>
        <w:tc>
          <w:tcPr>
            <w:tcW w:w="2584" w:type="dxa"/>
            <w:hideMark/>
          </w:tcPr>
          <w:p w14:paraId="281301A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Romarin</w:t>
            </w:r>
          </w:p>
        </w:tc>
        <w:tc>
          <w:tcPr>
            <w:tcW w:w="1402" w:type="dxa"/>
            <w:hideMark/>
          </w:tcPr>
          <w:p w14:paraId="7C336F1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إكليل الجبل</w:t>
            </w:r>
          </w:p>
        </w:tc>
        <w:tc>
          <w:tcPr>
            <w:tcW w:w="2613" w:type="dxa"/>
            <w:hideMark/>
          </w:tcPr>
          <w:p w14:paraId="5C3A604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Rosmarinus officinalis L.</w:t>
            </w:r>
          </w:p>
        </w:tc>
        <w:tc>
          <w:tcPr>
            <w:tcW w:w="2579" w:type="dxa"/>
            <w:hideMark/>
          </w:tcPr>
          <w:p w14:paraId="468CA59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w:t>
            </w:r>
          </w:p>
        </w:tc>
        <w:tc>
          <w:tcPr>
            <w:tcW w:w="1190" w:type="dxa"/>
            <w:hideMark/>
          </w:tcPr>
          <w:p w14:paraId="1CB8656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6915C21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Déc</w:t>
            </w:r>
          </w:p>
        </w:tc>
        <w:tc>
          <w:tcPr>
            <w:tcW w:w="864" w:type="dxa"/>
            <w:noWrap/>
            <w:hideMark/>
          </w:tcPr>
          <w:p w14:paraId="02C4626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10</w:t>
            </w:r>
          </w:p>
        </w:tc>
        <w:tc>
          <w:tcPr>
            <w:tcW w:w="1496" w:type="dxa"/>
            <w:hideMark/>
          </w:tcPr>
          <w:p w14:paraId="43009031"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4.17%</w:t>
            </w:r>
          </w:p>
        </w:tc>
      </w:tr>
      <w:tr w:rsidR="00664D0A" w:rsidRPr="003D7502" w14:paraId="324D7FA1"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hideMark/>
          </w:tcPr>
          <w:p w14:paraId="66967858" w14:textId="77777777" w:rsidR="00664D0A" w:rsidRPr="003D7502" w:rsidRDefault="00664D0A" w:rsidP="00B139C3">
            <w:pPr>
              <w:rPr>
                <w:rFonts w:ascii="Times New Roman" w:eastAsia="Times New Roman" w:hAnsi="Times New Roman" w:cs="Times New Roman"/>
                <w:b w:val="0"/>
                <w:bCs w:val="0"/>
                <w:lang w:eastAsia="fr-FR"/>
              </w:rPr>
            </w:pPr>
          </w:p>
        </w:tc>
        <w:tc>
          <w:tcPr>
            <w:tcW w:w="2584" w:type="dxa"/>
            <w:hideMark/>
          </w:tcPr>
          <w:p w14:paraId="3593C82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Menthe</w:t>
            </w:r>
          </w:p>
        </w:tc>
        <w:tc>
          <w:tcPr>
            <w:tcW w:w="1402" w:type="dxa"/>
            <w:hideMark/>
          </w:tcPr>
          <w:p w14:paraId="017311A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النعناع</w:t>
            </w:r>
          </w:p>
        </w:tc>
        <w:tc>
          <w:tcPr>
            <w:tcW w:w="2613" w:type="dxa"/>
            <w:hideMark/>
          </w:tcPr>
          <w:p w14:paraId="3679336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Mentha piperita L.</w:t>
            </w:r>
          </w:p>
        </w:tc>
        <w:tc>
          <w:tcPr>
            <w:tcW w:w="2579" w:type="dxa"/>
            <w:hideMark/>
          </w:tcPr>
          <w:p w14:paraId="62B68475"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w:t>
            </w:r>
          </w:p>
        </w:tc>
        <w:tc>
          <w:tcPr>
            <w:tcW w:w="1190" w:type="dxa"/>
            <w:hideMark/>
          </w:tcPr>
          <w:p w14:paraId="0F047A1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39CC61F4"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Inf</w:t>
            </w:r>
          </w:p>
        </w:tc>
        <w:tc>
          <w:tcPr>
            <w:tcW w:w="864" w:type="dxa"/>
            <w:noWrap/>
            <w:hideMark/>
          </w:tcPr>
          <w:p w14:paraId="70D69DD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2</w:t>
            </w:r>
          </w:p>
        </w:tc>
        <w:tc>
          <w:tcPr>
            <w:tcW w:w="1496" w:type="dxa"/>
            <w:hideMark/>
          </w:tcPr>
          <w:p w14:paraId="74711C0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0.83%</w:t>
            </w:r>
          </w:p>
        </w:tc>
      </w:tr>
      <w:tr w:rsidR="00664D0A" w:rsidRPr="003D7502" w14:paraId="15FC185A"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hideMark/>
          </w:tcPr>
          <w:p w14:paraId="62260ECA" w14:textId="77777777" w:rsidR="00664D0A" w:rsidRPr="003D7502" w:rsidRDefault="00664D0A" w:rsidP="00B139C3">
            <w:pPr>
              <w:rPr>
                <w:rFonts w:ascii="Times New Roman" w:eastAsia="Times New Roman" w:hAnsi="Times New Roman" w:cs="Times New Roman"/>
                <w:b w:val="0"/>
                <w:bCs w:val="0"/>
                <w:lang w:eastAsia="fr-FR"/>
              </w:rPr>
            </w:pPr>
          </w:p>
        </w:tc>
        <w:tc>
          <w:tcPr>
            <w:tcW w:w="2584" w:type="dxa"/>
            <w:hideMark/>
          </w:tcPr>
          <w:p w14:paraId="69124A4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Origan</w:t>
            </w:r>
          </w:p>
        </w:tc>
        <w:tc>
          <w:tcPr>
            <w:tcW w:w="1402" w:type="dxa"/>
            <w:hideMark/>
          </w:tcPr>
          <w:p w14:paraId="7DB8590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الزعتر</w:t>
            </w:r>
          </w:p>
        </w:tc>
        <w:tc>
          <w:tcPr>
            <w:tcW w:w="2613" w:type="dxa"/>
            <w:hideMark/>
          </w:tcPr>
          <w:p w14:paraId="243CA6E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Origanum compactum Benth</w:t>
            </w:r>
          </w:p>
        </w:tc>
        <w:tc>
          <w:tcPr>
            <w:tcW w:w="2579" w:type="dxa"/>
            <w:hideMark/>
          </w:tcPr>
          <w:p w14:paraId="45DBD6D7"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w:t>
            </w:r>
          </w:p>
        </w:tc>
        <w:tc>
          <w:tcPr>
            <w:tcW w:w="1190" w:type="dxa"/>
            <w:hideMark/>
          </w:tcPr>
          <w:p w14:paraId="1DCDD7A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7CD75B43"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 xml:space="preserve">Inf </w:t>
            </w:r>
          </w:p>
        </w:tc>
        <w:tc>
          <w:tcPr>
            <w:tcW w:w="864" w:type="dxa"/>
            <w:noWrap/>
            <w:hideMark/>
          </w:tcPr>
          <w:p w14:paraId="6CD5169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2</w:t>
            </w:r>
          </w:p>
        </w:tc>
        <w:tc>
          <w:tcPr>
            <w:tcW w:w="1496" w:type="dxa"/>
            <w:hideMark/>
          </w:tcPr>
          <w:p w14:paraId="45D1A03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0.83%</w:t>
            </w:r>
          </w:p>
        </w:tc>
      </w:tr>
      <w:tr w:rsidR="00664D0A" w:rsidRPr="003D7502" w14:paraId="5666EECF"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hideMark/>
          </w:tcPr>
          <w:p w14:paraId="033EFB48" w14:textId="77777777" w:rsidR="00664D0A" w:rsidRPr="003D7502" w:rsidRDefault="00664D0A" w:rsidP="00B139C3">
            <w:pPr>
              <w:rPr>
                <w:rFonts w:ascii="Times New Roman" w:eastAsia="Times New Roman" w:hAnsi="Times New Roman" w:cs="Times New Roman"/>
                <w:b w:val="0"/>
                <w:bCs w:val="0"/>
                <w:lang w:eastAsia="fr-FR"/>
              </w:rPr>
            </w:pPr>
          </w:p>
        </w:tc>
        <w:tc>
          <w:tcPr>
            <w:tcW w:w="2584" w:type="dxa"/>
            <w:hideMark/>
          </w:tcPr>
          <w:p w14:paraId="223AB0A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 xml:space="preserve">Bugle musquée </w:t>
            </w:r>
          </w:p>
        </w:tc>
        <w:tc>
          <w:tcPr>
            <w:tcW w:w="1402" w:type="dxa"/>
            <w:hideMark/>
          </w:tcPr>
          <w:p w14:paraId="4098CD8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الشنقدورة</w:t>
            </w:r>
          </w:p>
        </w:tc>
        <w:tc>
          <w:tcPr>
            <w:tcW w:w="2613" w:type="dxa"/>
            <w:hideMark/>
          </w:tcPr>
          <w:p w14:paraId="41121F2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 xml:space="preserve">Ajuga iva </w:t>
            </w:r>
          </w:p>
        </w:tc>
        <w:tc>
          <w:tcPr>
            <w:tcW w:w="2579" w:type="dxa"/>
            <w:hideMark/>
          </w:tcPr>
          <w:p w14:paraId="6F428E0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w:t>
            </w:r>
          </w:p>
        </w:tc>
        <w:tc>
          <w:tcPr>
            <w:tcW w:w="1190" w:type="dxa"/>
            <w:hideMark/>
          </w:tcPr>
          <w:p w14:paraId="674ED75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56A70A2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 xml:space="preserve">Inf </w:t>
            </w:r>
          </w:p>
        </w:tc>
        <w:tc>
          <w:tcPr>
            <w:tcW w:w="864" w:type="dxa"/>
            <w:noWrap/>
            <w:hideMark/>
          </w:tcPr>
          <w:p w14:paraId="613E52B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w:t>
            </w:r>
          </w:p>
        </w:tc>
        <w:tc>
          <w:tcPr>
            <w:tcW w:w="1496" w:type="dxa"/>
            <w:hideMark/>
          </w:tcPr>
          <w:p w14:paraId="2EF70AD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0.42%</w:t>
            </w:r>
          </w:p>
        </w:tc>
      </w:tr>
      <w:tr w:rsidR="00664D0A" w:rsidRPr="003D7502" w14:paraId="3893E74E"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hideMark/>
          </w:tcPr>
          <w:p w14:paraId="45E450D8" w14:textId="77777777" w:rsidR="00664D0A" w:rsidRPr="003D7502" w:rsidRDefault="00664D0A" w:rsidP="00B139C3">
            <w:pPr>
              <w:rPr>
                <w:rFonts w:ascii="Times New Roman" w:eastAsia="Times New Roman" w:hAnsi="Times New Roman" w:cs="Times New Roman"/>
                <w:b w:val="0"/>
                <w:bCs w:val="0"/>
                <w:lang w:eastAsia="fr-FR"/>
              </w:rPr>
            </w:pPr>
          </w:p>
        </w:tc>
        <w:tc>
          <w:tcPr>
            <w:tcW w:w="2584" w:type="dxa"/>
            <w:hideMark/>
          </w:tcPr>
          <w:p w14:paraId="62FE398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Marjolaine</w:t>
            </w:r>
          </w:p>
        </w:tc>
        <w:tc>
          <w:tcPr>
            <w:tcW w:w="1402" w:type="dxa"/>
            <w:noWrap/>
            <w:hideMark/>
          </w:tcPr>
          <w:p w14:paraId="4DF289D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برقدوش</w:t>
            </w:r>
          </w:p>
        </w:tc>
        <w:tc>
          <w:tcPr>
            <w:tcW w:w="2613" w:type="dxa"/>
            <w:hideMark/>
          </w:tcPr>
          <w:p w14:paraId="6C9F297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Origanum majorana L.</w:t>
            </w:r>
          </w:p>
        </w:tc>
        <w:tc>
          <w:tcPr>
            <w:tcW w:w="2579" w:type="dxa"/>
            <w:hideMark/>
          </w:tcPr>
          <w:p w14:paraId="3105A533"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w:t>
            </w:r>
          </w:p>
        </w:tc>
        <w:tc>
          <w:tcPr>
            <w:tcW w:w="1190" w:type="dxa"/>
            <w:hideMark/>
          </w:tcPr>
          <w:p w14:paraId="409F6494"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3DE24D7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Inf</w:t>
            </w:r>
          </w:p>
        </w:tc>
        <w:tc>
          <w:tcPr>
            <w:tcW w:w="864" w:type="dxa"/>
            <w:noWrap/>
            <w:hideMark/>
          </w:tcPr>
          <w:p w14:paraId="2DC1D36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w:t>
            </w:r>
          </w:p>
        </w:tc>
        <w:tc>
          <w:tcPr>
            <w:tcW w:w="1496" w:type="dxa"/>
            <w:hideMark/>
          </w:tcPr>
          <w:p w14:paraId="7FD8BB3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0.42%</w:t>
            </w:r>
          </w:p>
        </w:tc>
      </w:tr>
      <w:tr w:rsidR="00664D0A" w:rsidRPr="003D7502" w14:paraId="2FCC1F13"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hideMark/>
          </w:tcPr>
          <w:p w14:paraId="1D1D7494" w14:textId="77777777" w:rsidR="00664D0A" w:rsidRPr="003D7502" w:rsidRDefault="00664D0A" w:rsidP="00B139C3">
            <w:pPr>
              <w:rPr>
                <w:rFonts w:ascii="Times New Roman" w:eastAsia="Times New Roman" w:hAnsi="Times New Roman" w:cs="Times New Roman"/>
                <w:b w:val="0"/>
                <w:bCs w:val="0"/>
                <w:lang w:eastAsia="fr-FR"/>
              </w:rPr>
            </w:pPr>
          </w:p>
        </w:tc>
        <w:tc>
          <w:tcPr>
            <w:tcW w:w="2584" w:type="dxa"/>
            <w:hideMark/>
          </w:tcPr>
          <w:p w14:paraId="0E0E120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Germandrée tomenteuse</w:t>
            </w:r>
          </w:p>
        </w:tc>
        <w:tc>
          <w:tcPr>
            <w:tcW w:w="1402" w:type="dxa"/>
            <w:noWrap/>
            <w:hideMark/>
          </w:tcPr>
          <w:p w14:paraId="4CD77715"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 xml:space="preserve">الجعيدة </w:t>
            </w:r>
          </w:p>
        </w:tc>
        <w:tc>
          <w:tcPr>
            <w:tcW w:w="2613" w:type="dxa"/>
            <w:hideMark/>
          </w:tcPr>
          <w:p w14:paraId="01002BD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Teucium polium</w:t>
            </w:r>
          </w:p>
        </w:tc>
        <w:tc>
          <w:tcPr>
            <w:tcW w:w="2579" w:type="dxa"/>
            <w:hideMark/>
          </w:tcPr>
          <w:p w14:paraId="7E9F587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w:t>
            </w:r>
          </w:p>
        </w:tc>
        <w:tc>
          <w:tcPr>
            <w:tcW w:w="1190" w:type="dxa"/>
            <w:hideMark/>
          </w:tcPr>
          <w:p w14:paraId="4212646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56A313F1"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Cru</w:t>
            </w:r>
          </w:p>
        </w:tc>
        <w:tc>
          <w:tcPr>
            <w:tcW w:w="864" w:type="dxa"/>
            <w:noWrap/>
            <w:hideMark/>
          </w:tcPr>
          <w:p w14:paraId="4940F1C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8</w:t>
            </w:r>
          </w:p>
        </w:tc>
        <w:tc>
          <w:tcPr>
            <w:tcW w:w="1496" w:type="dxa"/>
            <w:hideMark/>
          </w:tcPr>
          <w:p w14:paraId="5B88F281"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3.33%</w:t>
            </w:r>
          </w:p>
        </w:tc>
      </w:tr>
      <w:tr w:rsidR="00664D0A" w:rsidRPr="003D7502" w14:paraId="0DB8D631"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val="restart"/>
            <w:hideMark/>
          </w:tcPr>
          <w:p w14:paraId="44D0D812"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Apiacées</w:t>
            </w:r>
          </w:p>
        </w:tc>
        <w:tc>
          <w:tcPr>
            <w:tcW w:w="2584" w:type="dxa"/>
            <w:hideMark/>
          </w:tcPr>
          <w:p w14:paraId="1AFDFEE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Cumin</w:t>
            </w:r>
          </w:p>
        </w:tc>
        <w:tc>
          <w:tcPr>
            <w:tcW w:w="1402" w:type="dxa"/>
            <w:hideMark/>
          </w:tcPr>
          <w:p w14:paraId="1D28F85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الكمون</w:t>
            </w:r>
          </w:p>
        </w:tc>
        <w:tc>
          <w:tcPr>
            <w:tcW w:w="2613" w:type="dxa"/>
            <w:hideMark/>
          </w:tcPr>
          <w:p w14:paraId="47CC6804"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 xml:space="preserve">Cuminum </w:t>
            </w:r>
            <w:proofErr w:type="gramStart"/>
            <w:r w:rsidRPr="003D7502">
              <w:rPr>
                <w:rFonts w:ascii="Times New Roman" w:eastAsia="Times New Roman" w:hAnsi="Times New Roman" w:cs="Times New Roman"/>
                <w:i/>
                <w:iCs/>
                <w:lang w:eastAsia="fr-FR"/>
              </w:rPr>
              <w:t>cyminum  L.</w:t>
            </w:r>
            <w:proofErr w:type="gramEnd"/>
          </w:p>
        </w:tc>
        <w:tc>
          <w:tcPr>
            <w:tcW w:w="2579" w:type="dxa"/>
            <w:hideMark/>
          </w:tcPr>
          <w:p w14:paraId="07BF3AB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Graines</w:t>
            </w:r>
          </w:p>
        </w:tc>
        <w:tc>
          <w:tcPr>
            <w:tcW w:w="1190" w:type="dxa"/>
            <w:hideMark/>
          </w:tcPr>
          <w:p w14:paraId="4E3B7EF4"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5B822AA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Poudre</w:t>
            </w:r>
          </w:p>
        </w:tc>
        <w:tc>
          <w:tcPr>
            <w:tcW w:w="864" w:type="dxa"/>
            <w:noWrap/>
            <w:hideMark/>
          </w:tcPr>
          <w:p w14:paraId="2BAA7A7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w:t>
            </w:r>
          </w:p>
        </w:tc>
        <w:tc>
          <w:tcPr>
            <w:tcW w:w="1496" w:type="dxa"/>
            <w:hideMark/>
          </w:tcPr>
          <w:p w14:paraId="462828F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0.42%</w:t>
            </w:r>
          </w:p>
        </w:tc>
      </w:tr>
      <w:tr w:rsidR="00664D0A" w:rsidRPr="003D7502" w14:paraId="58D619F3"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hideMark/>
          </w:tcPr>
          <w:p w14:paraId="06FDC157" w14:textId="77777777" w:rsidR="00664D0A" w:rsidRPr="003D7502" w:rsidRDefault="00664D0A" w:rsidP="00B139C3">
            <w:pPr>
              <w:rPr>
                <w:rFonts w:ascii="Times New Roman" w:eastAsia="Times New Roman" w:hAnsi="Times New Roman" w:cs="Times New Roman"/>
                <w:b w:val="0"/>
                <w:bCs w:val="0"/>
                <w:lang w:eastAsia="fr-FR"/>
              </w:rPr>
            </w:pPr>
          </w:p>
        </w:tc>
        <w:tc>
          <w:tcPr>
            <w:tcW w:w="2584" w:type="dxa"/>
            <w:hideMark/>
          </w:tcPr>
          <w:p w14:paraId="4FEEC82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Coriandre</w:t>
            </w:r>
          </w:p>
        </w:tc>
        <w:tc>
          <w:tcPr>
            <w:tcW w:w="1402" w:type="dxa"/>
            <w:hideMark/>
          </w:tcPr>
          <w:p w14:paraId="1682283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الكزبرة</w:t>
            </w:r>
          </w:p>
        </w:tc>
        <w:tc>
          <w:tcPr>
            <w:tcW w:w="2613" w:type="dxa"/>
            <w:hideMark/>
          </w:tcPr>
          <w:p w14:paraId="1A4D6C7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Coriandrum sativum L</w:t>
            </w:r>
          </w:p>
        </w:tc>
        <w:tc>
          <w:tcPr>
            <w:tcW w:w="2579" w:type="dxa"/>
            <w:hideMark/>
          </w:tcPr>
          <w:p w14:paraId="2748058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parties aériennes</w:t>
            </w:r>
          </w:p>
        </w:tc>
        <w:tc>
          <w:tcPr>
            <w:tcW w:w="1190" w:type="dxa"/>
            <w:hideMark/>
          </w:tcPr>
          <w:p w14:paraId="1109BBA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3D70CFC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Cru</w:t>
            </w:r>
          </w:p>
        </w:tc>
        <w:tc>
          <w:tcPr>
            <w:tcW w:w="864" w:type="dxa"/>
            <w:noWrap/>
            <w:hideMark/>
          </w:tcPr>
          <w:p w14:paraId="2BE0FF6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16</w:t>
            </w:r>
          </w:p>
        </w:tc>
        <w:tc>
          <w:tcPr>
            <w:tcW w:w="1496" w:type="dxa"/>
            <w:hideMark/>
          </w:tcPr>
          <w:p w14:paraId="71B21B81"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6.67%</w:t>
            </w:r>
          </w:p>
        </w:tc>
      </w:tr>
      <w:tr w:rsidR="00664D0A" w:rsidRPr="003D7502" w14:paraId="7C592059"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hideMark/>
          </w:tcPr>
          <w:p w14:paraId="28AE634F" w14:textId="77777777" w:rsidR="00664D0A" w:rsidRPr="003D7502" w:rsidRDefault="00664D0A" w:rsidP="00B139C3">
            <w:pPr>
              <w:rPr>
                <w:rFonts w:ascii="Times New Roman" w:eastAsia="Times New Roman" w:hAnsi="Times New Roman" w:cs="Times New Roman"/>
                <w:b w:val="0"/>
                <w:bCs w:val="0"/>
                <w:lang w:eastAsia="fr-FR"/>
              </w:rPr>
            </w:pPr>
          </w:p>
        </w:tc>
        <w:tc>
          <w:tcPr>
            <w:tcW w:w="2584" w:type="dxa"/>
            <w:hideMark/>
          </w:tcPr>
          <w:p w14:paraId="452493F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Fenouil</w:t>
            </w:r>
          </w:p>
        </w:tc>
        <w:tc>
          <w:tcPr>
            <w:tcW w:w="1402" w:type="dxa"/>
            <w:hideMark/>
          </w:tcPr>
          <w:p w14:paraId="274DEC8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البسباس</w:t>
            </w:r>
          </w:p>
        </w:tc>
        <w:tc>
          <w:tcPr>
            <w:tcW w:w="2613" w:type="dxa"/>
            <w:hideMark/>
          </w:tcPr>
          <w:p w14:paraId="737904C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Foeniculum vulgare mill</w:t>
            </w:r>
          </w:p>
        </w:tc>
        <w:tc>
          <w:tcPr>
            <w:tcW w:w="2579" w:type="dxa"/>
            <w:hideMark/>
          </w:tcPr>
          <w:p w14:paraId="04B88C61"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Graines</w:t>
            </w:r>
          </w:p>
        </w:tc>
        <w:tc>
          <w:tcPr>
            <w:tcW w:w="1190" w:type="dxa"/>
            <w:hideMark/>
          </w:tcPr>
          <w:p w14:paraId="36EE0921"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64E1110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Inf</w:t>
            </w:r>
          </w:p>
        </w:tc>
        <w:tc>
          <w:tcPr>
            <w:tcW w:w="864" w:type="dxa"/>
            <w:noWrap/>
            <w:hideMark/>
          </w:tcPr>
          <w:p w14:paraId="2958064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7</w:t>
            </w:r>
          </w:p>
        </w:tc>
        <w:tc>
          <w:tcPr>
            <w:tcW w:w="1496" w:type="dxa"/>
            <w:hideMark/>
          </w:tcPr>
          <w:p w14:paraId="30F6850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2.92%</w:t>
            </w:r>
          </w:p>
        </w:tc>
      </w:tr>
      <w:tr w:rsidR="00664D0A" w:rsidRPr="003D7502" w14:paraId="6EF1C674" w14:textId="77777777" w:rsidTr="003E5C80">
        <w:trPr>
          <w:trHeight w:val="310"/>
        </w:trPr>
        <w:tc>
          <w:tcPr>
            <w:cnfStyle w:val="001000000000" w:firstRow="0" w:lastRow="0" w:firstColumn="1" w:lastColumn="0" w:oddVBand="0" w:evenVBand="0" w:oddHBand="0" w:evenHBand="0" w:firstRowFirstColumn="0" w:firstRowLastColumn="0" w:lastRowFirstColumn="0" w:lastRowLastColumn="0"/>
            <w:tcW w:w="1671" w:type="dxa"/>
            <w:vMerge w:val="restart"/>
            <w:hideMark/>
          </w:tcPr>
          <w:p w14:paraId="023ADDE3"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 xml:space="preserve">Astéracées                     </w:t>
            </w:r>
          </w:p>
        </w:tc>
        <w:tc>
          <w:tcPr>
            <w:tcW w:w="2584" w:type="dxa"/>
            <w:hideMark/>
          </w:tcPr>
          <w:p w14:paraId="275F0224"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Armoise</w:t>
            </w:r>
          </w:p>
        </w:tc>
        <w:tc>
          <w:tcPr>
            <w:tcW w:w="1402" w:type="dxa"/>
            <w:hideMark/>
          </w:tcPr>
          <w:p w14:paraId="02E1ED2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الشيح</w:t>
            </w:r>
          </w:p>
        </w:tc>
        <w:tc>
          <w:tcPr>
            <w:tcW w:w="2613" w:type="dxa"/>
            <w:hideMark/>
          </w:tcPr>
          <w:p w14:paraId="3053EC5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Artemisia herba-alba Asso.</w:t>
            </w:r>
          </w:p>
        </w:tc>
        <w:tc>
          <w:tcPr>
            <w:tcW w:w="2579" w:type="dxa"/>
            <w:hideMark/>
          </w:tcPr>
          <w:p w14:paraId="1E9F03D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 parties aériennes</w:t>
            </w:r>
          </w:p>
        </w:tc>
        <w:tc>
          <w:tcPr>
            <w:tcW w:w="1190" w:type="dxa"/>
            <w:hideMark/>
          </w:tcPr>
          <w:p w14:paraId="556393C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6829A52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proofErr w:type="gramStart"/>
            <w:r w:rsidRPr="003D7502">
              <w:rPr>
                <w:rFonts w:ascii="Times New Roman" w:eastAsia="Times New Roman" w:hAnsi="Times New Roman" w:cs="Times New Roman"/>
                <w:lang w:eastAsia="fr-FR"/>
              </w:rPr>
              <w:t>Déc,inf</w:t>
            </w:r>
            <w:proofErr w:type="gramEnd"/>
          </w:p>
        </w:tc>
        <w:tc>
          <w:tcPr>
            <w:tcW w:w="864" w:type="dxa"/>
            <w:noWrap/>
            <w:hideMark/>
          </w:tcPr>
          <w:p w14:paraId="20B234F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117</w:t>
            </w:r>
          </w:p>
        </w:tc>
        <w:tc>
          <w:tcPr>
            <w:tcW w:w="1496" w:type="dxa"/>
            <w:hideMark/>
          </w:tcPr>
          <w:p w14:paraId="6FA6D978" w14:textId="77777777" w:rsidR="00664D0A" w:rsidRPr="006A5EDC"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6A5EDC">
              <w:rPr>
                <w:rFonts w:ascii="Times New Roman" w:eastAsia="Times New Roman" w:hAnsi="Times New Roman" w:cs="Times New Roman"/>
                <w:color w:val="000000"/>
                <w:lang w:eastAsia="fr-FR"/>
              </w:rPr>
              <w:t>48.75%</w:t>
            </w:r>
          </w:p>
        </w:tc>
      </w:tr>
      <w:tr w:rsidR="00664D0A" w:rsidRPr="003D7502" w14:paraId="387FAC53"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hideMark/>
          </w:tcPr>
          <w:p w14:paraId="4C5745B4" w14:textId="77777777" w:rsidR="00664D0A" w:rsidRPr="003D7502" w:rsidRDefault="00664D0A" w:rsidP="00B139C3">
            <w:pPr>
              <w:rPr>
                <w:rFonts w:ascii="Times New Roman" w:eastAsia="Times New Roman" w:hAnsi="Times New Roman" w:cs="Times New Roman"/>
                <w:b w:val="0"/>
                <w:bCs w:val="0"/>
                <w:lang w:eastAsia="fr-FR"/>
              </w:rPr>
            </w:pPr>
          </w:p>
        </w:tc>
        <w:tc>
          <w:tcPr>
            <w:tcW w:w="2584" w:type="dxa"/>
            <w:hideMark/>
          </w:tcPr>
          <w:p w14:paraId="4B19E414"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 xml:space="preserve">Cotule cendré </w:t>
            </w:r>
          </w:p>
        </w:tc>
        <w:tc>
          <w:tcPr>
            <w:tcW w:w="1402" w:type="dxa"/>
            <w:hideMark/>
          </w:tcPr>
          <w:p w14:paraId="3B4FBD5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القرطوفة</w:t>
            </w:r>
          </w:p>
        </w:tc>
        <w:tc>
          <w:tcPr>
            <w:tcW w:w="2613" w:type="dxa"/>
            <w:hideMark/>
          </w:tcPr>
          <w:p w14:paraId="7D207A6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Cotula cinerea delile</w:t>
            </w:r>
          </w:p>
        </w:tc>
        <w:tc>
          <w:tcPr>
            <w:tcW w:w="2579" w:type="dxa"/>
            <w:hideMark/>
          </w:tcPr>
          <w:p w14:paraId="6205285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 parties aériennes</w:t>
            </w:r>
          </w:p>
        </w:tc>
        <w:tc>
          <w:tcPr>
            <w:tcW w:w="1190" w:type="dxa"/>
            <w:hideMark/>
          </w:tcPr>
          <w:p w14:paraId="7AE9B14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7242CD8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color w:val="000000"/>
                <w:lang w:eastAsia="fr-FR"/>
              </w:rPr>
            </w:pPr>
            <w:r w:rsidRPr="003D7502">
              <w:rPr>
                <w:rFonts w:ascii="Cambria" w:eastAsia="Times New Roman" w:hAnsi="Cambria" w:cs="Calibri"/>
                <w:color w:val="000000"/>
                <w:lang w:eastAsia="fr-FR"/>
              </w:rPr>
              <w:t>Inf</w:t>
            </w:r>
          </w:p>
        </w:tc>
        <w:tc>
          <w:tcPr>
            <w:tcW w:w="864" w:type="dxa"/>
            <w:noWrap/>
            <w:hideMark/>
          </w:tcPr>
          <w:p w14:paraId="07D495A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2</w:t>
            </w:r>
          </w:p>
        </w:tc>
        <w:tc>
          <w:tcPr>
            <w:tcW w:w="1496" w:type="dxa"/>
            <w:hideMark/>
          </w:tcPr>
          <w:p w14:paraId="017D21A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0.83%</w:t>
            </w:r>
          </w:p>
        </w:tc>
      </w:tr>
      <w:tr w:rsidR="00664D0A" w:rsidRPr="003D7502" w14:paraId="31CF186A"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val="restart"/>
            <w:hideMark/>
          </w:tcPr>
          <w:p w14:paraId="1502C4A6"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 xml:space="preserve">Lauracées </w:t>
            </w:r>
          </w:p>
        </w:tc>
        <w:tc>
          <w:tcPr>
            <w:tcW w:w="2584" w:type="dxa"/>
            <w:hideMark/>
          </w:tcPr>
          <w:p w14:paraId="263EC0B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Cannelle</w:t>
            </w:r>
          </w:p>
        </w:tc>
        <w:tc>
          <w:tcPr>
            <w:tcW w:w="1402" w:type="dxa"/>
            <w:hideMark/>
          </w:tcPr>
          <w:p w14:paraId="5074E17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القرفة</w:t>
            </w:r>
          </w:p>
        </w:tc>
        <w:tc>
          <w:tcPr>
            <w:tcW w:w="2613" w:type="dxa"/>
            <w:hideMark/>
          </w:tcPr>
          <w:p w14:paraId="2EFB2F2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Cinnamomum cassia Lour</w:t>
            </w:r>
          </w:p>
        </w:tc>
        <w:tc>
          <w:tcPr>
            <w:tcW w:w="2579" w:type="dxa"/>
            <w:hideMark/>
          </w:tcPr>
          <w:p w14:paraId="754DEF7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Ecorce</w:t>
            </w:r>
          </w:p>
        </w:tc>
        <w:tc>
          <w:tcPr>
            <w:tcW w:w="1190" w:type="dxa"/>
            <w:hideMark/>
          </w:tcPr>
          <w:p w14:paraId="49E7CC4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5C953807"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Déc, poudre</w:t>
            </w:r>
          </w:p>
        </w:tc>
        <w:tc>
          <w:tcPr>
            <w:tcW w:w="864" w:type="dxa"/>
            <w:noWrap/>
            <w:hideMark/>
          </w:tcPr>
          <w:p w14:paraId="63935C2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18</w:t>
            </w:r>
          </w:p>
        </w:tc>
        <w:tc>
          <w:tcPr>
            <w:tcW w:w="1496" w:type="dxa"/>
            <w:hideMark/>
          </w:tcPr>
          <w:p w14:paraId="274233E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7.50%</w:t>
            </w:r>
          </w:p>
        </w:tc>
      </w:tr>
      <w:tr w:rsidR="00664D0A" w:rsidRPr="003D7502" w14:paraId="5F1ADC7E"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vMerge/>
            <w:hideMark/>
          </w:tcPr>
          <w:p w14:paraId="70E86403" w14:textId="77777777" w:rsidR="00664D0A" w:rsidRPr="003D7502" w:rsidRDefault="00664D0A" w:rsidP="00B139C3">
            <w:pPr>
              <w:rPr>
                <w:rFonts w:ascii="Times New Roman" w:eastAsia="Times New Roman" w:hAnsi="Times New Roman" w:cs="Times New Roman"/>
                <w:b w:val="0"/>
                <w:bCs w:val="0"/>
                <w:lang w:eastAsia="fr-FR"/>
              </w:rPr>
            </w:pPr>
          </w:p>
        </w:tc>
        <w:tc>
          <w:tcPr>
            <w:tcW w:w="2584" w:type="dxa"/>
            <w:hideMark/>
          </w:tcPr>
          <w:p w14:paraId="1E51A833"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Laurier noble</w:t>
            </w:r>
          </w:p>
        </w:tc>
        <w:tc>
          <w:tcPr>
            <w:tcW w:w="1402" w:type="dxa"/>
            <w:hideMark/>
          </w:tcPr>
          <w:p w14:paraId="3DAE6F97"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الرند</w:t>
            </w:r>
          </w:p>
        </w:tc>
        <w:tc>
          <w:tcPr>
            <w:tcW w:w="2613" w:type="dxa"/>
            <w:hideMark/>
          </w:tcPr>
          <w:p w14:paraId="67FBBD2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Laurus nobilis</w:t>
            </w:r>
          </w:p>
        </w:tc>
        <w:tc>
          <w:tcPr>
            <w:tcW w:w="2579" w:type="dxa"/>
            <w:hideMark/>
          </w:tcPr>
          <w:p w14:paraId="3F93B3E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 xml:space="preserve">Feuilles </w:t>
            </w:r>
          </w:p>
        </w:tc>
        <w:tc>
          <w:tcPr>
            <w:tcW w:w="1190" w:type="dxa"/>
            <w:hideMark/>
          </w:tcPr>
          <w:p w14:paraId="206A0DC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1FA01345"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proofErr w:type="gramStart"/>
            <w:r w:rsidRPr="003D7502">
              <w:rPr>
                <w:rFonts w:ascii="Times New Roman" w:eastAsia="Times New Roman" w:hAnsi="Times New Roman" w:cs="Times New Roman"/>
                <w:lang w:eastAsia="fr-FR"/>
              </w:rPr>
              <w:t>Déc,inf</w:t>
            </w:r>
            <w:proofErr w:type="gramEnd"/>
          </w:p>
        </w:tc>
        <w:tc>
          <w:tcPr>
            <w:tcW w:w="864" w:type="dxa"/>
            <w:noWrap/>
            <w:hideMark/>
          </w:tcPr>
          <w:p w14:paraId="5B0FEE7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2</w:t>
            </w:r>
          </w:p>
        </w:tc>
        <w:tc>
          <w:tcPr>
            <w:tcW w:w="1496" w:type="dxa"/>
            <w:hideMark/>
          </w:tcPr>
          <w:p w14:paraId="0D3C587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0.83%</w:t>
            </w:r>
          </w:p>
        </w:tc>
      </w:tr>
      <w:tr w:rsidR="00664D0A" w:rsidRPr="003D7502" w14:paraId="69DACC99"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hideMark/>
          </w:tcPr>
          <w:p w14:paraId="2489B301"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Amaryllidacées</w:t>
            </w:r>
          </w:p>
        </w:tc>
        <w:tc>
          <w:tcPr>
            <w:tcW w:w="2584" w:type="dxa"/>
            <w:hideMark/>
          </w:tcPr>
          <w:p w14:paraId="51A4F00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Ail</w:t>
            </w:r>
          </w:p>
        </w:tc>
        <w:tc>
          <w:tcPr>
            <w:tcW w:w="1402" w:type="dxa"/>
            <w:hideMark/>
          </w:tcPr>
          <w:p w14:paraId="3F99EF8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الثوم</w:t>
            </w:r>
          </w:p>
        </w:tc>
        <w:tc>
          <w:tcPr>
            <w:tcW w:w="2613" w:type="dxa"/>
            <w:hideMark/>
          </w:tcPr>
          <w:p w14:paraId="0F86C87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Allium sativum L.</w:t>
            </w:r>
          </w:p>
        </w:tc>
        <w:tc>
          <w:tcPr>
            <w:tcW w:w="2579" w:type="dxa"/>
            <w:hideMark/>
          </w:tcPr>
          <w:p w14:paraId="40C630F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Bulbe</w:t>
            </w:r>
          </w:p>
        </w:tc>
        <w:tc>
          <w:tcPr>
            <w:tcW w:w="1190" w:type="dxa"/>
            <w:hideMark/>
          </w:tcPr>
          <w:p w14:paraId="0E51272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5A570E0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Cru</w:t>
            </w:r>
          </w:p>
        </w:tc>
        <w:tc>
          <w:tcPr>
            <w:tcW w:w="864" w:type="dxa"/>
            <w:noWrap/>
            <w:hideMark/>
          </w:tcPr>
          <w:p w14:paraId="58C30C9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2</w:t>
            </w:r>
          </w:p>
        </w:tc>
        <w:tc>
          <w:tcPr>
            <w:tcW w:w="1496" w:type="dxa"/>
            <w:hideMark/>
          </w:tcPr>
          <w:p w14:paraId="4DC7176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0.83%</w:t>
            </w:r>
          </w:p>
        </w:tc>
      </w:tr>
      <w:tr w:rsidR="00664D0A" w:rsidRPr="003D7502" w14:paraId="314A6333"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hideMark/>
          </w:tcPr>
          <w:p w14:paraId="09E7EA2B"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Fabacées</w:t>
            </w:r>
          </w:p>
        </w:tc>
        <w:tc>
          <w:tcPr>
            <w:tcW w:w="2584" w:type="dxa"/>
            <w:hideMark/>
          </w:tcPr>
          <w:p w14:paraId="210F2C45"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Fenugrec</w:t>
            </w:r>
          </w:p>
        </w:tc>
        <w:tc>
          <w:tcPr>
            <w:tcW w:w="1402" w:type="dxa"/>
            <w:hideMark/>
          </w:tcPr>
          <w:p w14:paraId="5E2212D4"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الحلبة</w:t>
            </w:r>
          </w:p>
        </w:tc>
        <w:tc>
          <w:tcPr>
            <w:tcW w:w="2613" w:type="dxa"/>
            <w:hideMark/>
          </w:tcPr>
          <w:p w14:paraId="5C393EF5"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Trigonella foenum-graecum L.</w:t>
            </w:r>
          </w:p>
        </w:tc>
        <w:tc>
          <w:tcPr>
            <w:tcW w:w="2579" w:type="dxa"/>
            <w:hideMark/>
          </w:tcPr>
          <w:p w14:paraId="1B312515"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Graines</w:t>
            </w:r>
          </w:p>
        </w:tc>
        <w:tc>
          <w:tcPr>
            <w:tcW w:w="1190" w:type="dxa"/>
            <w:hideMark/>
          </w:tcPr>
          <w:p w14:paraId="4768559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08A78BB3"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Poudre, inf</w:t>
            </w:r>
          </w:p>
        </w:tc>
        <w:tc>
          <w:tcPr>
            <w:tcW w:w="864" w:type="dxa"/>
            <w:noWrap/>
            <w:hideMark/>
          </w:tcPr>
          <w:p w14:paraId="1EA6F45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14</w:t>
            </w:r>
          </w:p>
        </w:tc>
        <w:tc>
          <w:tcPr>
            <w:tcW w:w="1496" w:type="dxa"/>
            <w:hideMark/>
          </w:tcPr>
          <w:p w14:paraId="05F8B52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5.83%</w:t>
            </w:r>
          </w:p>
        </w:tc>
      </w:tr>
      <w:tr w:rsidR="00664D0A" w:rsidRPr="003D7502" w14:paraId="2249C084" w14:textId="77777777" w:rsidTr="003E5C80">
        <w:trPr>
          <w:trHeight w:val="570"/>
        </w:trPr>
        <w:tc>
          <w:tcPr>
            <w:cnfStyle w:val="001000000000" w:firstRow="0" w:lastRow="0" w:firstColumn="1" w:lastColumn="0" w:oddVBand="0" w:evenVBand="0" w:oddHBand="0" w:evenHBand="0" w:firstRowFirstColumn="0" w:firstRowLastColumn="0" w:lastRowFirstColumn="0" w:lastRowLastColumn="0"/>
            <w:tcW w:w="1671" w:type="dxa"/>
            <w:hideMark/>
          </w:tcPr>
          <w:p w14:paraId="0DCC60B1"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Oléacées</w:t>
            </w:r>
          </w:p>
        </w:tc>
        <w:tc>
          <w:tcPr>
            <w:tcW w:w="2584" w:type="dxa"/>
            <w:hideMark/>
          </w:tcPr>
          <w:p w14:paraId="74A60C83"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L'olive</w:t>
            </w:r>
          </w:p>
        </w:tc>
        <w:tc>
          <w:tcPr>
            <w:tcW w:w="1402" w:type="dxa"/>
            <w:hideMark/>
          </w:tcPr>
          <w:p w14:paraId="213AEFD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الزيتون</w:t>
            </w:r>
          </w:p>
        </w:tc>
        <w:tc>
          <w:tcPr>
            <w:tcW w:w="2613" w:type="dxa"/>
            <w:hideMark/>
          </w:tcPr>
          <w:p w14:paraId="6D107E8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Olea europaea</w:t>
            </w:r>
          </w:p>
        </w:tc>
        <w:tc>
          <w:tcPr>
            <w:tcW w:w="2579" w:type="dxa"/>
            <w:hideMark/>
          </w:tcPr>
          <w:p w14:paraId="2CD3A07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w:t>
            </w:r>
          </w:p>
        </w:tc>
        <w:tc>
          <w:tcPr>
            <w:tcW w:w="1190" w:type="dxa"/>
            <w:hideMark/>
          </w:tcPr>
          <w:p w14:paraId="4DBFECB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56EA03F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Déc, cru, inf,</w:t>
            </w:r>
          </w:p>
        </w:tc>
        <w:tc>
          <w:tcPr>
            <w:tcW w:w="864" w:type="dxa"/>
            <w:noWrap/>
            <w:hideMark/>
          </w:tcPr>
          <w:p w14:paraId="6AA838B5"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9</w:t>
            </w:r>
          </w:p>
        </w:tc>
        <w:tc>
          <w:tcPr>
            <w:tcW w:w="1496" w:type="dxa"/>
            <w:hideMark/>
          </w:tcPr>
          <w:p w14:paraId="5294673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3.75%</w:t>
            </w:r>
          </w:p>
        </w:tc>
      </w:tr>
      <w:tr w:rsidR="00664D0A" w:rsidRPr="003D7502" w14:paraId="19544F62"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hideMark/>
          </w:tcPr>
          <w:p w14:paraId="026B5FA0"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lastRenderedPageBreak/>
              <w:t>Punicacées</w:t>
            </w:r>
          </w:p>
        </w:tc>
        <w:tc>
          <w:tcPr>
            <w:tcW w:w="2584" w:type="dxa"/>
            <w:hideMark/>
          </w:tcPr>
          <w:p w14:paraId="6C401E2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Grenadier</w:t>
            </w:r>
          </w:p>
        </w:tc>
        <w:tc>
          <w:tcPr>
            <w:tcW w:w="1402" w:type="dxa"/>
            <w:hideMark/>
          </w:tcPr>
          <w:p w14:paraId="72D2356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الرمان</w:t>
            </w:r>
          </w:p>
        </w:tc>
        <w:tc>
          <w:tcPr>
            <w:tcW w:w="2613" w:type="dxa"/>
            <w:hideMark/>
          </w:tcPr>
          <w:p w14:paraId="0558BDC4"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Punica granatum L.</w:t>
            </w:r>
          </w:p>
        </w:tc>
        <w:tc>
          <w:tcPr>
            <w:tcW w:w="2579" w:type="dxa"/>
            <w:hideMark/>
          </w:tcPr>
          <w:p w14:paraId="3874C4F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Epicarpe</w:t>
            </w:r>
          </w:p>
        </w:tc>
        <w:tc>
          <w:tcPr>
            <w:tcW w:w="1190" w:type="dxa"/>
            <w:hideMark/>
          </w:tcPr>
          <w:p w14:paraId="72B543D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2EF8A8E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Déc, poudre</w:t>
            </w:r>
          </w:p>
        </w:tc>
        <w:tc>
          <w:tcPr>
            <w:tcW w:w="864" w:type="dxa"/>
            <w:noWrap/>
            <w:hideMark/>
          </w:tcPr>
          <w:p w14:paraId="1475AF3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2</w:t>
            </w:r>
          </w:p>
        </w:tc>
        <w:tc>
          <w:tcPr>
            <w:tcW w:w="1496" w:type="dxa"/>
            <w:hideMark/>
          </w:tcPr>
          <w:p w14:paraId="01CFBB6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0.83%</w:t>
            </w:r>
          </w:p>
        </w:tc>
      </w:tr>
      <w:tr w:rsidR="00664D0A" w:rsidRPr="003D7502" w14:paraId="0636C07F" w14:textId="77777777" w:rsidTr="003E5C80">
        <w:trPr>
          <w:trHeight w:val="290"/>
        </w:trPr>
        <w:tc>
          <w:tcPr>
            <w:cnfStyle w:val="001000000000" w:firstRow="0" w:lastRow="0" w:firstColumn="1" w:lastColumn="0" w:oddVBand="0" w:evenVBand="0" w:oddHBand="0" w:evenHBand="0" w:firstRowFirstColumn="0" w:firstRowLastColumn="0" w:lastRowFirstColumn="0" w:lastRowLastColumn="0"/>
            <w:tcW w:w="1671" w:type="dxa"/>
            <w:hideMark/>
          </w:tcPr>
          <w:p w14:paraId="52761F98"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Cistacées</w:t>
            </w:r>
          </w:p>
        </w:tc>
        <w:tc>
          <w:tcPr>
            <w:tcW w:w="2584" w:type="dxa"/>
            <w:hideMark/>
          </w:tcPr>
          <w:p w14:paraId="18A6F585"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Costus indien</w:t>
            </w:r>
          </w:p>
        </w:tc>
        <w:tc>
          <w:tcPr>
            <w:tcW w:w="1402" w:type="dxa"/>
            <w:hideMark/>
          </w:tcPr>
          <w:p w14:paraId="5825A6F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القسط الهندي</w:t>
            </w:r>
          </w:p>
        </w:tc>
        <w:tc>
          <w:tcPr>
            <w:tcW w:w="2613" w:type="dxa"/>
            <w:hideMark/>
          </w:tcPr>
          <w:p w14:paraId="3784102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Costus deistellii</w:t>
            </w:r>
          </w:p>
        </w:tc>
        <w:tc>
          <w:tcPr>
            <w:tcW w:w="2579" w:type="dxa"/>
            <w:hideMark/>
          </w:tcPr>
          <w:p w14:paraId="606D6723"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Racines</w:t>
            </w:r>
          </w:p>
        </w:tc>
        <w:tc>
          <w:tcPr>
            <w:tcW w:w="1190" w:type="dxa"/>
            <w:hideMark/>
          </w:tcPr>
          <w:p w14:paraId="601A8CE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759D0017"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Déc, inf</w:t>
            </w:r>
          </w:p>
        </w:tc>
        <w:tc>
          <w:tcPr>
            <w:tcW w:w="864" w:type="dxa"/>
            <w:noWrap/>
            <w:hideMark/>
          </w:tcPr>
          <w:p w14:paraId="231961B3"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w:t>
            </w:r>
          </w:p>
        </w:tc>
        <w:tc>
          <w:tcPr>
            <w:tcW w:w="1496" w:type="dxa"/>
            <w:hideMark/>
          </w:tcPr>
          <w:p w14:paraId="1FC5E6D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0.42%</w:t>
            </w:r>
          </w:p>
        </w:tc>
      </w:tr>
      <w:tr w:rsidR="00664D0A" w:rsidRPr="003D7502" w14:paraId="769085D1"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hideMark/>
          </w:tcPr>
          <w:p w14:paraId="7D83868C"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Ranunculaceae</w:t>
            </w:r>
          </w:p>
        </w:tc>
        <w:tc>
          <w:tcPr>
            <w:tcW w:w="2584" w:type="dxa"/>
            <w:hideMark/>
          </w:tcPr>
          <w:p w14:paraId="39CDB4D3"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 xml:space="preserve">Nigelle </w:t>
            </w:r>
          </w:p>
        </w:tc>
        <w:tc>
          <w:tcPr>
            <w:tcW w:w="1402" w:type="dxa"/>
            <w:hideMark/>
          </w:tcPr>
          <w:p w14:paraId="239EE82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السانوج</w:t>
            </w:r>
          </w:p>
        </w:tc>
        <w:tc>
          <w:tcPr>
            <w:tcW w:w="2613" w:type="dxa"/>
            <w:hideMark/>
          </w:tcPr>
          <w:p w14:paraId="223E0B4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 xml:space="preserve">Nigella sativa </w:t>
            </w:r>
          </w:p>
        </w:tc>
        <w:tc>
          <w:tcPr>
            <w:tcW w:w="2579" w:type="dxa"/>
            <w:hideMark/>
          </w:tcPr>
          <w:p w14:paraId="414338B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 xml:space="preserve">Graines </w:t>
            </w:r>
          </w:p>
        </w:tc>
        <w:tc>
          <w:tcPr>
            <w:tcW w:w="1190" w:type="dxa"/>
            <w:hideMark/>
          </w:tcPr>
          <w:p w14:paraId="4AE4D9B1"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48804121"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Inf, poudre</w:t>
            </w:r>
          </w:p>
        </w:tc>
        <w:tc>
          <w:tcPr>
            <w:tcW w:w="864" w:type="dxa"/>
            <w:noWrap/>
            <w:hideMark/>
          </w:tcPr>
          <w:p w14:paraId="7B4F630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w:t>
            </w:r>
          </w:p>
        </w:tc>
        <w:tc>
          <w:tcPr>
            <w:tcW w:w="1496" w:type="dxa"/>
            <w:hideMark/>
          </w:tcPr>
          <w:p w14:paraId="2F9808A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0.42%</w:t>
            </w:r>
          </w:p>
        </w:tc>
      </w:tr>
      <w:tr w:rsidR="00664D0A" w:rsidRPr="003D7502" w14:paraId="1F057EB1"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hideMark/>
          </w:tcPr>
          <w:p w14:paraId="216AA800"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Theaceae</w:t>
            </w:r>
          </w:p>
        </w:tc>
        <w:tc>
          <w:tcPr>
            <w:tcW w:w="2584" w:type="dxa"/>
            <w:hideMark/>
          </w:tcPr>
          <w:p w14:paraId="13BBD24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 xml:space="preserve">Thé noir </w:t>
            </w:r>
          </w:p>
        </w:tc>
        <w:tc>
          <w:tcPr>
            <w:tcW w:w="1402" w:type="dxa"/>
            <w:hideMark/>
          </w:tcPr>
          <w:p w14:paraId="277DE1A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الشاي الاحمر</w:t>
            </w:r>
          </w:p>
        </w:tc>
        <w:tc>
          <w:tcPr>
            <w:tcW w:w="2613" w:type="dxa"/>
            <w:hideMark/>
          </w:tcPr>
          <w:p w14:paraId="2347906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 xml:space="preserve">Camellia sinensis </w:t>
            </w:r>
          </w:p>
        </w:tc>
        <w:tc>
          <w:tcPr>
            <w:tcW w:w="2579" w:type="dxa"/>
            <w:hideMark/>
          </w:tcPr>
          <w:p w14:paraId="0B7C72A1"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w:t>
            </w:r>
          </w:p>
        </w:tc>
        <w:tc>
          <w:tcPr>
            <w:tcW w:w="1190" w:type="dxa"/>
            <w:hideMark/>
          </w:tcPr>
          <w:p w14:paraId="4046337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6031908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Inf</w:t>
            </w:r>
          </w:p>
        </w:tc>
        <w:tc>
          <w:tcPr>
            <w:tcW w:w="864" w:type="dxa"/>
            <w:noWrap/>
            <w:hideMark/>
          </w:tcPr>
          <w:p w14:paraId="6881A61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w:t>
            </w:r>
          </w:p>
        </w:tc>
        <w:tc>
          <w:tcPr>
            <w:tcW w:w="1496" w:type="dxa"/>
            <w:hideMark/>
          </w:tcPr>
          <w:p w14:paraId="50CE8D0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0.42%</w:t>
            </w:r>
          </w:p>
        </w:tc>
      </w:tr>
      <w:tr w:rsidR="00664D0A" w:rsidRPr="003D7502" w14:paraId="69D96FD8"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hideMark/>
          </w:tcPr>
          <w:p w14:paraId="30DA1FC6"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Rutaceae</w:t>
            </w:r>
          </w:p>
        </w:tc>
        <w:tc>
          <w:tcPr>
            <w:tcW w:w="2584" w:type="dxa"/>
            <w:hideMark/>
          </w:tcPr>
          <w:p w14:paraId="3B01AFB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Citron</w:t>
            </w:r>
          </w:p>
        </w:tc>
        <w:tc>
          <w:tcPr>
            <w:tcW w:w="1402" w:type="dxa"/>
            <w:hideMark/>
          </w:tcPr>
          <w:p w14:paraId="4ABFEA6F"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الليمون</w:t>
            </w:r>
          </w:p>
        </w:tc>
        <w:tc>
          <w:tcPr>
            <w:tcW w:w="2613" w:type="dxa"/>
            <w:hideMark/>
          </w:tcPr>
          <w:p w14:paraId="3F91791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 xml:space="preserve">Citrus limon </w:t>
            </w:r>
          </w:p>
        </w:tc>
        <w:tc>
          <w:tcPr>
            <w:tcW w:w="2579" w:type="dxa"/>
            <w:hideMark/>
          </w:tcPr>
          <w:p w14:paraId="4ADE6BB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proofErr w:type="gramStart"/>
            <w:r w:rsidRPr="003D7502">
              <w:rPr>
                <w:rFonts w:ascii="Times New Roman" w:eastAsia="Times New Roman" w:hAnsi="Times New Roman" w:cs="Times New Roman"/>
                <w:lang w:eastAsia="fr-FR"/>
              </w:rPr>
              <w:t>fruits ,</w:t>
            </w:r>
            <w:proofErr w:type="gramEnd"/>
            <w:r w:rsidRPr="003D7502">
              <w:rPr>
                <w:rFonts w:ascii="Times New Roman" w:eastAsia="Times New Roman" w:hAnsi="Times New Roman" w:cs="Times New Roman"/>
                <w:lang w:eastAsia="fr-FR"/>
              </w:rPr>
              <w:t xml:space="preserve"> epicarpe </w:t>
            </w:r>
          </w:p>
        </w:tc>
        <w:tc>
          <w:tcPr>
            <w:tcW w:w="1190" w:type="dxa"/>
            <w:hideMark/>
          </w:tcPr>
          <w:p w14:paraId="51D77D4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52EE34A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Inf</w:t>
            </w:r>
          </w:p>
        </w:tc>
        <w:tc>
          <w:tcPr>
            <w:tcW w:w="864" w:type="dxa"/>
            <w:noWrap/>
            <w:hideMark/>
          </w:tcPr>
          <w:p w14:paraId="1765FFE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5</w:t>
            </w:r>
          </w:p>
        </w:tc>
        <w:tc>
          <w:tcPr>
            <w:tcW w:w="1496" w:type="dxa"/>
            <w:hideMark/>
          </w:tcPr>
          <w:p w14:paraId="3F16D44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2.08%</w:t>
            </w:r>
          </w:p>
        </w:tc>
      </w:tr>
      <w:tr w:rsidR="00664D0A" w:rsidRPr="003D7502" w14:paraId="37FD12BF"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hideMark/>
          </w:tcPr>
          <w:p w14:paraId="55A48E14"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Cupressacées</w:t>
            </w:r>
          </w:p>
        </w:tc>
        <w:tc>
          <w:tcPr>
            <w:tcW w:w="2584" w:type="dxa"/>
            <w:hideMark/>
          </w:tcPr>
          <w:p w14:paraId="24EB8297"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Thuya</w:t>
            </w:r>
          </w:p>
        </w:tc>
        <w:tc>
          <w:tcPr>
            <w:tcW w:w="1402" w:type="dxa"/>
            <w:hideMark/>
          </w:tcPr>
          <w:p w14:paraId="79FD8ED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العرعار</w:t>
            </w:r>
          </w:p>
        </w:tc>
        <w:tc>
          <w:tcPr>
            <w:tcW w:w="2613" w:type="dxa"/>
            <w:hideMark/>
          </w:tcPr>
          <w:p w14:paraId="0F5E43A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Tetraclinis articulata (Vahl)Mast.</w:t>
            </w:r>
          </w:p>
        </w:tc>
        <w:tc>
          <w:tcPr>
            <w:tcW w:w="2579" w:type="dxa"/>
            <w:hideMark/>
          </w:tcPr>
          <w:p w14:paraId="2E55F3E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Feuilles</w:t>
            </w:r>
          </w:p>
        </w:tc>
        <w:tc>
          <w:tcPr>
            <w:tcW w:w="1190" w:type="dxa"/>
            <w:hideMark/>
          </w:tcPr>
          <w:p w14:paraId="327B7C8D"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46660291"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Inf</w:t>
            </w:r>
          </w:p>
        </w:tc>
        <w:tc>
          <w:tcPr>
            <w:tcW w:w="864" w:type="dxa"/>
            <w:noWrap/>
            <w:hideMark/>
          </w:tcPr>
          <w:p w14:paraId="527D4A3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7</w:t>
            </w:r>
          </w:p>
        </w:tc>
        <w:tc>
          <w:tcPr>
            <w:tcW w:w="1496" w:type="dxa"/>
            <w:hideMark/>
          </w:tcPr>
          <w:p w14:paraId="2B96170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2.92%</w:t>
            </w:r>
          </w:p>
        </w:tc>
      </w:tr>
      <w:tr w:rsidR="00664D0A" w:rsidRPr="003D7502" w14:paraId="2E3999D9"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hideMark/>
          </w:tcPr>
          <w:p w14:paraId="02C508A0"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Zingiberaceae</w:t>
            </w:r>
          </w:p>
        </w:tc>
        <w:tc>
          <w:tcPr>
            <w:tcW w:w="2584" w:type="dxa"/>
            <w:hideMark/>
          </w:tcPr>
          <w:p w14:paraId="5BE8906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 xml:space="preserve">Gingembre </w:t>
            </w:r>
          </w:p>
        </w:tc>
        <w:tc>
          <w:tcPr>
            <w:tcW w:w="1402" w:type="dxa"/>
            <w:hideMark/>
          </w:tcPr>
          <w:p w14:paraId="03F9AF8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 xml:space="preserve">الزنجبيل </w:t>
            </w:r>
          </w:p>
        </w:tc>
        <w:tc>
          <w:tcPr>
            <w:tcW w:w="2613" w:type="dxa"/>
            <w:hideMark/>
          </w:tcPr>
          <w:p w14:paraId="1CD0415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 xml:space="preserve">Zingiber officinale roscoe </w:t>
            </w:r>
          </w:p>
        </w:tc>
        <w:tc>
          <w:tcPr>
            <w:tcW w:w="2579" w:type="dxa"/>
            <w:hideMark/>
          </w:tcPr>
          <w:p w14:paraId="7C6751E9"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 xml:space="preserve">Fruits  </w:t>
            </w:r>
          </w:p>
        </w:tc>
        <w:tc>
          <w:tcPr>
            <w:tcW w:w="1190" w:type="dxa"/>
            <w:hideMark/>
          </w:tcPr>
          <w:p w14:paraId="22BE576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hideMark/>
          </w:tcPr>
          <w:p w14:paraId="7B2BB25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Cru, poudre</w:t>
            </w:r>
          </w:p>
        </w:tc>
        <w:tc>
          <w:tcPr>
            <w:tcW w:w="864" w:type="dxa"/>
            <w:noWrap/>
            <w:hideMark/>
          </w:tcPr>
          <w:p w14:paraId="56661FC7"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6</w:t>
            </w:r>
          </w:p>
        </w:tc>
        <w:tc>
          <w:tcPr>
            <w:tcW w:w="1496" w:type="dxa"/>
            <w:hideMark/>
          </w:tcPr>
          <w:p w14:paraId="26DE0384"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2.50%</w:t>
            </w:r>
          </w:p>
        </w:tc>
      </w:tr>
      <w:tr w:rsidR="00664D0A" w:rsidRPr="003D7502" w14:paraId="3B0B06EE" w14:textId="77777777" w:rsidTr="003E5C80">
        <w:trPr>
          <w:trHeight w:val="320"/>
        </w:trPr>
        <w:tc>
          <w:tcPr>
            <w:cnfStyle w:val="001000000000" w:firstRow="0" w:lastRow="0" w:firstColumn="1" w:lastColumn="0" w:oddVBand="0" w:evenVBand="0" w:oddHBand="0" w:evenHBand="0" w:firstRowFirstColumn="0" w:firstRowLastColumn="0" w:lastRowFirstColumn="0" w:lastRowLastColumn="0"/>
            <w:tcW w:w="1671" w:type="dxa"/>
            <w:hideMark/>
          </w:tcPr>
          <w:p w14:paraId="72CFEAD4"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Cucurbitaceae</w:t>
            </w:r>
          </w:p>
        </w:tc>
        <w:tc>
          <w:tcPr>
            <w:tcW w:w="2584" w:type="dxa"/>
            <w:hideMark/>
          </w:tcPr>
          <w:p w14:paraId="2D70AE6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Coloquinte</w:t>
            </w:r>
          </w:p>
        </w:tc>
        <w:tc>
          <w:tcPr>
            <w:tcW w:w="1402" w:type="dxa"/>
            <w:hideMark/>
          </w:tcPr>
          <w:p w14:paraId="56E00BD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الحنضل</w:t>
            </w:r>
          </w:p>
        </w:tc>
        <w:tc>
          <w:tcPr>
            <w:tcW w:w="2613" w:type="dxa"/>
            <w:hideMark/>
          </w:tcPr>
          <w:p w14:paraId="6C32660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Citrillus colocynthis</w:t>
            </w:r>
          </w:p>
        </w:tc>
        <w:tc>
          <w:tcPr>
            <w:tcW w:w="2579" w:type="dxa"/>
            <w:hideMark/>
          </w:tcPr>
          <w:p w14:paraId="64812C94"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 xml:space="preserve">Fruits  </w:t>
            </w:r>
          </w:p>
        </w:tc>
        <w:tc>
          <w:tcPr>
            <w:tcW w:w="1190" w:type="dxa"/>
            <w:hideMark/>
          </w:tcPr>
          <w:p w14:paraId="4A98045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 cutanée</w:t>
            </w:r>
          </w:p>
        </w:tc>
        <w:tc>
          <w:tcPr>
            <w:tcW w:w="1341" w:type="dxa"/>
            <w:hideMark/>
          </w:tcPr>
          <w:p w14:paraId="44EBE1B0"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Inf, poudre</w:t>
            </w:r>
          </w:p>
        </w:tc>
        <w:tc>
          <w:tcPr>
            <w:tcW w:w="864" w:type="dxa"/>
            <w:noWrap/>
            <w:hideMark/>
          </w:tcPr>
          <w:p w14:paraId="283DF37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3</w:t>
            </w:r>
          </w:p>
        </w:tc>
        <w:tc>
          <w:tcPr>
            <w:tcW w:w="1496" w:type="dxa"/>
            <w:hideMark/>
          </w:tcPr>
          <w:p w14:paraId="6BB287A7"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1.25%</w:t>
            </w:r>
          </w:p>
        </w:tc>
      </w:tr>
      <w:tr w:rsidR="00664D0A" w:rsidRPr="003D7502" w14:paraId="6794AE0C" w14:textId="77777777" w:rsidTr="003E5C80">
        <w:trPr>
          <w:trHeight w:val="509"/>
        </w:trPr>
        <w:tc>
          <w:tcPr>
            <w:cnfStyle w:val="001000000000" w:firstRow="0" w:lastRow="0" w:firstColumn="1" w:lastColumn="0" w:oddVBand="0" w:evenVBand="0" w:oddHBand="0" w:evenHBand="0" w:firstRowFirstColumn="0" w:firstRowLastColumn="0" w:lastRowFirstColumn="0" w:lastRowLastColumn="0"/>
            <w:tcW w:w="1671" w:type="dxa"/>
            <w:vMerge w:val="restart"/>
            <w:hideMark/>
          </w:tcPr>
          <w:p w14:paraId="3115BCA4" w14:textId="77777777" w:rsidR="00664D0A" w:rsidRPr="003D7502" w:rsidRDefault="00664D0A" w:rsidP="00B139C3">
            <w:pPr>
              <w:rPr>
                <w:rFonts w:ascii="Times New Roman" w:eastAsia="Times New Roman" w:hAnsi="Times New Roman" w:cs="Times New Roman"/>
                <w:b w:val="0"/>
                <w:bCs w:val="0"/>
                <w:lang w:eastAsia="fr-FR"/>
              </w:rPr>
            </w:pPr>
            <w:r w:rsidRPr="003D7502">
              <w:rPr>
                <w:rFonts w:ascii="Times New Roman" w:eastAsia="Times New Roman" w:hAnsi="Times New Roman" w:cs="Times New Roman"/>
                <w:b w:val="0"/>
                <w:bCs w:val="0"/>
                <w:lang w:eastAsia="fr-FR"/>
              </w:rPr>
              <w:t>Rosaceae</w:t>
            </w:r>
          </w:p>
        </w:tc>
        <w:tc>
          <w:tcPr>
            <w:tcW w:w="2584" w:type="dxa"/>
            <w:vMerge w:val="restart"/>
            <w:hideMark/>
          </w:tcPr>
          <w:p w14:paraId="29F2B3CD" w14:textId="77777777" w:rsidR="00664D0A" w:rsidRPr="00C5177C"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fr-FR" w:eastAsia="fr-FR"/>
              </w:rPr>
            </w:pPr>
            <w:r w:rsidRPr="00C5177C">
              <w:rPr>
                <w:rFonts w:ascii="Times New Roman" w:eastAsia="Times New Roman" w:hAnsi="Times New Roman" w:cs="Times New Roman"/>
                <w:lang w:val="fr-FR" w:eastAsia="fr-FR"/>
              </w:rPr>
              <w:t xml:space="preserve">Vinaingre de cidre de pomme </w:t>
            </w:r>
          </w:p>
        </w:tc>
        <w:tc>
          <w:tcPr>
            <w:tcW w:w="1402" w:type="dxa"/>
            <w:vMerge w:val="restart"/>
            <w:hideMark/>
          </w:tcPr>
          <w:p w14:paraId="5EE8793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r w:rsidRPr="003D7502">
              <w:rPr>
                <w:rFonts w:ascii="Calibri" w:eastAsia="Times New Roman" w:hAnsi="Calibri" w:cs="Times New Roman"/>
                <w:color w:val="000000"/>
                <w:rtl/>
                <w:lang w:eastAsia="fr-FR"/>
              </w:rPr>
              <w:t>خل التفاح</w:t>
            </w:r>
          </w:p>
        </w:tc>
        <w:tc>
          <w:tcPr>
            <w:tcW w:w="2613" w:type="dxa"/>
            <w:vMerge w:val="restart"/>
            <w:hideMark/>
          </w:tcPr>
          <w:p w14:paraId="17801B17"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tl/>
                <w:lang w:eastAsia="fr-FR"/>
              </w:rPr>
            </w:pPr>
            <w:r w:rsidRPr="003D7502">
              <w:rPr>
                <w:rFonts w:ascii="Times New Roman" w:eastAsia="Times New Roman" w:hAnsi="Times New Roman" w:cs="Times New Roman"/>
                <w:i/>
                <w:iCs/>
                <w:lang w:eastAsia="fr-FR"/>
              </w:rPr>
              <w:t>Malus domestica borkh</w:t>
            </w:r>
          </w:p>
        </w:tc>
        <w:tc>
          <w:tcPr>
            <w:tcW w:w="2579" w:type="dxa"/>
            <w:vMerge w:val="restart"/>
            <w:hideMark/>
          </w:tcPr>
          <w:p w14:paraId="289BF37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Vinaingre</w:t>
            </w:r>
          </w:p>
        </w:tc>
        <w:tc>
          <w:tcPr>
            <w:tcW w:w="1190" w:type="dxa"/>
            <w:vMerge w:val="restart"/>
            <w:hideMark/>
          </w:tcPr>
          <w:p w14:paraId="01D8A362"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Orale</w:t>
            </w:r>
          </w:p>
        </w:tc>
        <w:tc>
          <w:tcPr>
            <w:tcW w:w="1341" w:type="dxa"/>
            <w:vMerge w:val="restart"/>
            <w:hideMark/>
          </w:tcPr>
          <w:p w14:paraId="6F009714"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r w:rsidRPr="003D7502">
              <w:rPr>
                <w:rFonts w:ascii="Times New Roman" w:eastAsia="Times New Roman" w:hAnsi="Times New Roman" w:cs="Times New Roman"/>
                <w:lang w:eastAsia="fr-FR"/>
              </w:rPr>
              <w:t>Dilution</w:t>
            </w:r>
          </w:p>
        </w:tc>
        <w:tc>
          <w:tcPr>
            <w:tcW w:w="864" w:type="dxa"/>
            <w:vMerge w:val="restart"/>
            <w:noWrap/>
            <w:hideMark/>
          </w:tcPr>
          <w:p w14:paraId="04B0C81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1</w:t>
            </w:r>
          </w:p>
        </w:tc>
        <w:tc>
          <w:tcPr>
            <w:tcW w:w="1496" w:type="dxa"/>
            <w:vMerge w:val="restart"/>
            <w:hideMark/>
          </w:tcPr>
          <w:p w14:paraId="0CF9D60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3D7502">
              <w:rPr>
                <w:rFonts w:ascii="Times New Roman" w:eastAsia="Times New Roman" w:hAnsi="Times New Roman" w:cs="Times New Roman"/>
                <w:color w:val="000000"/>
                <w:lang w:eastAsia="fr-FR"/>
              </w:rPr>
              <w:t>0.42%</w:t>
            </w:r>
          </w:p>
        </w:tc>
      </w:tr>
      <w:tr w:rsidR="00664D0A" w:rsidRPr="003D7502" w14:paraId="18277322" w14:textId="77777777" w:rsidTr="003E5C80">
        <w:trPr>
          <w:trHeight w:val="509"/>
        </w:trPr>
        <w:tc>
          <w:tcPr>
            <w:cnfStyle w:val="001000000000" w:firstRow="0" w:lastRow="0" w:firstColumn="1" w:lastColumn="0" w:oddVBand="0" w:evenVBand="0" w:oddHBand="0" w:evenHBand="0" w:firstRowFirstColumn="0" w:firstRowLastColumn="0" w:lastRowFirstColumn="0" w:lastRowLastColumn="0"/>
            <w:tcW w:w="1671" w:type="dxa"/>
            <w:vMerge/>
            <w:hideMark/>
          </w:tcPr>
          <w:p w14:paraId="4DE5E497" w14:textId="77777777" w:rsidR="00664D0A" w:rsidRPr="003D7502" w:rsidRDefault="00664D0A" w:rsidP="00B139C3">
            <w:pPr>
              <w:rPr>
                <w:rFonts w:ascii="Times New Roman" w:eastAsia="Times New Roman" w:hAnsi="Times New Roman" w:cs="Times New Roman"/>
                <w:b w:val="0"/>
                <w:bCs w:val="0"/>
                <w:lang w:eastAsia="fr-FR"/>
              </w:rPr>
            </w:pPr>
          </w:p>
        </w:tc>
        <w:tc>
          <w:tcPr>
            <w:tcW w:w="2584" w:type="dxa"/>
            <w:vMerge/>
            <w:hideMark/>
          </w:tcPr>
          <w:p w14:paraId="077F53B8"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p>
        </w:tc>
        <w:tc>
          <w:tcPr>
            <w:tcW w:w="1402" w:type="dxa"/>
            <w:vMerge/>
            <w:hideMark/>
          </w:tcPr>
          <w:p w14:paraId="3ABB6BAC"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fr-FR"/>
              </w:rPr>
            </w:pPr>
          </w:p>
        </w:tc>
        <w:tc>
          <w:tcPr>
            <w:tcW w:w="2613" w:type="dxa"/>
            <w:vMerge/>
            <w:hideMark/>
          </w:tcPr>
          <w:p w14:paraId="431E774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lang w:eastAsia="fr-FR"/>
              </w:rPr>
            </w:pPr>
          </w:p>
        </w:tc>
        <w:tc>
          <w:tcPr>
            <w:tcW w:w="2579" w:type="dxa"/>
            <w:vMerge/>
            <w:hideMark/>
          </w:tcPr>
          <w:p w14:paraId="02D3D2A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p>
        </w:tc>
        <w:tc>
          <w:tcPr>
            <w:tcW w:w="1190" w:type="dxa"/>
            <w:vMerge/>
            <w:hideMark/>
          </w:tcPr>
          <w:p w14:paraId="134589BE"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p>
        </w:tc>
        <w:tc>
          <w:tcPr>
            <w:tcW w:w="1341" w:type="dxa"/>
            <w:vMerge/>
            <w:hideMark/>
          </w:tcPr>
          <w:p w14:paraId="6DC20A86"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fr-FR"/>
              </w:rPr>
            </w:pPr>
          </w:p>
        </w:tc>
        <w:tc>
          <w:tcPr>
            <w:tcW w:w="864" w:type="dxa"/>
            <w:vMerge/>
            <w:hideMark/>
          </w:tcPr>
          <w:p w14:paraId="481AB8FB"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1496" w:type="dxa"/>
            <w:vMerge/>
            <w:hideMark/>
          </w:tcPr>
          <w:p w14:paraId="44374A3A" w14:textId="77777777" w:rsidR="00664D0A" w:rsidRPr="003D7502" w:rsidRDefault="00664D0A" w:rsidP="00B13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r>
    </w:tbl>
    <w:p w14:paraId="3C788D95" w14:textId="77777777" w:rsidR="00664D0A" w:rsidRDefault="00664D0A" w:rsidP="00B139C3">
      <w:pPr>
        <w:sectPr w:rsidR="00664D0A" w:rsidSect="00784D29">
          <w:pgSz w:w="16838" w:h="11906" w:orient="landscape"/>
          <w:pgMar w:top="1417" w:right="1417" w:bottom="1417" w:left="1417" w:header="708" w:footer="708" w:gutter="0"/>
          <w:cols w:space="708"/>
          <w:docGrid w:linePitch="360"/>
        </w:sectPr>
      </w:pPr>
      <w:r>
        <w:br w:type="page"/>
      </w:r>
    </w:p>
    <w:p w14:paraId="209C7422" w14:textId="77777777" w:rsidR="00580E17" w:rsidRDefault="00664D0A" w:rsidP="00B139C3">
      <w:r>
        <w:rPr>
          <w:noProof/>
          <w:lang w:val="fr-FR" w:eastAsia="fr-FR"/>
        </w:rPr>
        <w:lastRenderedPageBreak/>
        <w:drawing>
          <wp:inline distT="0" distB="0" distL="0" distR="0" wp14:anchorId="5AD21D81" wp14:editId="49C2B2FB">
            <wp:extent cx="4797425" cy="4130676"/>
            <wp:effectExtent l="0" t="0" r="3175" b="317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451BCB9F" w14:textId="1B4C5523" w:rsidR="00664D0A" w:rsidRPr="00F96B82" w:rsidRDefault="00580E17" w:rsidP="007277D4">
      <w:pPr>
        <w:rPr>
          <w:lang w:val="fr-FR"/>
        </w:rPr>
      </w:pPr>
      <w:bookmarkStart w:id="162" w:name="_Toc229617337"/>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48</w:t>
      </w:r>
      <w:r>
        <w:fldChar w:fldCharType="end"/>
      </w:r>
      <w:r w:rsidRPr="00F96B82">
        <w:rPr>
          <w:lang w:val="fr-FR"/>
        </w:rPr>
        <w:t xml:space="preserve"> Fréquence d'usage des différentes familles botaniques au sein de la population étudiée.</w:t>
      </w:r>
      <w:bookmarkEnd w:id="162"/>
    </w:p>
    <w:p w14:paraId="565F75D1" w14:textId="77777777" w:rsidR="00664D0A" w:rsidRPr="00664D0A" w:rsidRDefault="00664D0A" w:rsidP="00B139C3">
      <w:pPr>
        <w:rPr>
          <w:lang w:val="fr-FR"/>
        </w:rPr>
      </w:pPr>
      <w:r w:rsidRPr="00664D0A">
        <w:rPr>
          <w:lang w:val="fr-FR"/>
        </w:rPr>
        <w:t xml:space="preserve">Analyse : </w:t>
      </w:r>
    </w:p>
    <w:p w14:paraId="2737B1B6" w14:textId="77777777" w:rsidR="00664D0A" w:rsidRPr="00F96B82" w:rsidRDefault="00664D0A" w:rsidP="00B139C3">
      <w:pPr>
        <w:rPr>
          <w:lang w:val="fr-FR"/>
        </w:rPr>
      </w:pPr>
      <w:r w:rsidRPr="00F96B82">
        <w:rPr>
          <w:lang w:val="fr-FR"/>
        </w:rPr>
        <w:t xml:space="preserve">L’analyse détaillée de la distribution des plantes médicinales utilisées dans cette étude met en évidence une remarquable diversité ethnobotanique, avec </w:t>
      </w:r>
      <w:r w:rsidRPr="00F96B82">
        <w:rPr>
          <w:rStyle w:val="Strong"/>
          <w:rFonts w:cstheme="majorBidi"/>
          <w:lang w:val="fr-FR"/>
        </w:rPr>
        <w:t>26 espèces végétales appartenant à 16 familles botaniques distinctes</w:t>
      </w:r>
      <w:r w:rsidRPr="00F96B82">
        <w:rPr>
          <w:lang w:val="fr-FR"/>
        </w:rPr>
        <w:t>. Cette richesse floristique témoigne de l’ancrage profond de la phytothérapie dans les pratiques de soins des patients diabétiques et reflète l’importance du patrimoine ethnomédical local. Malgré cette diversité, l’utilisation des plantes n’est pas homogène ; elle est fortement concentrée autour d’un nombre limité d’espèces considérées comme particulièrement efficaces dans la tradition populaire.</w:t>
      </w:r>
    </w:p>
    <w:p w14:paraId="1EA96458" w14:textId="09372F73" w:rsidR="00664D0A" w:rsidRPr="00F96B82" w:rsidRDefault="00664D0A" w:rsidP="00B139C3">
      <w:pPr>
        <w:rPr>
          <w:lang w:val="fr-FR"/>
        </w:rPr>
      </w:pPr>
      <w:r w:rsidRPr="00F96B82">
        <w:rPr>
          <w:lang w:val="fr-FR"/>
        </w:rPr>
        <w:t>La plante la plus fréquemment utilisée est de loin l’</w:t>
      </w:r>
      <w:r w:rsidRPr="00F96B82">
        <w:rPr>
          <w:rStyle w:val="whitespace-normal"/>
          <w:rFonts w:cstheme="majorBidi"/>
          <w:lang w:val="fr-FR"/>
        </w:rPr>
        <w:t>Armoise</w:t>
      </w:r>
      <w:r w:rsidRPr="00F96B82">
        <w:rPr>
          <w:lang w:val="fr-FR"/>
        </w:rPr>
        <w:t xml:space="preserve"> (</w:t>
      </w:r>
      <w:r w:rsidRPr="00F96B82">
        <w:rPr>
          <w:rStyle w:val="Emphasis"/>
          <w:rFonts w:cstheme="majorBidi"/>
          <w:lang w:val="fr-FR"/>
        </w:rPr>
        <w:t>Artemisia herba-alba</w:t>
      </w:r>
      <w:r w:rsidRPr="00F96B82">
        <w:rPr>
          <w:lang w:val="fr-FR"/>
        </w:rPr>
        <w:t xml:space="preserve"> Asso.), appartenant à la famille des </w:t>
      </w:r>
      <w:r w:rsidRPr="00F96B82">
        <w:rPr>
          <w:rStyle w:val="whitespace-normal"/>
          <w:rFonts w:cstheme="majorBidi"/>
          <w:lang w:val="fr-FR"/>
        </w:rPr>
        <w:t>Astéracées</w:t>
      </w:r>
      <w:r w:rsidRPr="00F96B82">
        <w:rPr>
          <w:lang w:val="fr-FR"/>
        </w:rPr>
        <w:t xml:space="preserve">, qui représente à elle seule 48,75 % des citations (n=117). Cette prédominance exceptionnelle suggère que cette espèce occupe une place centrale dans la phytothérapie antidiabétique locale. Sa notoriété peut être attribuée à sa large disponibilité en </w:t>
      </w:r>
      <w:r w:rsidRPr="00F96B82">
        <w:rPr>
          <w:rStyle w:val="whitespace-normal"/>
          <w:rFonts w:cstheme="majorBidi"/>
          <w:lang w:val="fr-FR"/>
        </w:rPr>
        <w:t>Algérie</w:t>
      </w:r>
      <w:r w:rsidRPr="00F96B82">
        <w:rPr>
          <w:lang w:val="fr-FR"/>
        </w:rPr>
        <w:t xml:space="preserve">, à sa forte valeur symbolique dans la médecine traditionnelle maghrébine, ainsi qu’à l’existence de nombreuses données expérimentales rapportant des propriétés hypoglycémiantes, </w:t>
      </w:r>
      <w:r w:rsidR="003E5C80" w:rsidRPr="00F96B82">
        <w:rPr>
          <w:lang w:val="fr-FR"/>
        </w:rPr>
        <w:t>antioxydants</w:t>
      </w:r>
      <w:r w:rsidRPr="00F96B82">
        <w:rPr>
          <w:lang w:val="fr-FR"/>
        </w:rPr>
        <w:t xml:space="preserve"> et anti-inflammatoires. Loin derrière, d’autres espèces sont régulièrement mentionnées, notamment la </w:t>
      </w:r>
      <w:r w:rsidRPr="00F96B82">
        <w:rPr>
          <w:rStyle w:val="whitespace-normal"/>
          <w:rFonts w:cstheme="majorBidi"/>
          <w:lang w:val="fr-FR"/>
        </w:rPr>
        <w:t>Cannelle</w:t>
      </w:r>
      <w:r w:rsidRPr="00F96B82">
        <w:rPr>
          <w:lang w:val="fr-FR"/>
        </w:rPr>
        <w:t xml:space="preserve"> (7,50 %), la </w:t>
      </w:r>
      <w:r w:rsidRPr="00F96B82">
        <w:rPr>
          <w:rStyle w:val="whitespace-normal"/>
          <w:rFonts w:cstheme="majorBidi"/>
          <w:lang w:val="fr-FR"/>
        </w:rPr>
        <w:t>Coriandre</w:t>
      </w:r>
      <w:r w:rsidRPr="00F96B82">
        <w:rPr>
          <w:lang w:val="fr-FR"/>
        </w:rPr>
        <w:t xml:space="preserve"> (6,67 %), le </w:t>
      </w:r>
      <w:r w:rsidRPr="00F96B82">
        <w:rPr>
          <w:rStyle w:val="whitespace-normal"/>
          <w:rFonts w:cstheme="majorBidi"/>
          <w:lang w:val="fr-FR"/>
        </w:rPr>
        <w:t>Fenugrec</w:t>
      </w:r>
      <w:r w:rsidRPr="00F96B82">
        <w:rPr>
          <w:lang w:val="fr-FR"/>
        </w:rPr>
        <w:t xml:space="preserve"> (5,83 %), le </w:t>
      </w:r>
      <w:r w:rsidRPr="00F96B82">
        <w:rPr>
          <w:rStyle w:val="whitespace-normal"/>
          <w:rFonts w:cstheme="majorBidi"/>
          <w:lang w:val="fr-FR"/>
        </w:rPr>
        <w:t>Romarin</w:t>
      </w:r>
      <w:r w:rsidRPr="00F96B82">
        <w:rPr>
          <w:lang w:val="fr-FR"/>
        </w:rPr>
        <w:t xml:space="preserve"> (4,17 %) et les feuilles d’</w:t>
      </w:r>
      <w:r w:rsidRPr="00F96B82">
        <w:rPr>
          <w:rStyle w:val="whitespace-normal"/>
          <w:rFonts w:cstheme="majorBidi"/>
          <w:lang w:val="fr-FR"/>
        </w:rPr>
        <w:t>Olivier</w:t>
      </w:r>
      <w:r w:rsidRPr="00F96B82">
        <w:rPr>
          <w:lang w:val="fr-FR"/>
        </w:rPr>
        <w:t xml:space="preserve"> (3,75 %). La majorité des autres plantes présentent des fréquences inférieures à 3 %, ce qui traduit un usage plus occasionnel ou ciblé.</w:t>
      </w:r>
    </w:p>
    <w:p w14:paraId="637B338C" w14:textId="77777777" w:rsidR="00664D0A" w:rsidRPr="00F96B82" w:rsidRDefault="00664D0A" w:rsidP="00B139C3">
      <w:pPr>
        <w:rPr>
          <w:lang w:val="fr-FR"/>
        </w:rPr>
      </w:pPr>
      <w:r w:rsidRPr="00F96B82">
        <w:rPr>
          <w:lang w:val="fr-FR"/>
        </w:rPr>
        <w:lastRenderedPageBreak/>
        <w:t xml:space="preserve">Sur le plan taxonomique, la famille des Lamiacées apparaît comme la plus diversifiée en nombre d’espèces recensées, regroupant la sauge, le romarin, la menthe, l’origan, la bugle musquée, la marjolaine et la germandrée tomenteuse. Cette surreprésentation s’explique par la richesse de cette famille en huiles essentielles, terpènes et composés phénoliques, largement reconnus pour leurs effets antioxydants, anti-inflammatoires et métaboliques. Les Apiacées (coriandre, cumin, fenouil), les Lauracées (cannelle, laurier) et les Astéracées occupent également une place importante. Ainsi, deux tendances complémentaires se dégagent : certaines familles dominent par leur </w:t>
      </w:r>
      <w:r w:rsidRPr="00F96B82">
        <w:rPr>
          <w:rStyle w:val="Strong"/>
          <w:rFonts w:cstheme="majorBidi"/>
          <w:b w:val="0"/>
          <w:bCs w:val="0"/>
          <w:lang w:val="fr-FR"/>
        </w:rPr>
        <w:t>diversité spécifique</w:t>
      </w:r>
      <w:r w:rsidRPr="00F96B82">
        <w:rPr>
          <w:lang w:val="fr-FR"/>
        </w:rPr>
        <w:t xml:space="preserve"> (notamment les Lamiacées), tandis que d’autres dominent par le </w:t>
      </w:r>
      <w:r w:rsidRPr="00F96B82">
        <w:rPr>
          <w:rStyle w:val="Strong"/>
          <w:rFonts w:cstheme="majorBidi"/>
          <w:b w:val="0"/>
          <w:bCs w:val="0"/>
          <w:lang w:val="fr-FR"/>
        </w:rPr>
        <w:t>poids d’une espèce unique</w:t>
      </w:r>
      <w:r w:rsidRPr="00F96B82">
        <w:rPr>
          <w:lang w:val="fr-FR"/>
        </w:rPr>
        <w:t>, comme les Astéracées grâce à l’usage massif de l’armoise.</w:t>
      </w:r>
    </w:p>
    <w:p w14:paraId="087568D1" w14:textId="77777777" w:rsidR="00664D0A" w:rsidRPr="00F96B82" w:rsidRDefault="00664D0A" w:rsidP="00B139C3">
      <w:pPr>
        <w:rPr>
          <w:lang w:val="fr-FR"/>
        </w:rPr>
      </w:pPr>
      <w:r w:rsidRPr="00F96B82">
        <w:rPr>
          <w:lang w:val="fr-FR"/>
        </w:rPr>
        <w:t xml:space="preserve">L’analyse des parties végétales utilisées montre une nette prédominance des </w:t>
      </w:r>
      <w:r w:rsidRPr="00F96B82">
        <w:rPr>
          <w:rStyle w:val="Strong"/>
          <w:rFonts w:cstheme="majorBidi"/>
          <w:b w:val="0"/>
          <w:bCs w:val="0"/>
          <w:lang w:val="fr-FR"/>
        </w:rPr>
        <w:t>feuilles et parties aériennes</w:t>
      </w:r>
      <w:r w:rsidRPr="00F96B82">
        <w:rPr>
          <w:lang w:val="fr-FR"/>
        </w:rPr>
        <w:t xml:space="preserve">, qui constituent les organes les plus fréquemment employés. Cette préférence peut s’expliquer par leur disponibilité, leur facilité de récolte et leur forte concentration en métabolites secondaires tels que les flavonoïdes, les acides phénoliques et les huiles essentielles. Les </w:t>
      </w:r>
      <w:r w:rsidRPr="00F96B82">
        <w:rPr>
          <w:rStyle w:val="Strong"/>
          <w:rFonts w:cstheme="majorBidi"/>
          <w:b w:val="0"/>
          <w:bCs w:val="0"/>
          <w:lang w:val="fr-FR"/>
        </w:rPr>
        <w:t>graines</w:t>
      </w:r>
      <w:r w:rsidRPr="00F96B82">
        <w:rPr>
          <w:lang w:val="fr-FR"/>
        </w:rPr>
        <w:t xml:space="preserve"> occupent la deuxième place, notamment pour le fenugrec, la coriandre, le cumin et la nigelle, suivies par les </w:t>
      </w:r>
      <w:r w:rsidRPr="00F96B82">
        <w:rPr>
          <w:rStyle w:val="Strong"/>
          <w:rFonts w:cstheme="majorBidi"/>
          <w:b w:val="0"/>
          <w:bCs w:val="0"/>
          <w:lang w:val="fr-FR"/>
        </w:rPr>
        <w:t>écorces</w:t>
      </w:r>
      <w:r w:rsidRPr="00F96B82">
        <w:rPr>
          <w:lang w:val="fr-FR"/>
        </w:rPr>
        <w:t xml:space="preserve"> (cannelle), les </w:t>
      </w:r>
      <w:r w:rsidRPr="00F96B82">
        <w:rPr>
          <w:rStyle w:val="Strong"/>
          <w:rFonts w:cstheme="majorBidi"/>
          <w:b w:val="0"/>
          <w:bCs w:val="0"/>
          <w:lang w:val="fr-FR"/>
        </w:rPr>
        <w:t>bulbes</w:t>
      </w:r>
      <w:r w:rsidRPr="00F96B82">
        <w:rPr>
          <w:lang w:val="fr-FR"/>
        </w:rPr>
        <w:t xml:space="preserve"> (ail), les </w:t>
      </w:r>
      <w:r w:rsidRPr="00F96B82">
        <w:rPr>
          <w:rStyle w:val="Strong"/>
          <w:rFonts w:cstheme="majorBidi"/>
          <w:b w:val="0"/>
          <w:bCs w:val="0"/>
          <w:lang w:val="fr-FR"/>
        </w:rPr>
        <w:t>racines</w:t>
      </w:r>
      <w:r w:rsidRPr="00F96B82">
        <w:rPr>
          <w:lang w:val="fr-FR"/>
        </w:rPr>
        <w:t xml:space="preserve"> (costus indien), les </w:t>
      </w:r>
      <w:r w:rsidRPr="00F96B82">
        <w:rPr>
          <w:rStyle w:val="Strong"/>
          <w:rFonts w:cstheme="majorBidi"/>
          <w:b w:val="0"/>
          <w:bCs w:val="0"/>
          <w:lang w:val="fr-FR"/>
        </w:rPr>
        <w:t>fruits</w:t>
      </w:r>
      <w:r w:rsidRPr="00F96B82">
        <w:rPr>
          <w:lang w:val="fr-FR"/>
        </w:rPr>
        <w:t xml:space="preserve"> (citron, coloquinte, gingembre) et l’</w:t>
      </w:r>
      <w:r w:rsidRPr="00F96B82">
        <w:rPr>
          <w:rStyle w:val="Strong"/>
          <w:rFonts w:cstheme="majorBidi"/>
          <w:b w:val="0"/>
          <w:bCs w:val="0"/>
          <w:lang w:val="fr-FR"/>
        </w:rPr>
        <w:t>épicarpe</w:t>
      </w:r>
      <w:r w:rsidRPr="00F96B82">
        <w:rPr>
          <w:lang w:val="fr-FR"/>
        </w:rPr>
        <w:t xml:space="preserve"> du grenadier. Cette diversité d’organes végétaux reflète la richesse des savoirs traditionnels et la sélection empirique des parties considérées comme les plus actives.</w:t>
      </w:r>
    </w:p>
    <w:p w14:paraId="1B42BD12" w14:textId="77777777" w:rsidR="00664D0A" w:rsidRPr="00F96B82" w:rsidRDefault="00664D0A" w:rsidP="00B139C3">
      <w:pPr>
        <w:rPr>
          <w:lang w:val="fr-FR"/>
        </w:rPr>
      </w:pPr>
      <w:r w:rsidRPr="00F96B82">
        <w:rPr>
          <w:lang w:val="fr-FR"/>
        </w:rPr>
        <w:t xml:space="preserve">Concernant les modalités d’utilisation, la </w:t>
      </w:r>
      <w:r w:rsidRPr="00F96B82">
        <w:rPr>
          <w:rStyle w:val="Strong"/>
          <w:rFonts w:cstheme="majorBidi"/>
          <w:b w:val="0"/>
          <w:bCs w:val="0"/>
          <w:lang w:val="fr-FR"/>
        </w:rPr>
        <w:t>voie orale</w:t>
      </w:r>
      <w:r w:rsidRPr="00F96B82">
        <w:rPr>
          <w:lang w:val="fr-FR"/>
        </w:rPr>
        <w:t xml:space="preserve"> constitue la voie d’administration quasi exclusive, ce qui est cohérent avec un objectif thérapeutique systémique visant le contrôle glycémique. La coloquinte représente la seule plante rapportée avec un usage à la fois oral et cutané. Les </w:t>
      </w:r>
      <w:r w:rsidRPr="00F96B82">
        <w:rPr>
          <w:rStyle w:val="Strong"/>
          <w:rFonts w:cstheme="majorBidi"/>
          <w:b w:val="0"/>
          <w:bCs w:val="0"/>
          <w:lang w:val="fr-FR"/>
        </w:rPr>
        <w:t>modes de préparation traditionnels</w:t>
      </w:r>
      <w:r w:rsidRPr="00F96B82">
        <w:rPr>
          <w:lang w:val="fr-FR"/>
        </w:rPr>
        <w:t xml:space="preserve"> sont dominés par l’infusion et la décoction, qui permettent l’extraction aqueuse des composés hydrosolubles et restent les techniques les plus simples et les plus accessibles. L’utilisation sous forme de poudre, de plante crue ou de dilution (comme pour le vinaigre de cidre) illustre une certaine variété de pratiques, mais confirme que les méthodes demeurent essentiellement artisanales et non standardisées.</w:t>
      </w:r>
    </w:p>
    <w:p w14:paraId="5FDC6A68" w14:textId="77FE6054" w:rsidR="00664D0A" w:rsidRPr="00F96B82" w:rsidRDefault="00664D0A" w:rsidP="007277D4">
      <w:pPr>
        <w:rPr>
          <w:lang w:val="fr-FR"/>
        </w:rPr>
      </w:pPr>
      <w:r w:rsidRPr="00F96B82">
        <w:rPr>
          <w:lang w:val="fr-FR"/>
        </w:rPr>
        <w:t>Dans l’ensemble, cette distribution met en évidence une phytothérapie profondément enracinée dans les traditions locales, caractérisée par une forte concentration autour de quelques espèces emblématiques, une grande diversité taxonomique, une utilisation prédominante des feuilles, un recours quasi exclusif à la voie orale et une préférence marquée pour les préparations aqueuses traditionnelles. Ces caractéristiques sont typiques des études ethnopharmacologiques et suggèrent que le choix des plantes repose sur l’interaction entre disponibilité locale, transmission intergénérationnelle des connaissances, perceptions d’efficacité et données scientifiques de plus en plus accessibles sur leurs propriété</w:t>
      </w:r>
      <w:r w:rsidR="007277D4" w:rsidRPr="00F96B82">
        <w:rPr>
          <w:lang w:val="fr-FR"/>
        </w:rPr>
        <w:t>s antidiabétiques potentielles.</w:t>
      </w:r>
    </w:p>
    <w:p w14:paraId="25EB0A59" w14:textId="6079886F" w:rsidR="00664D0A" w:rsidRPr="007277D4" w:rsidRDefault="00664D0A" w:rsidP="00B139C3">
      <w:pPr>
        <w:rPr>
          <w:b/>
          <w:bCs/>
          <w:sz w:val="32"/>
          <w:szCs w:val="32"/>
          <w:lang w:val="fr-FR"/>
        </w:rPr>
      </w:pPr>
      <w:r w:rsidRPr="007277D4">
        <w:rPr>
          <w:b/>
          <w:bCs/>
          <w:sz w:val="32"/>
          <w:szCs w:val="32"/>
          <w:lang w:val="fr-FR"/>
        </w:rPr>
        <w:t xml:space="preserve">3/Répartition des patients </w:t>
      </w:r>
      <w:proofErr w:type="gramStart"/>
      <w:r w:rsidRPr="007277D4">
        <w:rPr>
          <w:b/>
          <w:bCs/>
          <w:sz w:val="32"/>
          <w:szCs w:val="32"/>
          <w:lang w:val="fr-FR"/>
        </w:rPr>
        <w:t xml:space="preserve">diabétiques </w:t>
      </w:r>
      <w:r w:rsidR="001F5341" w:rsidRPr="007277D4">
        <w:rPr>
          <w:b/>
          <w:bCs/>
          <w:sz w:val="32"/>
          <w:szCs w:val="32"/>
          <w:lang w:val="fr-FR"/>
        </w:rPr>
        <w:t xml:space="preserve"> u</w:t>
      </w:r>
      <w:r w:rsidRPr="007277D4">
        <w:rPr>
          <w:b/>
          <w:bCs/>
          <w:sz w:val="32"/>
          <w:szCs w:val="32"/>
          <w:lang w:val="fr-FR"/>
        </w:rPr>
        <w:t>selon</w:t>
      </w:r>
      <w:proofErr w:type="gramEnd"/>
      <w:r w:rsidRPr="007277D4">
        <w:rPr>
          <w:b/>
          <w:bCs/>
          <w:lang w:val="fr-FR"/>
        </w:rPr>
        <w:t xml:space="preserve"> </w:t>
      </w:r>
      <w:r w:rsidRPr="007277D4">
        <w:rPr>
          <w:b/>
          <w:bCs/>
          <w:sz w:val="32"/>
          <w:szCs w:val="32"/>
          <w:lang w:val="fr-FR"/>
        </w:rPr>
        <w:t>l’âge :</w:t>
      </w:r>
    </w:p>
    <w:p w14:paraId="44F8C7C2" w14:textId="77777777" w:rsidR="00664D0A" w:rsidRPr="00664D0A" w:rsidRDefault="00664D0A" w:rsidP="00B139C3">
      <w:pPr>
        <w:rPr>
          <w:color w:val="44546A" w:themeColor="text2"/>
          <w:sz w:val="28"/>
          <w:szCs w:val="28"/>
          <w:lang w:val="fr-FR"/>
        </w:rPr>
      </w:pPr>
      <w:proofErr w:type="gramStart"/>
      <w:r w:rsidRPr="00664D0A">
        <w:rPr>
          <w:color w:val="44546A" w:themeColor="text2"/>
          <w:sz w:val="28"/>
          <w:szCs w:val="28"/>
          <w:lang w:val="fr-FR"/>
        </w:rPr>
        <w:t>description:</w:t>
      </w:r>
      <w:proofErr w:type="gramEnd"/>
      <w:r w:rsidRPr="00664D0A">
        <w:rPr>
          <w:color w:val="44546A" w:themeColor="text2"/>
          <w:sz w:val="28"/>
          <w:szCs w:val="28"/>
          <w:lang w:val="fr-FR"/>
        </w:rPr>
        <w:t xml:space="preserve"> </w:t>
      </w:r>
    </w:p>
    <w:p w14:paraId="171425A3" w14:textId="77777777" w:rsidR="00664D0A" w:rsidRPr="00664D0A" w:rsidRDefault="00664D0A" w:rsidP="00B139C3">
      <w:pPr>
        <w:rPr>
          <w:lang w:val="fr-FR"/>
        </w:rPr>
      </w:pPr>
      <w:r w:rsidRPr="00664D0A">
        <w:rPr>
          <w:lang w:val="fr-FR"/>
        </w:rPr>
        <w:t xml:space="preserve">Chez les 93 patients non-utilisateurs de phytothérapie, on observe également une prédominance des classes d’âge intermédiaires, principalement entre 50 et 69 ans, avec une distribution </w:t>
      </w:r>
      <w:r w:rsidRPr="00664D0A">
        <w:rPr>
          <w:lang w:val="fr-FR"/>
        </w:rPr>
        <w:lastRenderedPageBreak/>
        <w:t>relativement comparable mais légèrement moins marquée chez les sujets âgés par rapport aux utilisateurs.</w:t>
      </w:r>
    </w:p>
    <w:p w14:paraId="13102A47" w14:textId="6E8A57D2" w:rsidR="00664D0A" w:rsidRPr="00580E17" w:rsidRDefault="00664D0A" w:rsidP="0005552C">
      <w:pPr>
        <w:rPr>
          <w:lang w:val="fr-FR"/>
        </w:rPr>
      </w:pPr>
      <w:r w:rsidRPr="00664D0A">
        <w:rPr>
          <w:lang w:val="fr-FR"/>
        </w:rPr>
        <w:t xml:space="preserve">Parmi les 158 patients diabétiques de type 2 utilisant la phytothérapie, la répartition selon l’âge montre une prédominance des patients d’âge moyen et avancé. La majorité des patients se situe entre 50 et 79 ans, avec un pic observé dans la tranche 60–69 ans. Les sujets jeunes (moins de 40 ans) et très âgés (plus de 80 ans) </w:t>
      </w:r>
      <w:r w:rsidR="0005552C">
        <w:rPr>
          <w:lang w:val="fr-FR"/>
        </w:rPr>
        <w:t>restent faiblement représentés.</w:t>
      </w:r>
    </w:p>
    <w:p w14:paraId="1AAE987B" w14:textId="3B0608F1" w:rsidR="0005552C" w:rsidRDefault="0005552C" w:rsidP="0005552C">
      <w:pPr>
        <w:pStyle w:val="Caption"/>
        <w:keepNext/>
      </w:pPr>
      <w:bookmarkStart w:id="163" w:name="_Toc229617374"/>
      <w:r>
        <w:t xml:space="preserve">Tableau </w:t>
      </w:r>
      <w:r>
        <w:fldChar w:fldCharType="begin"/>
      </w:r>
      <w:r>
        <w:instrText xml:space="preserve"> SEQ Tableau \* ARABIC </w:instrText>
      </w:r>
      <w:r>
        <w:fldChar w:fldCharType="separate"/>
      </w:r>
      <w:r w:rsidR="00983108">
        <w:rPr>
          <w:noProof/>
        </w:rPr>
        <w:t>13</w:t>
      </w:r>
      <w:r>
        <w:fldChar w:fldCharType="end"/>
      </w:r>
      <w:r>
        <w:t xml:space="preserve"> </w:t>
      </w:r>
      <w:r w:rsidRPr="00576532">
        <w:t>Répartition des patients par tranches d'âge et selon l'usage de la phytothérapie</w:t>
      </w:r>
      <w:bookmarkEnd w:id="163"/>
    </w:p>
    <w:tbl>
      <w:tblPr>
        <w:tblW w:w="9350" w:type="dxa"/>
        <w:tblCellMar>
          <w:left w:w="0" w:type="dxa"/>
          <w:right w:w="0" w:type="dxa"/>
        </w:tblCellMar>
        <w:tblLook w:val="04A0" w:firstRow="1" w:lastRow="0" w:firstColumn="1" w:lastColumn="0" w:noHBand="0" w:noVBand="1"/>
      </w:tblPr>
      <w:tblGrid>
        <w:gridCol w:w="2037"/>
        <w:gridCol w:w="2008"/>
        <w:gridCol w:w="1491"/>
        <w:gridCol w:w="2323"/>
        <w:gridCol w:w="1491"/>
      </w:tblGrid>
      <w:tr w:rsidR="00664D0A" w:rsidRPr="00F82874" w14:paraId="5D5F10B9"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E32A86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Tranches d'âge (ans)</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873639E"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Utilisateurs (n=158)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DC162F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EFE6AE8"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Non-utilisateurs (n=93)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15823B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r>
      <w:tr w:rsidR="00664D0A" w:rsidRPr="00F82874" w14:paraId="7097BCF5"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311831E"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[30 - 39]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1DFDDAD"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448368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1,27 %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15FA1B1"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CCAF14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4,30 %</w:t>
            </w:r>
          </w:p>
        </w:tc>
      </w:tr>
      <w:tr w:rsidR="00664D0A" w:rsidRPr="00F82874" w14:paraId="538CD069"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83906B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[40 - 49]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EC3F40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24</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E746318"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15,19 %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20A40F3"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E6A6AB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12,90 %</w:t>
            </w:r>
          </w:p>
        </w:tc>
      </w:tr>
      <w:tr w:rsidR="00664D0A" w:rsidRPr="00F82874" w14:paraId="455CF5BB"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C243591"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[50 - 59]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427EB51"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40</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A7B74FE"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25,32 %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D4403C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551920E"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30,11 %</w:t>
            </w:r>
          </w:p>
        </w:tc>
      </w:tr>
      <w:tr w:rsidR="00664D0A" w:rsidRPr="00F82874" w14:paraId="1AC13CB7"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A4BEE3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[60 - 69]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DFD6673"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56</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D5040C4"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35,44 %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AD163C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DED1165"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35,48 %</w:t>
            </w:r>
          </w:p>
        </w:tc>
      </w:tr>
      <w:tr w:rsidR="00664D0A" w:rsidRPr="00F82874" w14:paraId="0147BA81"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242F6F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[70 - 79]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E0974A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34</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BCD7F2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21,52 %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5946433"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8D4A84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12,90 %</w:t>
            </w:r>
          </w:p>
        </w:tc>
      </w:tr>
      <w:tr w:rsidR="00664D0A" w:rsidRPr="00F82874" w14:paraId="2A0F9524"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7CAA82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[80 - 89]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4A0B57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45F1D8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1,27 %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FFCA8F8"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AEB25A1"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3,23 %</w:t>
            </w:r>
          </w:p>
        </w:tc>
      </w:tr>
      <w:tr w:rsidR="00664D0A" w:rsidRPr="00F82874" w14:paraId="10CDDC8C"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2D93F1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[90 - 100]</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35684B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0</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92D2F4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0,00 %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57B7A6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D12AEEF"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1,08 %</w:t>
            </w:r>
          </w:p>
        </w:tc>
      </w:tr>
      <w:tr w:rsidR="00664D0A" w:rsidRPr="00F82874" w14:paraId="5554D05A"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492928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Total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60CB45D"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07033C4"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B7EDA3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C856A88"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r>
    </w:tbl>
    <w:p w14:paraId="31C9EABB" w14:textId="77777777" w:rsidR="00664D0A" w:rsidRDefault="00664D0A" w:rsidP="00B139C3"/>
    <w:p w14:paraId="1E0A2EC0" w14:textId="77777777" w:rsidR="00580E17" w:rsidRDefault="00664D0A" w:rsidP="00B139C3">
      <w:r w:rsidRPr="00C30B46">
        <w:rPr>
          <w:noProof/>
          <w:lang w:val="fr-FR" w:eastAsia="fr-FR"/>
        </w:rPr>
        <w:drawing>
          <wp:inline distT="0" distB="0" distL="0" distR="0" wp14:anchorId="4D592E36" wp14:editId="714E9E16">
            <wp:extent cx="4572000" cy="2743200"/>
            <wp:effectExtent l="19050" t="0" r="19050" b="0"/>
            <wp:docPr id="26"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2A3EE033" w14:textId="028721C2" w:rsidR="00664D0A" w:rsidRPr="00F96B82" w:rsidRDefault="00580E17" w:rsidP="00B139C3">
      <w:pPr>
        <w:rPr>
          <w:lang w:val="fr-FR"/>
        </w:rPr>
      </w:pPr>
      <w:bookmarkStart w:id="164" w:name="_Toc229617338"/>
      <w:r w:rsidRPr="00F96B82">
        <w:rPr>
          <w:lang w:val="fr-FR"/>
        </w:rPr>
        <w:t xml:space="preserve">Figure </w:t>
      </w:r>
      <w:r>
        <w:fldChar w:fldCharType="begin"/>
      </w:r>
      <w:r w:rsidRPr="00F96B82">
        <w:rPr>
          <w:lang w:val="fr-FR"/>
        </w:rPr>
        <w:instrText xml:space="preserve"> SEQ Figure \* ARABIC </w:instrText>
      </w:r>
      <w:r>
        <w:fldChar w:fldCharType="separate"/>
      </w:r>
      <w:r w:rsidR="00983108">
        <w:rPr>
          <w:noProof/>
          <w:lang w:val="fr-FR"/>
        </w:rPr>
        <w:t>49</w:t>
      </w:r>
      <w:r>
        <w:fldChar w:fldCharType="end"/>
      </w:r>
      <w:r w:rsidRPr="00F96B82">
        <w:rPr>
          <w:lang w:val="fr-FR"/>
        </w:rPr>
        <w:t xml:space="preserve"> Répartition des patients par tranches d'âge et selon l'usage de la phytothérapie</w:t>
      </w:r>
      <w:bookmarkEnd w:id="164"/>
    </w:p>
    <w:p w14:paraId="492BDD51" w14:textId="77777777" w:rsidR="00664D0A" w:rsidRPr="00F96B82" w:rsidRDefault="00664D0A" w:rsidP="00B139C3">
      <w:pPr>
        <w:rPr>
          <w:color w:val="44546A" w:themeColor="text2"/>
          <w:sz w:val="28"/>
          <w:lang w:val="fr-FR"/>
        </w:rPr>
      </w:pPr>
      <w:r w:rsidRPr="00F96B82">
        <w:rPr>
          <w:color w:val="44546A" w:themeColor="text2"/>
          <w:sz w:val="28"/>
          <w:lang w:val="fr-FR"/>
        </w:rPr>
        <w:lastRenderedPageBreak/>
        <w:t xml:space="preserve">Analyse : </w:t>
      </w:r>
    </w:p>
    <w:p w14:paraId="32D64FA2" w14:textId="77777777" w:rsidR="00664D0A" w:rsidRPr="00F96B82" w:rsidRDefault="00664D0A" w:rsidP="00B139C3">
      <w:pPr>
        <w:rPr>
          <w:lang w:val="fr-FR"/>
        </w:rPr>
      </w:pPr>
      <w:r w:rsidRPr="00F96B82">
        <w:rPr>
          <w:lang w:val="fr-FR"/>
        </w:rPr>
        <w:t xml:space="preserve">L’analyse de la répartition des patients selon l’âge montre que le recours à la phytothérapie augmente avec l’âge jusqu’à un certain seuil, avec une prédominance nette dans les classes d’âge comprises entre 50 et 79 ans, particulièrement chez les </w:t>
      </w:r>
      <w:proofErr w:type="gramStart"/>
      <w:r w:rsidRPr="00F96B82">
        <w:rPr>
          <w:lang w:val="fr-FR"/>
        </w:rPr>
        <w:t>utilisateurs .</w:t>
      </w:r>
      <w:proofErr w:type="gramEnd"/>
      <w:r w:rsidRPr="00F96B82">
        <w:rPr>
          <w:lang w:val="fr-FR"/>
        </w:rPr>
        <w:t xml:space="preserve"> Cette tendance pourrait s’expliquer par plusieurs facteurs. Les patients plus âgés ont généralement une plus longue expérience de la maladie, ce qui peut les amener à rechercher des solutions complémentaires aux traitements conventionnels. De plus, cette population est souvent plus attachée aux pratiques traditionnelles et aux savoirs ancestraux, ce qui favorise le recours aux plantes médicinales.</w:t>
      </w:r>
    </w:p>
    <w:p w14:paraId="62B9C035" w14:textId="77777777" w:rsidR="00664D0A" w:rsidRPr="00F96B82" w:rsidRDefault="00664D0A" w:rsidP="00B139C3">
      <w:pPr>
        <w:rPr>
          <w:lang w:val="fr-FR"/>
        </w:rPr>
      </w:pPr>
      <w:r w:rsidRPr="00F96B82">
        <w:rPr>
          <w:lang w:val="fr-FR"/>
        </w:rPr>
        <w:t>Il est également important de noter que les jeunes patients (30–39 ans) restent faiblement représentés dans les deux groupes, ce qui peut être lié à une plus faible prévalence du diabète de type 2 dans cette tranche d’âge ou à un moindre intérêt pour les médecines traditionnelles.</w:t>
      </w:r>
    </w:p>
    <w:p w14:paraId="0B0FA09A" w14:textId="77777777" w:rsidR="00664D0A" w:rsidRPr="00F96B82" w:rsidRDefault="00664D0A" w:rsidP="00B139C3">
      <w:pPr>
        <w:rPr>
          <w:lang w:val="fr-FR"/>
        </w:rPr>
      </w:pPr>
      <w:r w:rsidRPr="00F96B82">
        <w:rPr>
          <w:lang w:val="fr-FR"/>
        </w:rPr>
        <w:t>Globalement, ces résultats suggèrent que l’âge constitue un facteur influençant le recours à la phytothérapie, avec une utilisation plus marquée chez les patients d’âge moyen et avancé. Cela pourrait être lié à des facteurs tels que la chronicité de la maladie, les habitudes culturelles, ainsi que la recherche de solutions thérapeutiques complémentaires.</w:t>
      </w:r>
    </w:p>
    <w:p w14:paraId="7190E445" w14:textId="77777777" w:rsidR="00664D0A" w:rsidRPr="007277D4" w:rsidRDefault="00664D0A" w:rsidP="00B139C3">
      <w:pPr>
        <w:rPr>
          <w:b/>
          <w:bCs/>
          <w:sz w:val="32"/>
          <w:szCs w:val="32"/>
          <w:lang w:val="fr-FR"/>
        </w:rPr>
      </w:pPr>
      <w:r w:rsidRPr="007277D4">
        <w:rPr>
          <w:b/>
          <w:bCs/>
          <w:sz w:val="32"/>
          <w:szCs w:val="32"/>
          <w:lang w:val="fr-FR"/>
        </w:rPr>
        <w:t>4 /Répartition des patients diabétiques selon le sexe :</w:t>
      </w:r>
    </w:p>
    <w:p w14:paraId="5E923156" w14:textId="66056967" w:rsidR="00664D0A" w:rsidRPr="00664D0A" w:rsidRDefault="003E5C80" w:rsidP="00B139C3">
      <w:pPr>
        <w:rPr>
          <w:color w:val="44546A" w:themeColor="text2"/>
          <w:sz w:val="28"/>
          <w:szCs w:val="28"/>
          <w:lang w:val="fr-FR"/>
        </w:rPr>
      </w:pPr>
      <w:proofErr w:type="gramStart"/>
      <w:r w:rsidRPr="00664D0A">
        <w:rPr>
          <w:color w:val="44546A" w:themeColor="text2"/>
          <w:sz w:val="28"/>
          <w:szCs w:val="28"/>
          <w:lang w:val="fr-FR"/>
        </w:rPr>
        <w:t>Description</w:t>
      </w:r>
      <w:r w:rsidR="00664D0A" w:rsidRPr="00664D0A">
        <w:rPr>
          <w:color w:val="44546A" w:themeColor="text2"/>
          <w:sz w:val="28"/>
          <w:szCs w:val="28"/>
          <w:lang w:val="fr-FR"/>
        </w:rPr>
        <w:t>:</w:t>
      </w:r>
      <w:proofErr w:type="gramEnd"/>
    </w:p>
    <w:p w14:paraId="297B9D44" w14:textId="77777777" w:rsidR="00664D0A" w:rsidRPr="00F96B82" w:rsidRDefault="00664D0A" w:rsidP="00B139C3">
      <w:pPr>
        <w:rPr>
          <w:lang w:val="fr-FR"/>
        </w:rPr>
      </w:pPr>
      <w:r w:rsidRPr="00F96B82">
        <w:rPr>
          <w:lang w:val="fr-FR"/>
        </w:rPr>
        <w:t>Parmi les 158 patients diabétiques de type 2 ayant recours à la phytothérapie, 83 étaient de sexe féminin, soit une légère prédominance des femmes par rapport aux hommes (75 cas).</w:t>
      </w:r>
    </w:p>
    <w:p w14:paraId="064CF832" w14:textId="77777777" w:rsidR="00664D0A" w:rsidRPr="00F96B82" w:rsidRDefault="00664D0A" w:rsidP="00B139C3">
      <w:pPr>
        <w:rPr>
          <w:lang w:val="fr-FR"/>
        </w:rPr>
      </w:pPr>
      <w:r w:rsidRPr="00F96B82">
        <w:rPr>
          <w:lang w:val="fr-FR"/>
        </w:rPr>
        <w:t>Chez les 93 patients non-utilisateurs de phytothérapie, on observe une répartition quasi équilibrée avec une légère prédominance masculine : 48 hommes contre 45 femmes.</w:t>
      </w:r>
    </w:p>
    <w:p w14:paraId="51DA5C5F" w14:textId="77777777" w:rsidR="00664D0A" w:rsidRPr="00664D0A" w:rsidRDefault="00664D0A" w:rsidP="00B139C3">
      <w:pPr>
        <w:rPr>
          <w:rFonts w:eastAsia="Times New Roman"/>
          <w:lang w:val="fr-FR" w:eastAsia="fr-FR"/>
        </w:rPr>
      </w:pPr>
      <w:r w:rsidRPr="00664D0A">
        <w:rPr>
          <w:rFonts w:eastAsia="Times New Roman"/>
          <w:lang w:val="fr-FR" w:eastAsia="fr-FR"/>
        </w:rPr>
        <w:t xml:space="preserve">Tableau : Répartition des patients selon le sexe et l'usage de la phytothérapie </w:t>
      </w:r>
    </w:p>
    <w:p w14:paraId="0471A67E" w14:textId="08D41965" w:rsidR="0005552C" w:rsidRDefault="0005552C" w:rsidP="0005552C">
      <w:pPr>
        <w:pStyle w:val="Caption"/>
        <w:keepNext/>
      </w:pPr>
      <w:bookmarkStart w:id="165" w:name="_Toc229617375"/>
      <w:r>
        <w:t xml:space="preserve">Tableau </w:t>
      </w:r>
      <w:r>
        <w:fldChar w:fldCharType="begin"/>
      </w:r>
      <w:r>
        <w:instrText xml:space="preserve"> SEQ Tableau \* ARABIC </w:instrText>
      </w:r>
      <w:r>
        <w:fldChar w:fldCharType="separate"/>
      </w:r>
      <w:r w:rsidR="00983108">
        <w:rPr>
          <w:noProof/>
        </w:rPr>
        <w:t>14</w:t>
      </w:r>
      <w:r>
        <w:fldChar w:fldCharType="end"/>
      </w:r>
      <w:r>
        <w:t xml:space="preserve"> </w:t>
      </w:r>
      <w:r w:rsidRPr="00D244DE">
        <w:t>Répartition des patients selon le sexe et l'usage de la phytothérapie</w:t>
      </w:r>
      <w:bookmarkEnd w:id="165"/>
    </w:p>
    <w:tbl>
      <w:tblPr>
        <w:tblW w:w="8684" w:type="dxa"/>
        <w:tblCellMar>
          <w:left w:w="0" w:type="dxa"/>
          <w:right w:w="0" w:type="dxa"/>
        </w:tblCellMar>
        <w:tblLook w:val="04A0" w:firstRow="1" w:lastRow="0" w:firstColumn="1" w:lastColumn="0" w:noHBand="0" w:noVBand="1"/>
      </w:tblPr>
      <w:tblGrid>
        <w:gridCol w:w="1336"/>
        <w:gridCol w:w="2018"/>
        <w:gridCol w:w="1496"/>
        <w:gridCol w:w="2338"/>
        <w:gridCol w:w="1496"/>
      </w:tblGrid>
      <w:tr w:rsidR="00664D0A" w:rsidRPr="00F82874" w14:paraId="2A711FE1"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11689E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Sexe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8B5DB4F"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Utilisateurs (n=158)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3AB1E7F"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6BDBBD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Non-utilisateurs (n=93)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7DBE871"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r>
      <w:tr w:rsidR="00664D0A" w:rsidRPr="00F82874" w14:paraId="4D410D67"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0E0B2A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Femmes (F)</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731DE05"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83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F1F589C"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52,53 %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09716A3"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45</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F4C4D6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48,39 %</w:t>
            </w:r>
          </w:p>
        </w:tc>
      </w:tr>
      <w:tr w:rsidR="00664D0A" w:rsidRPr="00F82874" w14:paraId="454D2405"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3AC04B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Hommes (H)</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93E4B6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75</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5DEB31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47,47 %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B892D95"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8A677C3"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51,61 %</w:t>
            </w:r>
          </w:p>
        </w:tc>
      </w:tr>
      <w:tr w:rsidR="00664D0A" w:rsidRPr="00F82874" w14:paraId="71D1A85B" w14:textId="77777777" w:rsidTr="0005552C">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B6BA5C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Total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BC40549"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A0B7F43"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61DFA9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723571D"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r>
    </w:tbl>
    <w:p w14:paraId="1334AD70" w14:textId="77777777" w:rsidR="00664D0A" w:rsidRDefault="00664D0A" w:rsidP="00B139C3"/>
    <w:p w14:paraId="160B7ADD" w14:textId="77777777" w:rsidR="0059682C" w:rsidRDefault="00664D0A" w:rsidP="0059682C">
      <w:pPr>
        <w:keepNext/>
      </w:pPr>
      <w:r w:rsidRPr="00C30B46">
        <w:rPr>
          <w:noProof/>
          <w:lang w:val="fr-FR" w:eastAsia="fr-FR"/>
        </w:rPr>
        <w:lastRenderedPageBreak/>
        <w:drawing>
          <wp:inline distT="0" distB="0" distL="0" distR="0" wp14:anchorId="7013B557" wp14:editId="3F20B47B">
            <wp:extent cx="4572000" cy="2743200"/>
            <wp:effectExtent l="19050" t="0" r="19050" b="0"/>
            <wp:docPr id="12"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66EE5742" w14:textId="622F7D3C" w:rsidR="00664D0A" w:rsidRPr="00927A76" w:rsidRDefault="0059682C" w:rsidP="0059682C">
      <w:pPr>
        <w:pStyle w:val="Caption"/>
      </w:pPr>
      <w:bookmarkStart w:id="166" w:name="_Toc229617339"/>
      <w:r>
        <w:t xml:space="preserve">Figure </w:t>
      </w:r>
      <w:r>
        <w:fldChar w:fldCharType="begin"/>
      </w:r>
      <w:r>
        <w:instrText xml:space="preserve"> SEQ Figure \* ARABIC </w:instrText>
      </w:r>
      <w:r>
        <w:fldChar w:fldCharType="separate"/>
      </w:r>
      <w:r w:rsidR="00983108">
        <w:rPr>
          <w:noProof/>
        </w:rPr>
        <w:t>50</w:t>
      </w:r>
      <w:r>
        <w:fldChar w:fldCharType="end"/>
      </w:r>
      <w:r>
        <w:t xml:space="preserve"> </w:t>
      </w:r>
      <w:r w:rsidRPr="00F04366">
        <w:t>Répartition des patients selon le sexe et l'usage de la phytothérapie</w:t>
      </w:r>
      <w:bookmarkEnd w:id="166"/>
    </w:p>
    <w:p w14:paraId="60967A4F" w14:textId="77777777" w:rsidR="00664D0A" w:rsidRPr="00F96B82" w:rsidRDefault="00664D0A" w:rsidP="00B139C3">
      <w:pPr>
        <w:rPr>
          <w:color w:val="44546A" w:themeColor="text2"/>
          <w:sz w:val="28"/>
          <w:lang w:val="fr-FR"/>
        </w:rPr>
      </w:pPr>
      <w:r w:rsidRPr="00F96B82">
        <w:rPr>
          <w:color w:val="44546A" w:themeColor="text2"/>
          <w:sz w:val="28"/>
          <w:lang w:val="fr-FR"/>
        </w:rPr>
        <w:t xml:space="preserve">Analyse : </w:t>
      </w:r>
    </w:p>
    <w:p w14:paraId="07DF01CB" w14:textId="77777777" w:rsidR="00664D0A" w:rsidRPr="00F96B82" w:rsidRDefault="00664D0A" w:rsidP="00B139C3">
      <w:pPr>
        <w:rPr>
          <w:lang w:val="fr-FR"/>
        </w:rPr>
      </w:pPr>
      <w:r w:rsidRPr="00F96B82">
        <w:rPr>
          <w:lang w:val="fr-FR"/>
        </w:rPr>
        <w:t>Chez les utilisateurs de phytothérapie, les femmes sont légèrement plus nombreuses que les hommes. Cette prédominance féminine peut s’expliquer par plusieurs facteurs. Les femmes sont souvent plus impliquées dans les pratiques de soins traditionnels et disposent d’un rôle central dans la transmission des savoirs liés aux plantes médicinales au sein du foyer.</w:t>
      </w:r>
    </w:p>
    <w:p w14:paraId="11547B1A" w14:textId="77777777" w:rsidR="00664D0A" w:rsidRPr="00F96B82" w:rsidRDefault="00664D0A" w:rsidP="00B139C3">
      <w:pPr>
        <w:rPr>
          <w:lang w:val="fr-FR"/>
        </w:rPr>
      </w:pPr>
      <w:r w:rsidRPr="00F96B82">
        <w:rPr>
          <w:lang w:val="fr-FR"/>
        </w:rPr>
        <w:t>À l’inverse, chez les non-utilisateurs, la répartition est plus équilibrée avec une légère dominance masculine. Cela pourrait suggérer que les hommes ont légèrement moins recours aux pratiques phytothérapeutiques, ou qu’ils sont davantage orientés vers les traitements conventionnels prescrits.</w:t>
      </w:r>
    </w:p>
    <w:p w14:paraId="71034A51" w14:textId="77777777" w:rsidR="00664D0A" w:rsidRPr="00F96B82" w:rsidRDefault="00664D0A" w:rsidP="00B139C3">
      <w:pPr>
        <w:rPr>
          <w:lang w:val="fr-FR"/>
        </w:rPr>
      </w:pPr>
      <w:r w:rsidRPr="00F96B82">
        <w:rPr>
          <w:lang w:val="fr-FR"/>
        </w:rPr>
        <w:t>Cependant, la différence entre les sexes reste globalement modérée, ce qui suggère que le recours à la phytothérapie n’est pas exclusivement déterminé par le sexe, mais probablement influencé par d’autres facteurs</w:t>
      </w:r>
    </w:p>
    <w:p w14:paraId="2646F645" w14:textId="77777777" w:rsidR="00664D0A" w:rsidRPr="00664D0A" w:rsidRDefault="00664D0A" w:rsidP="00B139C3">
      <w:pPr>
        <w:rPr>
          <w:lang w:val="fr-FR"/>
        </w:rPr>
      </w:pPr>
    </w:p>
    <w:p w14:paraId="2247F1C6" w14:textId="1E50B8D5" w:rsidR="00664D0A" w:rsidRPr="007277D4" w:rsidRDefault="00A33DED" w:rsidP="00B139C3">
      <w:pPr>
        <w:rPr>
          <w:b/>
          <w:bCs/>
          <w:sz w:val="32"/>
          <w:szCs w:val="32"/>
          <w:lang w:val="fr-FR"/>
        </w:rPr>
      </w:pPr>
      <w:r w:rsidRPr="007277D4">
        <w:rPr>
          <w:b/>
          <w:bCs/>
          <w:sz w:val="32"/>
          <w:szCs w:val="32"/>
          <w:lang w:val="fr-FR"/>
        </w:rPr>
        <w:t>5</w:t>
      </w:r>
      <w:r w:rsidR="00664D0A" w:rsidRPr="007277D4">
        <w:rPr>
          <w:b/>
          <w:bCs/>
          <w:sz w:val="32"/>
          <w:szCs w:val="32"/>
          <w:lang w:val="fr-FR"/>
        </w:rPr>
        <w:t>/Répartition des patients diabétiques selon IMC :</w:t>
      </w:r>
    </w:p>
    <w:p w14:paraId="3D12F4DF" w14:textId="77777777" w:rsidR="00664D0A" w:rsidRPr="00664D0A" w:rsidRDefault="00664D0A" w:rsidP="00B139C3">
      <w:pPr>
        <w:rPr>
          <w:color w:val="44546A" w:themeColor="text2"/>
          <w:sz w:val="28"/>
          <w:szCs w:val="28"/>
          <w:lang w:val="fr-FR"/>
        </w:rPr>
      </w:pPr>
      <w:proofErr w:type="gramStart"/>
      <w:r w:rsidRPr="00664D0A">
        <w:rPr>
          <w:color w:val="44546A" w:themeColor="text2"/>
          <w:sz w:val="28"/>
          <w:szCs w:val="28"/>
          <w:lang w:val="fr-FR"/>
        </w:rPr>
        <w:t>Description:</w:t>
      </w:r>
      <w:proofErr w:type="gramEnd"/>
    </w:p>
    <w:p w14:paraId="1B48F4D8" w14:textId="77777777" w:rsidR="00664D0A" w:rsidRPr="00F96B82" w:rsidRDefault="00664D0A" w:rsidP="00B139C3">
      <w:pPr>
        <w:rPr>
          <w:lang w:val="fr-FR"/>
        </w:rPr>
      </w:pPr>
      <w:r w:rsidRPr="00F96B82">
        <w:rPr>
          <w:lang w:val="fr-FR"/>
        </w:rPr>
        <w:t xml:space="preserve">Parmi les 158 patients diabétiques de type 2 utilisant la phytothérapie, la répartition selon l’IMC montre une prédominance du surpoids (25–29,99 kg/m²), suivie de l’obésité modérée (30–34,9 kg/m²). Une proportion importante de patients présente également un IMC normal, </w:t>
      </w:r>
    </w:p>
    <w:p w14:paraId="58E5B02C" w14:textId="77777777" w:rsidR="00664D0A" w:rsidRPr="00F96B82" w:rsidRDefault="00664D0A" w:rsidP="00B139C3">
      <w:pPr>
        <w:rPr>
          <w:lang w:val="fr-FR"/>
        </w:rPr>
      </w:pPr>
      <w:r w:rsidRPr="00F96B82">
        <w:rPr>
          <w:lang w:val="fr-FR"/>
        </w:rPr>
        <w:t>Chez les 93 patients non-utilisateurs, on observe une distribution similaire avec une prédominance du surpoids, suivie de l’obésité modérée. La proportion de patients ayant un IMC normal est plus faible que chez les utilisateurs, tandis que l’obésité sévère reste également minoritaire.</w:t>
      </w:r>
    </w:p>
    <w:p w14:paraId="7EA4808A" w14:textId="4B3138A3" w:rsidR="00664D0A" w:rsidRPr="00664D0A" w:rsidRDefault="00664D0A" w:rsidP="00B139C3">
      <w:pPr>
        <w:rPr>
          <w:rFonts w:eastAsia="Times New Roman"/>
          <w:lang w:val="fr-FR" w:eastAsia="fr-FR"/>
        </w:rPr>
      </w:pPr>
    </w:p>
    <w:p w14:paraId="18C02549" w14:textId="1F85B970" w:rsidR="0005552C" w:rsidRDefault="0005552C" w:rsidP="0005552C">
      <w:pPr>
        <w:pStyle w:val="Caption"/>
        <w:keepNext/>
      </w:pPr>
      <w:bookmarkStart w:id="167" w:name="_Toc229617376"/>
      <w:r>
        <w:t xml:space="preserve">Tableau </w:t>
      </w:r>
      <w:r>
        <w:fldChar w:fldCharType="begin"/>
      </w:r>
      <w:r>
        <w:instrText xml:space="preserve"> SEQ Tableau \* ARABIC </w:instrText>
      </w:r>
      <w:r>
        <w:fldChar w:fldCharType="separate"/>
      </w:r>
      <w:r w:rsidR="00983108">
        <w:rPr>
          <w:noProof/>
        </w:rPr>
        <w:t>15</w:t>
      </w:r>
      <w:r>
        <w:fldChar w:fldCharType="end"/>
      </w:r>
      <w:r>
        <w:t xml:space="preserve"> </w:t>
      </w:r>
      <w:r w:rsidRPr="00241CB9">
        <w:t>Comparaison de l'état nutritionnel (IMC) selon l'usage de la phytothérapie (N = 251)</w:t>
      </w:r>
      <w:bookmarkEnd w:id="167"/>
    </w:p>
    <w:tbl>
      <w:tblPr>
        <w:tblW w:w="9148" w:type="dxa"/>
        <w:tblCellMar>
          <w:left w:w="0" w:type="dxa"/>
          <w:right w:w="0" w:type="dxa"/>
        </w:tblCellMar>
        <w:tblLook w:val="04A0" w:firstRow="1" w:lastRow="0" w:firstColumn="1" w:lastColumn="0" w:noHBand="0" w:noVBand="1"/>
      </w:tblPr>
      <w:tblGrid>
        <w:gridCol w:w="1711"/>
        <w:gridCol w:w="1649"/>
        <w:gridCol w:w="1566"/>
        <w:gridCol w:w="1269"/>
        <w:gridCol w:w="1684"/>
        <w:gridCol w:w="1269"/>
      </w:tblGrid>
      <w:tr w:rsidR="00664D0A" w:rsidRPr="00F82874" w14:paraId="6337432F"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7E4384E"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État nutritionnel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950B9B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Tranches d'IMC (kg/m2)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8F16FDC"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Utilisateurs (n=158)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15CFE4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792A0FC"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Non-utilisateurs (n=93)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F36C52E"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r>
      <w:tr w:rsidR="00664D0A" w:rsidRPr="00F82874" w14:paraId="096BC2AA"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A195B3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Insuffisance pondérale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9CDDBA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IMC &lt; 18,5</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96F3FE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BF32BEE"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1,90 %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AE906F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8BD8388"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6,45 %</w:t>
            </w:r>
          </w:p>
        </w:tc>
      </w:tr>
      <w:tr w:rsidR="00664D0A" w:rsidRPr="00F82874" w14:paraId="1F6D5D92"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617A77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Poids normal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4801A14"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18,5 ≤ IMC &lt; 24,99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17564A8"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51</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FA3506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32,28 %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74F80C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00CA04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34,41 %</w:t>
            </w:r>
          </w:p>
        </w:tc>
      </w:tr>
      <w:tr w:rsidR="00664D0A" w:rsidRPr="00F82874" w14:paraId="533B7063"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1AB7019"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Surpoids</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8F8428D"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25 ≤ IMC &lt; 29,99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71E026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65</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54EE17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41,14 %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E2C66F9"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8774915"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30,11 %</w:t>
            </w:r>
          </w:p>
        </w:tc>
      </w:tr>
      <w:tr w:rsidR="00664D0A" w:rsidRPr="00F82874" w14:paraId="6B4A0BDB"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A5363ED"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Obésité Modérée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C2D4C65"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30 ≤ IMC &lt; 34,9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0D89B9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31</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0D645C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19,62 %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73FAD2C"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0E34E9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23,66 %</w:t>
            </w:r>
          </w:p>
        </w:tc>
      </w:tr>
      <w:tr w:rsidR="00664D0A" w:rsidRPr="00F82874" w14:paraId="1F04FFEC"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2B5C214"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Obésité Sévère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1E333EF"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IMC ≥ 35</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44C3A4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B64A98E"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5,70 %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FC99EC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4DD0B3D"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5,38 %</w:t>
            </w:r>
          </w:p>
        </w:tc>
      </w:tr>
      <w:tr w:rsidR="00664D0A" w:rsidRPr="00F82874" w14:paraId="621B969C"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DDAD5A1"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Total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F42539B" w14:textId="77777777" w:rsidR="00664D0A" w:rsidRPr="00F82874" w:rsidRDefault="00664D0A" w:rsidP="00B139C3">
            <w:pPr>
              <w:rPr>
                <w:rFonts w:ascii="Arial" w:eastAsia="Times New Roman" w:hAnsi="Arial" w:cs="Arial"/>
                <w:sz w:val="20"/>
                <w:szCs w:val="20"/>
                <w:lang w:eastAsia="fr-FR"/>
              </w:rPr>
            </w:pP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E8E648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7B2AB2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C5D3F3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04F6D29"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r>
    </w:tbl>
    <w:p w14:paraId="576DBAE8" w14:textId="77777777" w:rsidR="00664D0A" w:rsidRDefault="00664D0A" w:rsidP="00B139C3"/>
    <w:p w14:paraId="139F43CA" w14:textId="77777777" w:rsidR="0059682C" w:rsidRDefault="00664D0A" w:rsidP="0059682C">
      <w:pPr>
        <w:keepNext/>
      </w:pPr>
      <w:r w:rsidRPr="00C30B46">
        <w:rPr>
          <w:noProof/>
          <w:color w:val="44546A" w:themeColor="text2"/>
          <w:sz w:val="28"/>
          <w:lang w:val="fr-FR" w:eastAsia="fr-FR"/>
        </w:rPr>
        <w:drawing>
          <wp:inline distT="0" distB="0" distL="0" distR="0" wp14:anchorId="0CCEC0BB" wp14:editId="72C48F83">
            <wp:extent cx="4343400" cy="2506980"/>
            <wp:effectExtent l="0" t="0" r="0" b="0"/>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7DBD5F3A" w14:textId="6B23794C" w:rsidR="00664D0A" w:rsidRDefault="0059682C" w:rsidP="0059682C">
      <w:pPr>
        <w:pStyle w:val="Caption"/>
        <w:rPr>
          <w:color w:val="44546A" w:themeColor="text2"/>
          <w:sz w:val="28"/>
        </w:rPr>
      </w:pPr>
      <w:bookmarkStart w:id="168" w:name="_Toc229617340"/>
      <w:r>
        <w:t xml:space="preserve">Figure </w:t>
      </w:r>
      <w:r>
        <w:fldChar w:fldCharType="begin"/>
      </w:r>
      <w:r>
        <w:instrText xml:space="preserve"> SEQ Figure \* ARABIC </w:instrText>
      </w:r>
      <w:r>
        <w:fldChar w:fldCharType="separate"/>
      </w:r>
      <w:r w:rsidR="00983108">
        <w:rPr>
          <w:noProof/>
        </w:rPr>
        <w:t>51</w:t>
      </w:r>
      <w:r>
        <w:fldChar w:fldCharType="end"/>
      </w:r>
      <w:r>
        <w:t xml:space="preserve"> </w:t>
      </w:r>
      <w:r w:rsidRPr="00027A0C">
        <w:t>Comparaison de l'état nutritionnel (IMC) selon l'usage de la phytothérapie (N = 251)</w:t>
      </w:r>
      <w:bookmarkEnd w:id="168"/>
    </w:p>
    <w:p w14:paraId="64FB34A5" w14:textId="77777777" w:rsidR="00664D0A" w:rsidRPr="00F96B82" w:rsidRDefault="00664D0A" w:rsidP="00B139C3">
      <w:pPr>
        <w:rPr>
          <w:color w:val="44546A" w:themeColor="text2"/>
          <w:sz w:val="28"/>
          <w:lang w:val="fr-FR"/>
        </w:rPr>
      </w:pPr>
      <w:r w:rsidRPr="00F96B82">
        <w:rPr>
          <w:color w:val="44546A" w:themeColor="text2"/>
          <w:sz w:val="28"/>
          <w:lang w:val="fr-FR"/>
        </w:rPr>
        <w:t xml:space="preserve">Analyse : </w:t>
      </w:r>
    </w:p>
    <w:p w14:paraId="141F9275" w14:textId="77777777" w:rsidR="00664D0A" w:rsidRPr="00F96B82" w:rsidRDefault="00664D0A" w:rsidP="00B139C3">
      <w:pPr>
        <w:rPr>
          <w:lang w:val="fr-FR"/>
        </w:rPr>
      </w:pPr>
      <w:r w:rsidRPr="00F96B82">
        <w:rPr>
          <w:lang w:val="fr-FR"/>
        </w:rPr>
        <w:t>L’analyse de l’IMC montre que le surpoids constitue la catégorie la plus fréquente dans les deux groupes de patients, suivi de l’obésité modérée. Cette observation est cohérente avec le profil épidémiologique du diabète de type 2, qui est fortement associé à l’excès pondéral.</w:t>
      </w:r>
    </w:p>
    <w:p w14:paraId="1A42574A" w14:textId="77777777" w:rsidR="00664D0A" w:rsidRPr="00F96B82" w:rsidRDefault="00664D0A" w:rsidP="00B139C3">
      <w:pPr>
        <w:rPr>
          <w:lang w:val="fr-FR"/>
        </w:rPr>
      </w:pPr>
      <w:r w:rsidRPr="00F96B82">
        <w:rPr>
          <w:lang w:val="fr-FR"/>
        </w:rPr>
        <w:lastRenderedPageBreak/>
        <w:t>Chez les utilisateurs de phytothérapie, la proportion de patients ayant un IMC normal est relativement plus importante par rapport aux non-utilisateurs, ce qui pourrait suggérer une meilleure hygiène de vie ou une meilleure prise en charge globale chez certains patients utilisant également des approches complémentaires. Toutefois, cette différence reste à interpréter avec prudence.</w:t>
      </w:r>
    </w:p>
    <w:p w14:paraId="7E1B81FA" w14:textId="77777777" w:rsidR="00664D0A" w:rsidRPr="00F96B82" w:rsidRDefault="00664D0A" w:rsidP="00B139C3">
      <w:pPr>
        <w:rPr>
          <w:lang w:val="fr-FR"/>
        </w:rPr>
      </w:pPr>
      <w:r w:rsidRPr="00F96B82">
        <w:rPr>
          <w:lang w:val="fr-FR"/>
        </w:rPr>
        <w:t>Chez les non-utilisateurs, on observe une proportion légèrement plus élevée de surpoids et d’obésité modérée, ce qui pourrait être lié à des habitudes de vie moins contrôlées ou à une moindre sensibilisation aux mesures hygiéno-diététiques.</w:t>
      </w:r>
    </w:p>
    <w:p w14:paraId="00565AB2" w14:textId="77777777" w:rsidR="00664D0A" w:rsidRPr="00F96B82" w:rsidRDefault="00664D0A" w:rsidP="00B139C3">
      <w:pPr>
        <w:rPr>
          <w:lang w:val="fr-FR"/>
        </w:rPr>
      </w:pPr>
      <w:r w:rsidRPr="00F96B82">
        <w:rPr>
          <w:lang w:val="fr-FR"/>
        </w:rPr>
        <w:t>La comparaison des catégories de l’IMC entre les patients utilisateurs et non-utilisateurs de plantes médicinales n’a pas montré de différence statistiquement significative (</w:t>
      </w:r>
      <w:r>
        <w:t>χ</w:t>
      </w:r>
      <w:r w:rsidRPr="00F96B82">
        <w:rPr>
          <w:lang w:val="fr-FR"/>
        </w:rPr>
        <w:t>² = 5,86 ; p = 0,21).</w:t>
      </w:r>
    </w:p>
    <w:p w14:paraId="0BE21058" w14:textId="77777777" w:rsidR="00664D0A" w:rsidRPr="00F96B82" w:rsidRDefault="00664D0A" w:rsidP="00B139C3">
      <w:pPr>
        <w:rPr>
          <w:lang w:val="fr-FR"/>
        </w:rPr>
      </w:pPr>
      <w:r w:rsidRPr="00F96B82">
        <w:rPr>
          <w:lang w:val="fr-FR"/>
        </w:rPr>
        <w:t>Cependant, certaines tendances ont été observées entre les deux groupes. Le surpoids était plus fréquent chez les utilisateurs de phytothérapie (41,14 %) comparativement aux non-utilisateurs (30,11 %).</w:t>
      </w:r>
    </w:p>
    <w:p w14:paraId="7A99C3DA" w14:textId="77777777" w:rsidR="00664D0A" w:rsidRPr="00F96B82" w:rsidRDefault="00664D0A" w:rsidP="00B139C3">
      <w:pPr>
        <w:rPr>
          <w:lang w:val="fr-FR"/>
        </w:rPr>
      </w:pPr>
      <w:r w:rsidRPr="00F96B82">
        <w:rPr>
          <w:lang w:val="fr-FR"/>
        </w:rPr>
        <w:t>À l’inverse, l’insuffisance pondérale était plus retrouvée chez les non-utilisateurs (6,45 % versus 1,90 %).</w:t>
      </w:r>
    </w:p>
    <w:p w14:paraId="77FB8023" w14:textId="77777777" w:rsidR="00664D0A" w:rsidRPr="00F96B82" w:rsidRDefault="00664D0A" w:rsidP="00B139C3">
      <w:pPr>
        <w:rPr>
          <w:lang w:val="fr-FR"/>
        </w:rPr>
      </w:pPr>
      <w:r w:rsidRPr="00F96B82">
        <w:rPr>
          <w:lang w:val="fr-FR"/>
        </w:rPr>
        <w:t>Concernant l’obésité modérée, elle était légèrement plus fréquente chez les non-utilisateurs (23,66 %) que chez les utilisateurs (19,62 %), tandis que les proportions d’obésité sévère étaient comparables dans les deux groupes.</w:t>
      </w:r>
    </w:p>
    <w:p w14:paraId="066FBCAC" w14:textId="77777777" w:rsidR="00664D0A" w:rsidRPr="00664D0A" w:rsidRDefault="00664D0A" w:rsidP="00B139C3">
      <w:pPr>
        <w:rPr>
          <w:lang w:val="fr-FR"/>
        </w:rPr>
      </w:pPr>
    </w:p>
    <w:p w14:paraId="07A5D300" w14:textId="053B44DF" w:rsidR="00664D0A" w:rsidRPr="007277D4" w:rsidRDefault="00A33DED" w:rsidP="00B139C3">
      <w:pPr>
        <w:rPr>
          <w:b/>
          <w:bCs/>
          <w:sz w:val="32"/>
          <w:szCs w:val="32"/>
          <w:lang w:val="fr-FR"/>
        </w:rPr>
      </w:pPr>
      <w:r w:rsidRPr="007277D4">
        <w:rPr>
          <w:b/>
          <w:bCs/>
          <w:sz w:val="32"/>
          <w:szCs w:val="32"/>
          <w:lang w:val="fr-FR"/>
        </w:rPr>
        <w:t>6</w:t>
      </w:r>
      <w:r w:rsidR="00664D0A" w:rsidRPr="007277D4">
        <w:rPr>
          <w:b/>
          <w:bCs/>
          <w:sz w:val="32"/>
          <w:szCs w:val="32"/>
          <w:lang w:val="fr-FR"/>
        </w:rPr>
        <w:t xml:space="preserve"> / Répartition des patients selon les tours de tailles :</w:t>
      </w:r>
    </w:p>
    <w:p w14:paraId="7F9C6988" w14:textId="77777777" w:rsidR="00664D0A" w:rsidRPr="00F96B82" w:rsidRDefault="00664D0A" w:rsidP="00B139C3">
      <w:pPr>
        <w:rPr>
          <w:sz w:val="28"/>
          <w:szCs w:val="28"/>
          <w:lang w:val="fr-FR"/>
        </w:rPr>
      </w:pPr>
      <w:r w:rsidRPr="00F96B82">
        <w:rPr>
          <w:sz w:val="28"/>
          <w:szCs w:val="28"/>
          <w:lang w:val="fr-FR"/>
        </w:rPr>
        <w:t>Description :</w:t>
      </w:r>
    </w:p>
    <w:p w14:paraId="2E899200" w14:textId="77777777" w:rsidR="00664D0A" w:rsidRPr="00F96B82" w:rsidRDefault="00664D0A" w:rsidP="00B139C3">
      <w:pPr>
        <w:rPr>
          <w:lang w:val="fr-FR"/>
        </w:rPr>
      </w:pPr>
      <w:r w:rsidRPr="00F96B82">
        <w:rPr>
          <w:lang w:val="fr-FR"/>
        </w:rPr>
        <w:t>Parmi les 158 patients utilisateurs de plantes médicinales, les hommes ayant un tour de taille inférieur à 94 cm étaient les plus nombreux avec 69 cas, soit 43,7 % de l’ensemble des utilisateurs. Chez les femmes, 54 patientes (34,2 %) présentaient un tour de taille supérieur ou égal à 80 cm, seuil correspondant à une obésité abdominale selon les recommandations internationales. Les femmes ayant un tour de taille inférieur à 80 cm représentaient 29 cas (18,4 %), tandis que les hommes ayant un tour de taille supérieur ou égal à 94 cm étaient peu représentés avec 6 cas (3,8 %). Dans l’ensemble, la majorité des utilisateurs avaient un tour de taille dans les limites normales chez les hommes, alors qu’une proportion importante des femmes présentait une adiposité abdominale accrue.</w:t>
      </w:r>
    </w:p>
    <w:p w14:paraId="6EB2CCC2" w14:textId="77777777" w:rsidR="00664D0A" w:rsidRPr="00F96B82" w:rsidRDefault="00664D0A" w:rsidP="00B139C3">
      <w:pPr>
        <w:rPr>
          <w:lang w:val="fr-FR"/>
        </w:rPr>
      </w:pPr>
      <w:r w:rsidRPr="00F96B82">
        <w:rPr>
          <w:lang w:val="fr-FR"/>
        </w:rPr>
        <w:t xml:space="preserve">Chez les 93 patients non-utilisateurs de plantes médicinales, les hommes avec un tour de taille inférieur à 94 cm constituaient également le groupe le plus représenté avec 46 cas, soit 49,5 % de l’effectif. Les femmes ayant un tour de taille supérieur ou égal à 80 cm représentaient 30 cas (32,3 %), suivies par celles dont le tour de taille était inférieur à 80 cm avec 15 cas (16,1 %). Les hommes ayant un tour de taille supérieur ou égal à 94 cm étaient très peu nombreux avec seulement 2 cas (2,2 %). Ainsi, la distribution observée chez les non-utilisateurs était proche de </w:t>
      </w:r>
      <w:r w:rsidRPr="00F96B82">
        <w:rPr>
          <w:lang w:val="fr-FR"/>
        </w:rPr>
        <w:lastRenderedPageBreak/>
        <w:t>celle des utilisateurs, avec une prédominance des hommes ayant un tour de taille normal et des femmes présentant fréquemment une obésité abdominale.</w:t>
      </w:r>
    </w:p>
    <w:p w14:paraId="5C66289C" w14:textId="77777777" w:rsidR="00664D0A" w:rsidRPr="00F96B82" w:rsidRDefault="00664D0A" w:rsidP="00B139C3">
      <w:pPr>
        <w:rPr>
          <w:lang w:val="fr-FR"/>
        </w:rPr>
      </w:pPr>
    </w:p>
    <w:p w14:paraId="5630C582" w14:textId="5506DA0C" w:rsidR="00664D0A" w:rsidRPr="00F96B82" w:rsidRDefault="00664D0A" w:rsidP="0005552C">
      <w:pPr>
        <w:rPr>
          <w:lang w:val="fr-FR"/>
        </w:rPr>
      </w:pPr>
    </w:p>
    <w:p w14:paraId="611260CF" w14:textId="31E2476A" w:rsidR="0005552C" w:rsidRDefault="0005552C" w:rsidP="0005552C">
      <w:pPr>
        <w:pStyle w:val="Caption"/>
        <w:keepNext/>
      </w:pPr>
      <w:bookmarkStart w:id="169" w:name="_Toc229617377"/>
      <w:r>
        <w:t xml:space="preserve">Tableau </w:t>
      </w:r>
      <w:r>
        <w:fldChar w:fldCharType="begin"/>
      </w:r>
      <w:r>
        <w:instrText xml:space="preserve"> SEQ Tableau \* ARABIC </w:instrText>
      </w:r>
      <w:r>
        <w:fldChar w:fldCharType="separate"/>
      </w:r>
      <w:r w:rsidR="00983108">
        <w:rPr>
          <w:noProof/>
        </w:rPr>
        <w:t>16</w:t>
      </w:r>
      <w:r>
        <w:fldChar w:fldCharType="end"/>
      </w:r>
      <w:r>
        <w:t xml:space="preserve"> </w:t>
      </w:r>
      <w:r w:rsidRPr="00E7128E">
        <w:t>Répartition du tour de taille selon le sexe et l’utilisation des plantes médicinales</w:t>
      </w:r>
      <w:bookmarkEnd w:id="169"/>
    </w:p>
    <w:tbl>
      <w:tblPr>
        <w:tblW w:w="9585" w:type="dxa"/>
        <w:tblLook w:val="04A0" w:firstRow="1" w:lastRow="0" w:firstColumn="1" w:lastColumn="0" w:noHBand="0" w:noVBand="1"/>
      </w:tblPr>
      <w:tblGrid>
        <w:gridCol w:w="2257"/>
        <w:gridCol w:w="1829"/>
        <w:gridCol w:w="1551"/>
        <w:gridCol w:w="1475"/>
        <w:gridCol w:w="1551"/>
        <w:gridCol w:w="922"/>
      </w:tblGrid>
      <w:tr w:rsidR="00664D0A" w:rsidRPr="00B51506" w14:paraId="6EEF53D1" w14:textId="77777777" w:rsidTr="00784D29">
        <w:trPr>
          <w:trHeight w:val="665"/>
        </w:trPr>
        <w:tc>
          <w:tcPr>
            <w:tcW w:w="0" w:type="auto"/>
            <w:hideMark/>
          </w:tcPr>
          <w:p w14:paraId="2815E817" w14:textId="77777777" w:rsidR="00664D0A" w:rsidRPr="00C5177C" w:rsidRDefault="00664D0A" w:rsidP="00B139C3">
            <w:pPr>
              <w:rPr>
                <w:rFonts w:ascii="Arial" w:eastAsia="Times New Roman" w:hAnsi="Arial" w:cs="Arial"/>
                <w:sz w:val="20"/>
                <w:szCs w:val="20"/>
                <w:lang w:val="fr-FR" w:eastAsia="fr-FR"/>
              </w:rPr>
            </w:pPr>
            <w:r w:rsidRPr="00C5177C">
              <w:rPr>
                <w:rFonts w:ascii="Arial" w:eastAsia="Times New Roman" w:hAnsi="Arial" w:cs="Arial"/>
                <w:sz w:val="20"/>
                <w:szCs w:val="20"/>
                <w:lang w:val="fr-FR" w:eastAsia="fr-FR"/>
              </w:rPr>
              <w:t>Sexe et Catégorie de TT</w:t>
            </w:r>
          </w:p>
        </w:tc>
        <w:tc>
          <w:tcPr>
            <w:tcW w:w="0" w:type="auto"/>
            <w:hideMark/>
          </w:tcPr>
          <w:p w14:paraId="6B75885A"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Non-utilisateurs (n)</w:t>
            </w:r>
          </w:p>
        </w:tc>
        <w:tc>
          <w:tcPr>
            <w:tcW w:w="0" w:type="auto"/>
            <w:hideMark/>
          </w:tcPr>
          <w:p w14:paraId="16FCE846" w14:textId="77777777" w:rsidR="00664D0A" w:rsidRPr="00B51506" w:rsidRDefault="00664D0A" w:rsidP="00B139C3">
            <w:pPr>
              <w:rPr>
                <w:rFonts w:ascii="Arial" w:eastAsia="Times New Roman" w:hAnsi="Arial" w:cs="Arial"/>
                <w:sz w:val="20"/>
                <w:szCs w:val="20"/>
                <w:lang w:eastAsia="fr-FR"/>
              </w:rPr>
            </w:pPr>
            <w:r>
              <w:rPr>
                <w:rFonts w:ascii="Arial" w:eastAsia="Times New Roman" w:hAnsi="Arial" w:cs="Arial"/>
                <w:sz w:val="20"/>
                <w:szCs w:val="20"/>
                <w:lang w:eastAsia="fr-FR"/>
              </w:rPr>
              <w:t xml:space="preserve"> Fréquence </w:t>
            </w:r>
            <w:r w:rsidRPr="00B51506">
              <w:rPr>
                <w:rFonts w:ascii="Arial" w:eastAsia="Times New Roman" w:hAnsi="Arial" w:cs="Arial"/>
                <w:sz w:val="20"/>
                <w:szCs w:val="20"/>
                <w:lang w:eastAsia="fr-FR"/>
              </w:rPr>
              <w:t>(%)</w:t>
            </w:r>
          </w:p>
        </w:tc>
        <w:tc>
          <w:tcPr>
            <w:tcW w:w="0" w:type="auto"/>
            <w:hideMark/>
          </w:tcPr>
          <w:p w14:paraId="7F677767"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Utilisateurs (n)</w:t>
            </w:r>
          </w:p>
        </w:tc>
        <w:tc>
          <w:tcPr>
            <w:tcW w:w="0" w:type="auto"/>
            <w:hideMark/>
          </w:tcPr>
          <w:p w14:paraId="3F5CB08A" w14:textId="77777777" w:rsidR="00664D0A" w:rsidRPr="00B51506" w:rsidRDefault="00664D0A" w:rsidP="00B139C3">
            <w:pPr>
              <w:rPr>
                <w:rFonts w:ascii="Arial" w:eastAsia="Times New Roman" w:hAnsi="Arial" w:cs="Arial"/>
                <w:sz w:val="20"/>
                <w:szCs w:val="20"/>
                <w:lang w:eastAsia="fr-FR"/>
              </w:rPr>
            </w:pPr>
            <w:proofErr w:type="gramStart"/>
            <w:r>
              <w:rPr>
                <w:rFonts w:ascii="Arial" w:eastAsia="Times New Roman" w:hAnsi="Arial" w:cs="Arial"/>
                <w:sz w:val="20"/>
                <w:szCs w:val="20"/>
                <w:lang w:eastAsia="fr-FR"/>
              </w:rPr>
              <w:t xml:space="preserve">Fréquence </w:t>
            </w:r>
            <w:r w:rsidRPr="00B51506">
              <w:rPr>
                <w:rFonts w:ascii="Arial" w:eastAsia="Times New Roman" w:hAnsi="Arial" w:cs="Arial"/>
                <w:sz w:val="20"/>
                <w:szCs w:val="20"/>
                <w:lang w:eastAsia="fr-FR"/>
              </w:rPr>
              <w:t xml:space="preserve"> (</w:t>
            </w:r>
            <w:proofErr w:type="gramEnd"/>
            <w:r w:rsidRPr="00B51506">
              <w:rPr>
                <w:rFonts w:ascii="Arial" w:eastAsia="Times New Roman" w:hAnsi="Arial" w:cs="Arial"/>
                <w:sz w:val="20"/>
                <w:szCs w:val="20"/>
                <w:lang w:eastAsia="fr-FR"/>
              </w:rPr>
              <w:t>%)</w:t>
            </w:r>
          </w:p>
        </w:tc>
        <w:tc>
          <w:tcPr>
            <w:tcW w:w="922" w:type="dxa"/>
            <w:hideMark/>
          </w:tcPr>
          <w:p w14:paraId="61ED7D5D"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Total (%)</w:t>
            </w:r>
          </w:p>
        </w:tc>
      </w:tr>
      <w:tr w:rsidR="00664D0A" w:rsidRPr="00B51506" w14:paraId="6758EBAF" w14:textId="77777777" w:rsidTr="00784D29">
        <w:trPr>
          <w:trHeight w:val="665"/>
        </w:trPr>
        <w:tc>
          <w:tcPr>
            <w:tcW w:w="0" w:type="auto"/>
            <w:hideMark/>
          </w:tcPr>
          <w:p w14:paraId="6E6F5C81"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Hommes (&lt;94 cm)</w:t>
            </w:r>
          </w:p>
        </w:tc>
        <w:tc>
          <w:tcPr>
            <w:tcW w:w="0" w:type="auto"/>
            <w:hideMark/>
          </w:tcPr>
          <w:p w14:paraId="413CAA23"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46</w:t>
            </w:r>
          </w:p>
        </w:tc>
        <w:tc>
          <w:tcPr>
            <w:tcW w:w="0" w:type="auto"/>
            <w:hideMark/>
          </w:tcPr>
          <w:p w14:paraId="4F57E27F"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49,5 %</w:t>
            </w:r>
          </w:p>
        </w:tc>
        <w:tc>
          <w:tcPr>
            <w:tcW w:w="0" w:type="auto"/>
            <w:hideMark/>
          </w:tcPr>
          <w:p w14:paraId="7998FD8C"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69</w:t>
            </w:r>
          </w:p>
        </w:tc>
        <w:tc>
          <w:tcPr>
            <w:tcW w:w="0" w:type="auto"/>
            <w:hideMark/>
          </w:tcPr>
          <w:p w14:paraId="7D43D4C6"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43,7 %</w:t>
            </w:r>
          </w:p>
        </w:tc>
        <w:tc>
          <w:tcPr>
            <w:tcW w:w="922" w:type="dxa"/>
            <w:hideMark/>
          </w:tcPr>
          <w:p w14:paraId="2E46A5F1"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45,8 %</w:t>
            </w:r>
          </w:p>
        </w:tc>
      </w:tr>
      <w:tr w:rsidR="00664D0A" w:rsidRPr="00B51506" w14:paraId="60A3D239" w14:textId="77777777" w:rsidTr="00784D29">
        <w:trPr>
          <w:trHeight w:val="665"/>
        </w:trPr>
        <w:tc>
          <w:tcPr>
            <w:tcW w:w="0" w:type="auto"/>
            <w:hideMark/>
          </w:tcPr>
          <w:p w14:paraId="5956904F"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Femmes (&lt;80 cm)</w:t>
            </w:r>
          </w:p>
        </w:tc>
        <w:tc>
          <w:tcPr>
            <w:tcW w:w="0" w:type="auto"/>
            <w:hideMark/>
          </w:tcPr>
          <w:p w14:paraId="68EB0A94"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15</w:t>
            </w:r>
          </w:p>
        </w:tc>
        <w:tc>
          <w:tcPr>
            <w:tcW w:w="0" w:type="auto"/>
            <w:hideMark/>
          </w:tcPr>
          <w:p w14:paraId="1C01AE7A"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16,1 %</w:t>
            </w:r>
          </w:p>
        </w:tc>
        <w:tc>
          <w:tcPr>
            <w:tcW w:w="0" w:type="auto"/>
            <w:hideMark/>
          </w:tcPr>
          <w:p w14:paraId="078F4894"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29</w:t>
            </w:r>
          </w:p>
        </w:tc>
        <w:tc>
          <w:tcPr>
            <w:tcW w:w="0" w:type="auto"/>
            <w:hideMark/>
          </w:tcPr>
          <w:p w14:paraId="1EE00978"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18,4 %</w:t>
            </w:r>
          </w:p>
        </w:tc>
        <w:tc>
          <w:tcPr>
            <w:tcW w:w="922" w:type="dxa"/>
            <w:hideMark/>
          </w:tcPr>
          <w:p w14:paraId="13D800CF"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17,5 %</w:t>
            </w:r>
          </w:p>
        </w:tc>
      </w:tr>
      <w:tr w:rsidR="00664D0A" w:rsidRPr="00B51506" w14:paraId="54BD0D86" w14:textId="77777777" w:rsidTr="00784D29">
        <w:trPr>
          <w:trHeight w:val="665"/>
        </w:trPr>
        <w:tc>
          <w:tcPr>
            <w:tcW w:w="0" w:type="auto"/>
            <w:hideMark/>
          </w:tcPr>
          <w:p w14:paraId="07C4CA6C"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Hommes (≥94 cm)</w:t>
            </w:r>
          </w:p>
        </w:tc>
        <w:tc>
          <w:tcPr>
            <w:tcW w:w="0" w:type="auto"/>
            <w:hideMark/>
          </w:tcPr>
          <w:p w14:paraId="2396526D"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2</w:t>
            </w:r>
          </w:p>
        </w:tc>
        <w:tc>
          <w:tcPr>
            <w:tcW w:w="0" w:type="auto"/>
            <w:hideMark/>
          </w:tcPr>
          <w:p w14:paraId="58E4D41F"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2,2 %</w:t>
            </w:r>
          </w:p>
        </w:tc>
        <w:tc>
          <w:tcPr>
            <w:tcW w:w="0" w:type="auto"/>
            <w:hideMark/>
          </w:tcPr>
          <w:p w14:paraId="5DAA8FC3"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6</w:t>
            </w:r>
          </w:p>
        </w:tc>
        <w:tc>
          <w:tcPr>
            <w:tcW w:w="0" w:type="auto"/>
            <w:hideMark/>
          </w:tcPr>
          <w:p w14:paraId="735A1842"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3,8 %</w:t>
            </w:r>
          </w:p>
        </w:tc>
        <w:tc>
          <w:tcPr>
            <w:tcW w:w="922" w:type="dxa"/>
            <w:hideMark/>
          </w:tcPr>
          <w:p w14:paraId="626195CF"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3,2 %</w:t>
            </w:r>
          </w:p>
        </w:tc>
      </w:tr>
      <w:tr w:rsidR="00664D0A" w:rsidRPr="00B51506" w14:paraId="0D1D91A1" w14:textId="77777777" w:rsidTr="00784D29">
        <w:trPr>
          <w:trHeight w:val="665"/>
        </w:trPr>
        <w:tc>
          <w:tcPr>
            <w:tcW w:w="0" w:type="auto"/>
            <w:hideMark/>
          </w:tcPr>
          <w:p w14:paraId="73BCBA06"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Femmes (≥80 cm)</w:t>
            </w:r>
          </w:p>
        </w:tc>
        <w:tc>
          <w:tcPr>
            <w:tcW w:w="0" w:type="auto"/>
            <w:hideMark/>
          </w:tcPr>
          <w:p w14:paraId="2A396B0C"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30</w:t>
            </w:r>
          </w:p>
        </w:tc>
        <w:tc>
          <w:tcPr>
            <w:tcW w:w="0" w:type="auto"/>
            <w:hideMark/>
          </w:tcPr>
          <w:p w14:paraId="77CC705E"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32,3 %</w:t>
            </w:r>
          </w:p>
        </w:tc>
        <w:tc>
          <w:tcPr>
            <w:tcW w:w="0" w:type="auto"/>
            <w:hideMark/>
          </w:tcPr>
          <w:p w14:paraId="78FFAB26"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54</w:t>
            </w:r>
          </w:p>
        </w:tc>
        <w:tc>
          <w:tcPr>
            <w:tcW w:w="0" w:type="auto"/>
            <w:hideMark/>
          </w:tcPr>
          <w:p w14:paraId="0355CB51"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34,2 %</w:t>
            </w:r>
          </w:p>
        </w:tc>
        <w:tc>
          <w:tcPr>
            <w:tcW w:w="922" w:type="dxa"/>
            <w:hideMark/>
          </w:tcPr>
          <w:p w14:paraId="0D65954E"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33,5 %</w:t>
            </w:r>
          </w:p>
        </w:tc>
      </w:tr>
      <w:tr w:rsidR="00664D0A" w:rsidRPr="00B51506" w14:paraId="64D0C451" w14:textId="77777777" w:rsidTr="00784D29">
        <w:trPr>
          <w:trHeight w:val="665"/>
        </w:trPr>
        <w:tc>
          <w:tcPr>
            <w:tcW w:w="0" w:type="auto"/>
            <w:hideMark/>
          </w:tcPr>
          <w:p w14:paraId="42687B1F"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Total</w:t>
            </w:r>
          </w:p>
        </w:tc>
        <w:tc>
          <w:tcPr>
            <w:tcW w:w="0" w:type="auto"/>
            <w:hideMark/>
          </w:tcPr>
          <w:p w14:paraId="3D481F7D"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93</w:t>
            </w:r>
          </w:p>
        </w:tc>
        <w:tc>
          <w:tcPr>
            <w:tcW w:w="0" w:type="auto"/>
            <w:hideMark/>
          </w:tcPr>
          <w:p w14:paraId="12ECE657"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100 %</w:t>
            </w:r>
          </w:p>
        </w:tc>
        <w:tc>
          <w:tcPr>
            <w:tcW w:w="0" w:type="auto"/>
            <w:hideMark/>
          </w:tcPr>
          <w:p w14:paraId="254D489C"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158</w:t>
            </w:r>
          </w:p>
        </w:tc>
        <w:tc>
          <w:tcPr>
            <w:tcW w:w="0" w:type="auto"/>
            <w:hideMark/>
          </w:tcPr>
          <w:p w14:paraId="20E75A92"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100 %</w:t>
            </w:r>
          </w:p>
        </w:tc>
        <w:tc>
          <w:tcPr>
            <w:tcW w:w="922" w:type="dxa"/>
            <w:hideMark/>
          </w:tcPr>
          <w:p w14:paraId="668A5AF8" w14:textId="77777777" w:rsidR="00664D0A" w:rsidRPr="00B51506" w:rsidRDefault="00664D0A" w:rsidP="00B139C3">
            <w:pPr>
              <w:rPr>
                <w:rFonts w:ascii="Arial" w:eastAsia="Times New Roman" w:hAnsi="Arial" w:cs="Arial"/>
                <w:sz w:val="20"/>
                <w:szCs w:val="20"/>
                <w:lang w:eastAsia="fr-FR"/>
              </w:rPr>
            </w:pPr>
            <w:r w:rsidRPr="00B51506">
              <w:rPr>
                <w:rFonts w:ascii="Arial" w:eastAsia="Times New Roman" w:hAnsi="Arial" w:cs="Arial"/>
                <w:sz w:val="20"/>
                <w:szCs w:val="20"/>
                <w:lang w:eastAsia="fr-FR"/>
              </w:rPr>
              <w:t>100 %</w:t>
            </w:r>
          </w:p>
        </w:tc>
      </w:tr>
    </w:tbl>
    <w:p w14:paraId="1BB41236" w14:textId="77777777" w:rsidR="0059682C" w:rsidRDefault="00664D0A" w:rsidP="0059682C">
      <w:pPr>
        <w:keepNext/>
      </w:pPr>
      <w:r>
        <w:rPr>
          <w:noProof/>
          <w:lang w:val="fr-FR" w:eastAsia="fr-FR"/>
        </w:rPr>
        <w:drawing>
          <wp:inline distT="0" distB="0" distL="0" distR="0" wp14:anchorId="79C27CA9" wp14:editId="35356B23">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38084AAB" w14:textId="2C38A097" w:rsidR="00664D0A" w:rsidRPr="00927A76" w:rsidRDefault="0059682C" w:rsidP="0059682C">
      <w:pPr>
        <w:pStyle w:val="Caption"/>
      </w:pPr>
      <w:bookmarkStart w:id="170" w:name="_Toc229617341"/>
      <w:r>
        <w:t xml:space="preserve">Figure </w:t>
      </w:r>
      <w:r>
        <w:fldChar w:fldCharType="begin"/>
      </w:r>
      <w:r>
        <w:instrText xml:space="preserve"> SEQ Figure \* ARABIC </w:instrText>
      </w:r>
      <w:r>
        <w:fldChar w:fldCharType="separate"/>
      </w:r>
      <w:r w:rsidR="00983108">
        <w:rPr>
          <w:noProof/>
        </w:rPr>
        <w:t>52</w:t>
      </w:r>
      <w:r>
        <w:fldChar w:fldCharType="end"/>
      </w:r>
      <w:r>
        <w:t xml:space="preserve"> </w:t>
      </w:r>
      <w:r w:rsidRPr="00F7252F">
        <w:t>Distribution du tour de taille selon le sexe et l’utilisation des plantes médicinales.</w:t>
      </w:r>
      <w:bookmarkEnd w:id="170"/>
    </w:p>
    <w:p w14:paraId="7DED86AA" w14:textId="62FB7D07" w:rsidR="00664D0A" w:rsidRPr="00664D0A" w:rsidRDefault="00664D0A" w:rsidP="0059682C">
      <w:pPr>
        <w:rPr>
          <w:lang w:val="fr-FR"/>
        </w:rPr>
      </w:pPr>
    </w:p>
    <w:p w14:paraId="1C541561" w14:textId="77777777" w:rsidR="00664D0A" w:rsidRPr="00664D0A" w:rsidRDefault="00664D0A" w:rsidP="00B139C3">
      <w:pPr>
        <w:rPr>
          <w:sz w:val="28"/>
          <w:szCs w:val="28"/>
          <w:lang w:val="fr-FR"/>
        </w:rPr>
      </w:pPr>
      <w:r w:rsidRPr="00664D0A">
        <w:rPr>
          <w:sz w:val="28"/>
          <w:szCs w:val="28"/>
          <w:lang w:val="fr-FR"/>
        </w:rPr>
        <w:t>Analyse :</w:t>
      </w:r>
    </w:p>
    <w:p w14:paraId="60C4FA2F" w14:textId="5B0CF000" w:rsidR="00664D0A" w:rsidRPr="00664D0A" w:rsidRDefault="00664D0A" w:rsidP="00B139C3">
      <w:pPr>
        <w:rPr>
          <w:lang w:val="fr-FR"/>
        </w:rPr>
      </w:pPr>
      <w:r w:rsidRPr="00664D0A">
        <w:rPr>
          <w:lang w:val="fr-FR"/>
        </w:rPr>
        <w:t>La comparaison des catégories du tour de taille entre les utilisateurs et les non-utilisateurs de phytothérapie n’a pas montré de différence statistiquement significative (</w:t>
      </w:r>
      <w:r w:rsidRPr="005B2191">
        <w:t>χ</w:t>
      </w:r>
      <w:r w:rsidRPr="00664D0A">
        <w:rPr>
          <w:lang w:val="fr-FR"/>
        </w:rPr>
        <w:t>² = 0,76 ; p = 0,86).</w:t>
      </w:r>
      <w:r w:rsidRPr="00664D0A">
        <w:rPr>
          <w:lang w:val="fr-FR"/>
        </w:rPr>
        <w:br/>
      </w:r>
      <w:r w:rsidRPr="00664D0A">
        <w:rPr>
          <w:lang w:val="fr-FR"/>
        </w:rPr>
        <w:br/>
      </w:r>
      <w:r w:rsidRPr="00664D0A">
        <w:rPr>
          <w:lang w:val="fr-FR"/>
        </w:rPr>
        <w:lastRenderedPageBreak/>
        <w:t>Chez les hommes, un tour de taille inférieur à 94 cm était observé chez 43,7 % des utilisateurs contre 49,5 % des non-utilisateurs. En revanche, un tour de taille ≥ 94 cm était retrouvé chez 3,8 % des utilisateurs et 2,2 % des non-utilisateurs.</w:t>
      </w:r>
      <w:r w:rsidRPr="00664D0A">
        <w:rPr>
          <w:lang w:val="fr-FR"/>
        </w:rPr>
        <w:br/>
      </w:r>
      <w:r w:rsidRPr="00664D0A">
        <w:rPr>
          <w:lang w:val="fr-FR"/>
        </w:rPr>
        <w:br/>
        <w:t xml:space="preserve">Chez les femmes, un tour de taille inférieur à 80 cm concernait 18,4 % des utilisatrices contre 16,1 % des non-utilisatrices, tandis qu’un tour de taille ≥ 80 cm était observé respectivement chez </w:t>
      </w:r>
      <w:r w:rsidR="007277D4">
        <w:rPr>
          <w:lang w:val="fr-FR"/>
        </w:rPr>
        <w:t>34,2 % et 32,3 % des patientes.</w:t>
      </w:r>
      <w:r w:rsidRPr="00664D0A">
        <w:rPr>
          <w:lang w:val="fr-FR"/>
        </w:rPr>
        <w:br/>
      </w:r>
      <w:r w:rsidRPr="00664D0A">
        <w:rPr>
          <w:lang w:val="fr-FR"/>
        </w:rPr>
        <w:br/>
        <w:t>Cependant, aucune différence statistiquement significative n’a été retrouvée entre les utilisateurs et les non-utilisateurs concernant les catégories du tour de taille selon le sexe</w:t>
      </w:r>
    </w:p>
    <w:p w14:paraId="7FBED601" w14:textId="77777777" w:rsidR="00664D0A" w:rsidRPr="00F96B82" w:rsidRDefault="00664D0A" w:rsidP="00B139C3">
      <w:pPr>
        <w:rPr>
          <w:lang w:val="fr-FR"/>
        </w:rPr>
      </w:pPr>
      <w:r w:rsidRPr="00F96B82">
        <w:rPr>
          <w:lang w:val="fr-FR"/>
        </w:rPr>
        <w:t>Dans les deux groupes, la majorité des hommes présentait un tour de taille inférieur à 94 cm, avec une proportion légèrement plus élevée chez les non-utilisateurs (49,5 %) que chez les utilisateurs (43,7 %). À l’inverse, les hommes présentant une obésité abdominale restaient peu nombreux dans les deux groupes (3,8 % chez les utilisateurs contre 2,2 % chez les non-utilisateurs).</w:t>
      </w:r>
    </w:p>
    <w:p w14:paraId="5724EB02" w14:textId="77777777" w:rsidR="00664D0A" w:rsidRPr="00F96B82" w:rsidRDefault="00664D0A" w:rsidP="00B139C3">
      <w:pPr>
        <w:rPr>
          <w:lang w:val="fr-FR"/>
        </w:rPr>
      </w:pPr>
      <w:r w:rsidRPr="00F96B82">
        <w:rPr>
          <w:lang w:val="fr-FR"/>
        </w:rPr>
        <w:t>Chez les femmes, la situation était différente : les patientes présentant un tour de taille supérieur ou égal à 80 cm étaient plus nombreuses que celles ayant un tour de taille normal, aussi bien chez les utilisateurs (34,2 % contre 18,4 %) que chez les non-utilisateurs (32,3 % contre 16,1 %). Cette observation met en évidence une forte prévalence de l’obésité abdominale féminine dans l’ensemble de la population étudiée.</w:t>
      </w:r>
    </w:p>
    <w:p w14:paraId="3E58954D" w14:textId="45B63E2F" w:rsidR="00664D0A" w:rsidRPr="00F96B82" w:rsidRDefault="00664D0A" w:rsidP="00B139C3">
      <w:pPr>
        <w:rPr>
          <w:lang w:val="fr-FR"/>
        </w:rPr>
      </w:pPr>
      <w:r w:rsidRPr="00F96B82">
        <w:rPr>
          <w:lang w:val="fr-FR"/>
        </w:rPr>
        <w:t>Cette analyse différentielle indique que le recours aux plantes médicinales n’est pas associé à une différence notable du profil anthropométrique. La fréquence élevée de l’adiposité abdominale, particulièrement chez les femmes, pourrait s’expliquer par plusieurs facteurs : sédentarité, habitudes alimentaires riches en glucides et en lipides, multiparité, modifications hormonales après la ménopause et ancienneté du diabète. Cette accumulation graisseuse viscérale favorise l’</w:t>
      </w:r>
      <w:r w:rsidRPr="00F96B82">
        <w:rPr>
          <w:rStyle w:val="whitespace-normal"/>
          <w:lang w:val="fr-FR"/>
        </w:rPr>
        <w:t>Insulineoresistance</w:t>
      </w:r>
      <w:r w:rsidRPr="00F96B82">
        <w:rPr>
          <w:lang w:val="fr-FR"/>
        </w:rPr>
        <w:t xml:space="preserve"> et contribue au déséquilibre glycémique ainsi qu’à l’augmentation du risque cardiovasculaire.</w:t>
      </w:r>
    </w:p>
    <w:p w14:paraId="69F3A9D2" w14:textId="18220D83" w:rsidR="007277D4" w:rsidRPr="00F96B82" w:rsidRDefault="007277D4" w:rsidP="00B139C3">
      <w:pPr>
        <w:rPr>
          <w:lang w:val="fr-FR"/>
        </w:rPr>
      </w:pPr>
    </w:p>
    <w:p w14:paraId="6D6D1748" w14:textId="0D2303F2" w:rsidR="007277D4" w:rsidRPr="00F96B82" w:rsidRDefault="007277D4" w:rsidP="00B139C3">
      <w:pPr>
        <w:rPr>
          <w:lang w:val="fr-FR"/>
        </w:rPr>
      </w:pPr>
    </w:p>
    <w:p w14:paraId="135B05DA" w14:textId="77777777" w:rsidR="007277D4" w:rsidRPr="00F96B82" w:rsidRDefault="007277D4" w:rsidP="00B139C3">
      <w:pPr>
        <w:rPr>
          <w:lang w:val="fr-FR"/>
        </w:rPr>
      </w:pPr>
    </w:p>
    <w:p w14:paraId="67648230" w14:textId="3C82B3D3" w:rsidR="00664D0A" w:rsidRPr="007277D4" w:rsidRDefault="00A33DED" w:rsidP="00B139C3">
      <w:pPr>
        <w:rPr>
          <w:b/>
          <w:bCs/>
          <w:sz w:val="32"/>
          <w:szCs w:val="32"/>
          <w:lang w:val="fr-FR"/>
        </w:rPr>
      </w:pPr>
      <w:r w:rsidRPr="007277D4">
        <w:rPr>
          <w:b/>
          <w:bCs/>
          <w:sz w:val="32"/>
          <w:szCs w:val="32"/>
          <w:lang w:val="fr-FR"/>
        </w:rPr>
        <w:t>7</w:t>
      </w:r>
      <w:r w:rsidR="00664D0A" w:rsidRPr="007277D4">
        <w:rPr>
          <w:b/>
          <w:bCs/>
          <w:sz w:val="32"/>
          <w:szCs w:val="32"/>
          <w:lang w:val="fr-FR"/>
        </w:rPr>
        <w:t xml:space="preserve"> /Répartition des patients diabétiques selon la durée de diabète :</w:t>
      </w:r>
    </w:p>
    <w:p w14:paraId="15E355C3" w14:textId="77777777" w:rsidR="00664D0A" w:rsidRPr="00664D0A" w:rsidRDefault="00664D0A" w:rsidP="00B139C3">
      <w:pPr>
        <w:rPr>
          <w:color w:val="44546A" w:themeColor="text2"/>
          <w:sz w:val="28"/>
          <w:szCs w:val="28"/>
          <w:lang w:val="fr-FR"/>
        </w:rPr>
      </w:pPr>
      <w:proofErr w:type="gramStart"/>
      <w:r w:rsidRPr="00664D0A">
        <w:rPr>
          <w:color w:val="44546A" w:themeColor="text2"/>
          <w:sz w:val="28"/>
          <w:szCs w:val="28"/>
          <w:lang w:val="fr-FR"/>
        </w:rPr>
        <w:t>Description:</w:t>
      </w:r>
      <w:proofErr w:type="gramEnd"/>
    </w:p>
    <w:p w14:paraId="4D5DEA03" w14:textId="77777777" w:rsidR="00664D0A" w:rsidRPr="00F96B82" w:rsidRDefault="00664D0A" w:rsidP="00B139C3">
      <w:pPr>
        <w:rPr>
          <w:lang w:val="fr-FR"/>
        </w:rPr>
      </w:pPr>
      <w:r w:rsidRPr="00F96B82">
        <w:rPr>
          <w:lang w:val="fr-FR"/>
        </w:rPr>
        <w:t>Parmi les 158 patients diabétiques de type 2 utilisant la phytothérapie, la majorité présente une durée d’évolution du diabète comprise entre 1 et 10 ans. Les durées plus longues (supérieures à 10 ans) sont également représentées mais de manière moins importante, tandis que les cas récents (moins d’un an) et très anciens (plus de 30 ans) restent rares.</w:t>
      </w:r>
    </w:p>
    <w:p w14:paraId="14D6FA99" w14:textId="25FC32BF" w:rsidR="00664D0A" w:rsidRPr="00F96B82" w:rsidRDefault="00664D0A" w:rsidP="007277D4">
      <w:pPr>
        <w:rPr>
          <w:lang w:val="fr-FR"/>
        </w:rPr>
      </w:pPr>
      <w:r w:rsidRPr="00F96B82">
        <w:rPr>
          <w:lang w:val="fr-FR"/>
        </w:rPr>
        <w:lastRenderedPageBreak/>
        <w:t xml:space="preserve">Chez les 93 patients non-utilisateurs, la même tendance est observée avec une prédominance de la durée de diabète comprise entre 1 et 10 ans, suivie des durées de 10 à 20 ans. Les formes récentes et très </w:t>
      </w:r>
      <w:r w:rsidR="007277D4" w:rsidRPr="00F96B82">
        <w:rPr>
          <w:lang w:val="fr-FR"/>
        </w:rPr>
        <w:t>anciennes restent minoritaires.</w:t>
      </w:r>
    </w:p>
    <w:p w14:paraId="573385DA" w14:textId="6EA2EC6F" w:rsidR="007277D4" w:rsidRPr="00F96B82" w:rsidRDefault="007277D4" w:rsidP="007277D4">
      <w:pPr>
        <w:rPr>
          <w:lang w:val="fr-FR"/>
        </w:rPr>
      </w:pPr>
    </w:p>
    <w:p w14:paraId="165883D8" w14:textId="28818549" w:rsidR="00664D0A" w:rsidRPr="00664D0A" w:rsidRDefault="00664D0A" w:rsidP="0005552C">
      <w:pPr>
        <w:rPr>
          <w:rFonts w:eastAsia="Times New Roman"/>
          <w:lang w:val="fr-FR" w:eastAsia="fr-FR"/>
        </w:rPr>
      </w:pPr>
    </w:p>
    <w:p w14:paraId="134799D7" w14:textId="70069749" w:rsidR="0005552C" w:rsidRDefault="0005552C" w:rsidP="0005552C">
      <w:pPr>
        <w:pStyle w:val="Caption"/>
        <w:keepNext/>
      </w:pPr>
      <w:bookmarkStart w:id="171" w:name="_Toc229617378"/>
      <w:r>
        <w:t xml:space="preserve">Tableau </w:t>
      </w:r>
      <w:r>
        <w:fldChar w:fldCharType="begin"/>
      </w:r>
      <w:r>
        <w:instrText xml:space="preserve"> SEQ Tableau \* ARABIC </w:instrText>
      </w:r>
      <w:r>
        <w:fldChar w:fldCharType="separate"/>
      </w:r>
      <w:r w:rsidR="00983108">
        <w:rPr>
          <w:noProof/>
        </w:rPr>
        <w:t>17</w:t>
      </w:r>
      <w:r>
        <w:fldChar w:fldCharType="end"/>
      </w:r>
      <w:r>
        <w:t xml:space="preserve"> </w:t>
      </w:r>
      <w:r w:rsidRPr="00E221B7">
        <w:t>Comparaison de l'ancienneté du diabète selon l'usage de la phytothérapie (N = 251)</w:t>
      </w:r>
      <w:bookmarkEnd w:id="171"/>
    </w:p>
    <w:tbl>
      <w:tblPr>
        <w:tblW w:w="9148" w:type="dxa"/>
        <w:tblCellMar>
          <w:left w:w="0" w:type="dxa"/>
          <w:right w:w="0" w:type="dxa"/>
        </w:tblCellMar>
        <w:tblLook w:val="04A0" w:firstRow="1" w:lastRow="0" w:firstColumn="1" w:lastColumn="0" w:noHBand="0" w:noVBand="1"/>
      </w:tblPr>
      <w:tblGrid>
        <w:gridCol w:w="2033"/>
        <w:gridCol w:w="1951"/>
        <w:gridCol w:w="1462"/>
        <w:gridCol w:w="2240"/>
        <w:gridCol w:w="1462"/>
      </w:tblGrid>
      <w:tr w:rsidR="00664D0A" w:rsidRPr="00F82874" w14:paraId="24E59750"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CC6BB2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Ancienneté (Années)</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F069E29"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Utilisateurs (n=158)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BEE605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2F1B99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Non-utilisateurs (n=93)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E6A08EF"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r>
      <w:tr w:rsidR="00664D0A" w:rsidRPr="00F82874" w14:paraId="46C1046C"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6EA8D6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&lt; 1 an</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F3FDB9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FD7557F"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1,90 %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2F79A5D"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FE9C895"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3,23 %</w:t>
            </w:r>
          </w:p>
        </w:tc>
      </w:tr>
      <w:tr w:rsidR="00664D0A" w:rsidRPr="00F82874" w14:paraId="7199B089"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5D38CA8"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[1 - 10] ans</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FC7F8AC"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88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59BD133"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55,70 %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5B56EE4"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C6BE0BF"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66,67 %</w:t>
            </w:r>
          </w:p>
        </w:tc>
      </w:tr>
      <w:tr w:rsidR="00664D0A" w:rsidRPr="00F82874" w14:paraId="4D17A268"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0167DF8"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[10 - 20] ans</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9EB52D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47</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3D68B81"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29,75 %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8B29593"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17</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6210DB4"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18,28 %</w:t>
            </w:r>
          </w:p>
        </w:tc>
      </w:tr>
      <w:tr w:rsidR="00664D0A" w:rsidRPr="00F82874" w14:paraId="03B4D7BB"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EBE5ED4"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[20 - 30] ans</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848A5D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60ECCC5"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11,39 %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0D28D1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87B77F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10,75 %</w:t>
            </w:r>
          </w:p>
        </w:tc>
      </w:tr>
      <w:tr w:rsidR="00664D0A" w:rsidRPr="00F82874" w14:paraId="5F55F91E"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BC4D47C"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[30 - 40] ans</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91871B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9CE4235"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1,26 %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8CEB9DB"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DBCCEC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1,07 %</w:t>
            </w:r>
          </w:p>
        </w:tc>
      </w:tr>
      <w:tr w:rsidR="00664D0A" w:rsidRPr="00F82874" w14:paraId="5A19BE00"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042D6A8"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Total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F31ADF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FEAD84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F773ECE"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CB15515"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r>
    </w:tbl>
    <w:p w14:paraId="028B49CC" w14:textId="77777777" w:rsidR="0059682C" w:rsidRDefault="00664D0A" w:rsidP="0059682C">
      <w:pPr>
        <w:keepNext/>
      </w:pPr>
      <w:r w:rsidRPr="00C30B46">
        <w:rPr>
          <w:noProof/>
          <w:color w:val="44546A" w:themeColor="text2"/>
          <w:sz w:val="28"/>
          <w:lang w:val="fr-FR" w:eastAsia="fr-FR"/>
        </w:rPr>
        <w:drawing>
          <wp:inline distT="0" distB="0" distL="0" distR="0" wp14:anchorId="5D5BEE69" wp14:editId="2AD6240A">
            <wp:extent cx="4343400" cy="2838450"/>
            <wp:effectExtent l="19050" t="0" r="19050" b="0"/>
            <wp:docPr id="19"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289AE8C2" w14:textId="37C771B7" w:rsidR="00664D0A" w:rsidRDefault="0059682C" w:rsidP="0059682C">
      <w:pPr>
        <w:pStyle w:val="Caption"/>
        <w:rPr>
          <w:color w:val="44546A" w:themeColor="text2"/>
          <w:sz w:val="28"/>
        </w:rPr>
      </w:pPr>
      <w:bookmarkStart w:id="172" w:name="_Toc229617342"/>
      <w:r>
        <w:t xml:space="preserve">Figure </w:t>
      </w:r>
      <w:r>
        <w:fldChar w:fldCharType="begin"/>
      </w:r>
      <w:r>
        <w:instrText xml:space="preserve"> SEQ Figure \* ARABIC </w:instrText>
      </w:r>
      <w:r>
        <w:fldChar w:fldCharType="separate"/>
      </w:r>
      <w:r w:rsidR="00983108">
        <w:rPr>
          <w:noProof/>
        </w:rPr>
        <w:t>53</w:t>
      </w:r>
      <w:r>
        <w:fldChar w:fldCharType="end"/>
      </w:r>
      <w:r>
        <w:t xml:space="preserve"> </w:t>
      </w:r>
      <w:r w:rsidRPr="00FA7A83">
        <w:t>Répartition des patients diabétiques selon la durée de diabète :</w:t>
      </w:r>
      <w:bookmarkEnd w:id="172"/>
    </w:p>
    <w:p w14:paraId="59E01D63" w14:textId="77777777" w:rsidR="00664D0A" w:rsidRPr="00F96B82" w:rsidRDefault="00664D0A" w:rsidP="00B139C3">
      <w:pPr>
        <w:rPr>
          <w:color w:val="44546A" w:themeColor="text2"/>
          <w:sz w:val="28"/>
          <w:lang w:val="fr-FR"/>
        </w:rPr>
      </w:pPr>
      <w:r w:rsidRPr="00F96B82">
        <w:rPr>
          <w:color w:val="44546A" w:themeColor="text2"/>
          <w:sz w:val="28"/>
          <w:lang w:val="fr-FR"/>
        </w:rPr>
        <w:t xml:space="preserve">Analyse : </w:t>
      </w:r>
    </w:p>
    <w:p w14:paraId="05D440AD" w14:textId="77777777" w:rsidR="00664D0A" w:rsidRPr="00F96B82" w:rsidRDefault="00664D0A" w:rsidP="00B139C3">
      <w:pPr>
        <w:rPr>
          <w:lang w:val="fr-FR"/>
        </w:rPr>
      </w:pPr>
      <w:r w:rsidRPr="00F96B82">
        <w:rPr>
          <w:lang w:val="fr-FR"/>
        </w:rPr>
        <w:t xml:space="preserve">L’analyse de la durée du diabète montre que la majorité des patients, dans les deux groupes, présente une évolution de la maladie comprise entre 1 et 10 ans. Cette observation est cohérente </w:t>
      </w:r>
      <w:r w:rsidRPr="00F96B82">
        <w:rPr>
          <w:lang w:val="fr-FR"/>
        </w:rPr>
        <w:lastRenderedPageBreak/>
        <w:t>avec l’histoire naturelle du diabète de type 2, qui est une maladie chronique évoluant progressivement.</w:t>
      </w:r>
    </w:p>
    <w:p w14:paraId="3AC1DAEE" w14:textId="77777777" w:rsidR="00664D0A" w:rsidRPr="00F96B82" w:rsidRDefault="00664D0A" w:rsidP="00B139C3">
      <w:pPr>
        <w:rPr>
          <w:lang w:val="fr-FR"/>
        </w:rPr>
      </w:pPr>
      <w:r w:rsidRPr="00F96B82">
        <w:rPr>
          <w:lang w:val="fr-FR"/>
        </w:rPr>
        <w:t>Le recours à la phytothérapie semble plus fréquent chez les patients ayant une durée d’évolution intermédiaire à longue du diabète. Cela peut s’expliquer par le fait que les patients atteints depuis plusieurs années développent souvent une forme de lassitude thérapeutique ou une recherche de solutions complémentaires face à un contrôle glycémique parfois insuffisant malgré le traitement conventionnel.</w:t>
      </w:r>
    </w:p>
    <w:p w14:paraId="39F8AB23" w14:textId="77777777" w:rsidR="00664D0A" w:rsidRPr="00F96B82" w:rsidRDefault="00664D0A" w:rsidP="00B139C3">
      <w:pPr>
        <w:rPr>
          <w:lang w:val="fr-FR"/>
        </w:rPr>
      </w:pPr>
      <w:r w:rsidRPr="00F96B82">
        <w:rPr>
          <w:lang w:val="fr-FR"/>
        </w:rPr>
        <w:t>Les patients ayant une durée récente de diabète sont peu représentés dans les deux groupes, ce qui peut être lié à une prise en charge initiale plus stricte et à une meilleure observance thérapeutique au début de la maladie.</w:t>
      </w:r>
    </w:p>
    <w:p w14:paraId="13CA2CEB" w14:textId="77777777" w:rsidR="00664D0A" w:rsidRPr="00F96B82" w:rsidRDefault="00664D0A" w:rsidP="00B139C3">
      <w:pPr>
        <w:rPr>
          <w:lang w:val="fr-FR"/>
        </w:rPr>
      </w:pPr>
      <w:r w:rsidRPr="00F96B82">
        <w:rPr>
          <w:lang w:val="fr-FR"/>
        </w:rPr>
        <w:t>Globalement, ces résultats suggèrent que la durée du diabète influence le recours à la phytothérapie, avec une utilisation plus marquée chez les patients ayant une maladie évoluant depuis plusieurs années, probablement en lien avec la chronicité de la maladie et l’adaptation progressive des comportements thérapeutiques.</w:t>
      </w:r>
    </w:p>
    <w:p w14:paraId="4E29E69F" w14:textId="79310E95" w:rsidR="00664D0A" w:rsidRPr="007277D4" w:rsidRDefault="00A33DED" w:rsidP="00B139C3">
      <w:pPr>
        <w:rPr>
          <w:b/>
          <w:bCs/>
          <w:sz w:val="32"/>
          <w:szCs w:val="32"/>
          <w:lang w:val="fr-FR"/>
        </w:rPr>
      </w:pPr>
      <w:r w:rsidRPr="007277D4">
        <w:rPr>
          <w:b/>
          <w:bCs/>
          <w:sz w:val="32"/>
          <w:szCs w:val="32"/>
          <w:lang w:val="fr-FR"/>
        </w:rPr>
        <w:t>8</w:t>
      </w:r>
      <w:r w:rsidR="00664D0A" w:rsidRPr="007277D4">
        <w:rPr>
          <w:b/>
          <w:bCs/>
          <w:sz w:val="32"/>
          <w:szCs w:val="32"/>
          <w:lang w:val="fr-FR"/>
        </w:rPr>
        <w:t xml:space="preserve"> /Répartition des patients diabétiques selon le traitement :</w:t>
      </w:r>
    </w:p>
    <w:p w14:paraId="388144E5" w14:textId="77777777" w:rsidR="00664D0A" w:rsidRPr="00664D0A" w:rsidRDefault="00664D0A" w:rsidP="00B139C3">
      <w:pPr>
        <w:rPr>
          <w:color w:val="8496B0" w:themeColor="text2" w:themeTint="99"/>
          <w:sz w:val="32"/>
          <w:szCs w:val="32"/>
          <w:lang w:val="fr-FR"/>
        </w:rPr>
      </w:pPr>
      <w:proofErr w:type="gramStart"/>
      <w:r w:rsidRPr="00664D0A">
        <w:rPr>
          <w:color w:val="8496B0" w:themeColor="text2" w:themeTint="99"/>
          <w:sz w:val="32"/>
          <w:szCs w:val="32"/>
          <w:lang w:val="fr-FR"/>
        </w:rPr>
        <w:t>Description:</w:t>
      </w:r>
      <w:proofErr w:type="gramEnd"/>
    </w:p>
    <w:p w14:paraId="523CC494" w14:textId="77777777" w:rsidR="00664D0A" w:rsidRPr="00F96B82" w:rsidRDefault="00664D0A" w:rsidP="00B139C3">
      <w:pPr>
        <w:rPr>
          <w:lang w:val="fr-FR"/>
        </w:rPr>
      </w:pPr>
      <w:r w:rsidRPr="00F96B82">
        <w:rPr>
          <w:lang w:val="fr-FR"/>
        </w:rPr>
        <w:t>Chez les utilisateurs de plantes médicinales, le traitement le plus fréquemment rapporté était les antidiabétiques oraux (ADO) avec 109 patients, suivi de l’association ADO + insuline chez 27 patients. L’insulinothérapie seule concernait 13 patients, tandis que 9 patients suivaient uniquement un régime alimentaire.</w:t>
      </w:r>
    </w:p>
    <w:p w14:paraId="004E553C" w14:textId="77777777" w:rsidR="00664D0A" w:rsidRPr="00F96B82" w:rsidRDefault="00664D0A" w:rsidP="00B139C3">
      <w:pPr>
        <w:rPr>
          <w:lang w:val="fr-FR"/>
        </w:rPr>
      </w:pPr>
      <w:r w:rsidRPr="00F96B82">
        <w:rPr>
          <w:lang w:val="fr-FR"/>
        </w:rPr>
        <w:t xml:space="preserve">Chez les non-utilisateurs, </w:t>
      </w:r>
      <w:proofErr w:type="gramStart"/>
      <w:r w:rsidRPr="00F96B82">
        <w:rPr>
          <w:lang w:val="fr-FR"/>
        </w:rPr>
        <w:t>les ADO</w:t>
      </w:r>
      <w:proofErr w:type="gramEnd"/>
      <w:r w:rsidRPr="00F96B82">
        <w:rPr>
          <w:lang w:val="fr-FR"/>
        </w:rPr>
        <w:t xml:space="preserve"> restaient également le traitement le plus fréquent (62 patients), suivis de l’insuline seule (14 patients) et de l’association ADO + insuline (14 patients). Le régime alimentaire seul était rapporté chez 3 patients.</w:t>
      </w:r>
    </w:p>
    <w:p w14:paraId="1A1BE98B" w14:textId="0A8522A5" w:rsidR="0005552C" w:rsidRPr="0005552C" w:rsidRDefault="00664D0A" w:rsidP="0005552C">
      <w:pPr>
        <w:rPr>
          <w:lang w:val="fr-FR"/>
        </w:rPr>
      </w:pPr>
      <w:r w:rsidRPr="00F96B82">
        <w:rPr>
          <w:lang w:val="fr-FR"/>
        </w:rPr>
        <w:t>Globalement, les patients utilisateurs de phytothérapie semblent plus nombreux à être sous traitement oral ou sous bithérapie (ADO + insuline) par rapport aux non-utilisateurs, avec également une proportion légèrement plus él</w:t>
      </w:r>
      <w:r w:rsidR="0005552C">
        <w:rPr>
          <w:lang w:val="fr-FR"/>
        </w:rPr>
        <w:t>evée de recours au régime seul.</w:t>
      </w:r>
    </w:p>
    <w:p w14:paraId="53B3514F" w14:textId="07DCB26D" w:rsidR="0005552C" w:rsidRDefault="0005552C" w:rsidP="0005552C">
      <w:pPr>
        <w:pStyle w:val="Caption"/>
        <w:keepNext/>
      </w:pPr>
      <w:bookmarkStart w:id="173" w:name="_Toc229617379"/>
      <w:r>
        <w:t xml:space="preserve">Tableau </w:t>
      </w:r>
      <w:r>
        <w:fldChar w:fldCharType="begin"/>
      </w:r>
      <w:r>
        <w:instrText xml:space="preserve"> SEQ Tableau \* ARABIC </w:instrText>
      </w:r>
      <w:r>
        <w:fldChar w:fldCharType="separate"/>
      </w:r>
      <w:r w:rsidR="00983108">
        <w:rPr>
          <w:noProof/>
        </w:rPr>
        <w:t>18</w:t>
      </w:r>
      <w:r>
        <w:fldChar w:fldCharType="end"/>
      </w:r>
      <w:r>
        <w:t xml:space="preserve"> </w:t>
      </w:r>
      <w:r w:rsidRPr="00DA6549">
        <w:t>Répartition des patients selon le type de traitement utilisés (N = 251)</w:t>
      </w:r>
      <w:bookmarkEnd w:id="173"/>
    </w:p>
    <w:tbl>
      <w:tblPr>
        <w:tblW w:w="0" w:type="auto"/>
        <w:tblLook w:val="04A0" w:firstRow="1" w:lastRow="0" w:firstColumn="1" w:lastColumn="0" w:noHBand="0" w:noVBand="1"/>
      </w:tblPr>
      <w:tblGrid>
        <w:gridCol w:w="2922"/>
        <w:gridCol w:w="1323"/>
        <w:gridCol w:w="1743"/>
        <w:gridCol w:w="723"/>
        <w:gridCol w:w="1636"/>
      </w:tblGrid>
      <w:tr w:rsidR="00664D0A" w:rsidRPr="0097646F" w14:paraId="7A445E42" w14:textId="77777777" w:rsidTr="00784D29">
        <w:tc>
          <w:tcPr>
            <w:tcW w:w="0" w:type="auto"/>
            <w:hideMark/>
          </w:tcPr>
          <w:p w14:paraId="42F9B15C"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Traitement / Prise en charge</w:t>
            </w:r>
          </w:p>
        </w:tc>
        <w:tc>
          <w:tcPr>
            <w:tcW w:w="0" w:type="auto"/>
            <w:hideMark/>
          </w:tcPr>
          <w:p w14:paraId="0015F49C"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Utilisateurs</w:t>
            </w:r>
          </w:p>
        </w:tc>
        <w:tc>
          <w:tcPr>
            <w:tcW w:w="0" w:type="auto"/>
            <w:hideMark/>
          </w:tcPr>
          <w:p w14:paraId="6555C482"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Non utilisateurs</w:t>
            </w:r>
          </w:p>
        </w:tc>
        <w:tc>
          <w:tcPr>
            <w:tcW w:w="0" w:type="auto"/>
            <w:hideMark/>
          </w:tcPr>
          <w:p w14:paraId="2660A624"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Total</w:t>
            </w:r>
          </w:p>
        </w:tc>
        <w:tc>
          <w:tcPr>
            <w:tcW w:w="0" w:type="auto"/>
            <w:hideMark/>
          </w:tcPr>
          <w:p w14:paraId="64D27E4E"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Fréquence (%)</w:t>
            </w:r>
          </w:p>
        </w:tc>
      </w:tr>
      <w:tr w:rsidR="00664D0A" w:rsidRPr="0097646F" w14:paraId="6E100C58" w14:textId="77777777" w:rsidTr="00784D29">
        <w:tc>
          <w:tcPr>
            <w:tcW w:w="0" w:type="auto"/>
            <w:hideMark/>
          </w:tcPr>
          <w:p w14:paraId="2BE107B5"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ADO</w:t>
            </w:r>
          </w:p>
        </w:tc>
        <w:tc>
          <w:tcPr>
            <w:tcW w:w="0" w:type="auto"/>
            <w:hideMark/>
          </w:tcPr>
          <w:p w14:paraId="72F17CCC"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109</w:t>
            </w:r>
          </w:p>
        </w:tc>
        <w:tc>
          <w:tcPr>
            <w:tcW w:w="0" w:type="auto"/>
            <w:hideMark/>
          </w:tcPr>
          <w:p w14:paraId="354D9A57"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62</w:t>
            </w:r>
          </w:p>
        </w:tc>
        <w:tc>
          <w:tcPr>
            <w:tcW w:w="0" w:type="auto"/>
            <w:hideMark/>
          </w:tcPr>
          <w:p w14:paraId="7D26DBBC"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171</w:t>
            </w:r>
          </w:p>
        </w:tc>
        <w:tc>
          <w:tcPr>
            <w:tcW w:w="0" w:type="auto"/>
            <w:hideMark/>
          </w:tcPr>
          <w:p w14:paraId="56C8BD39"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68,13 %</w:t>
            </w:r>
          </w:p>
        </w:tc>
      </w:tr>
      <w:tr w:rsidR="00664D0A" w:rsidRPr="0097646F" w14:paraId="6F641776" w14:textId="77777777" w:rsidTr="00784D29">
        <w:tc>
          <w:tcPr>
            <w:tcW w:w="0" w:type="auto"/>
            <w:hideMark/>
          </w:tcPr>
          <w:p w14:paraId="78B68799"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Insuline</w:t>
            </w:r>
          </w:p>
        </w:tc>
        <w:tc>
          <w:tcPr>
            <w:tcW w:w="0" w:type="auto"/>
            <w:hideMark/>
          </w:tcPr>
          <w:p w14:paraId="0D7CEDB3"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13</w:t>
            </w:r>
          </w:p>
        </w:tc>
        <w:tc>
          <w:tcPr>
            <w:tcW w:w="0" w:type="auto"/>
            <w:hideMark/>
          </w:tcPr>
          <w:p w14:paraId="0CB79BE9"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14</w:t>
            </w:r>
          </w:p>
        </w:tc>
        <w:tc>
          <w:tcPr>
            <w:tcW w:w="0" w:type="auto"/>
            <w:hideMark/>
          </w:tcPr>
          <w:p w14:paraId="7AE4EFBD"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27</w:t>
            </w:r>
          </w:p>
        </w:tc>
        <w:tc>
          <w:tcPr>
            <w:tcW w:w="0" w:type="auto"/>
            <w:hideMark/>
          </w:tcPr>
          <w:p w14:paraId="3BCE2B68"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10,76 %</w:t>
            </w:r>
          </w:p>
        </w:tc>
      </w:tr>
      <w:tr w:rsidR="00664D0A" w:rsidRPr="0097646F" w14:paraId="6764007F" w14:textId="77777777" w:rsidTr="00784D29">
        <w:tc>
          <w:tcPr>
            <w:tcW w:w="0" w:type="auto"/>
            <w:hideMark/>
          </w:tcPr>
          <w:p w14:paraId="6DE4EC2C" w14:textId="77777777" w:rsidR="00664D0A" w:rsidRPr="0097646F" w:rsidRDefault="00664D0A" w:rsidP="00B139C3">
            <w:pPr>
              <w:rPr>
                <w:rFonts w:ascii="Times New Roman" w:eastAsia="Times New Roman" w:hAnsi="Times New Roman" w:cs="Times New Roman"/>
                <w:lang w:eastAsia="fr-FR"/>
              </w:rPr>
            </w:pPr>
            <w:r w:rsidRPr="00FA5BC6">
              <w:rPr>
                <w:rFonts w:ascii="Times New Roman" w:eastAsia="Times New Roman" w:hAnsi="Times New Roman" w:cs="Times New Roman"/>
                <w:lang w:eastAsia="fr-FR"/>
              </w:rPr>
              <w:t>Traitement mixte</w:t>
            </w:r>
            <w:r>
              <w:rPr>
                <w:rFonts w:ascii="Times New Roman" w:eastAsia="Times New Roman" w:hAnsi="Times New Roman" w:cs="Times New Roman"/>
                <w:lang w:eastAsia="fr-FR"/>
              </w:rPr>
              <w:t xml:space="preserve"> </w:t>
            </w:r>
          </w:p>
        </w:tc>
        <w:tc>
          <w:tcPr>
            <w:tcW w:w="0" w:type="auto"/>
            <w:hideMark/>
          </w:tcPr>
          <w:p w14:paraId="024539D1"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27</w:t>
            </w:r>
          </w:p>
        </w:tc>
        <w:tc>
          <w:tcPr>
            <w:tcW w:w="0" w:type="auto"/>
            <w:hideMark/>
          </w:tcPr>
          <w:p w14:paraId="34C7B4B5"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14</w:t>
            </w:r>
          </w:p>
        </w:tc>
        <w:tc>
          <w:tcPr>
            <w:tcW w:w="0" w:type="auto"/>
            <w:hideMark/>
          </w:tcPr>
          <w:p w14:paraId="6C6C5CEB"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41</w:t>
            </w:r>
          </w:p>
        </w:tc>
        <w:tc>
          <w:tcPr>
            <w:tcW w:w="0" w:type="auto"/>
            <w:hideMark/>
          </w:tcPr>
          <w:p w14:paraId="14359A0F"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16,33 %</w:t>
            </w:r>
          </w:p>
        </w:tc>
      </w:tr>
      <w:tr w:rsidR="00664D0A" w:rsidRPr="0097646F" w14:paraId="6600E867" w14:textId="77777777" w:rsidTr="00784D29">
        <w:tc>
          <w:tcPr>
            <w:tcW w:w="0" w:type="auto"/>
            <w:hideMark/>
          </w:tcPr>
          <w:p w14:paraId="0273FA2F"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Régime alimentaire seul</w:t>
            </w:r>
          </w:p>
        </w:tc>
        <w:tc>
          <w:tcPr>
            <w:tcW w:w="0" w:type="auto"/>
            <w:hideMark/>
          </w:tcPr>
          <w:p w14:paraId="36517BB9"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9</w:t>
            </w:r>
          </w:p>
        </w:tc>
        <w:tc>
          <w:tcPr>
            <w:tcW w:w="0" w:type="auto"/>
            <w:hideMark/>
          </w:tcPr>
          <w:p w14:paraId="6F0426D9"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3</w:t>
            </w:r>
          </w:p>
        </w:tc>
        <w:tc>
          <w:tcPr>
            <w:tcW w:w="0" w:type="auto"/>
            <w:hideMark/>
          </w:tcPr>
          <w:p w14:paraId="0D533DFC"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12</w:t>
            </w:r>
          </w:p>
        </w:tc>
        <w:tc>
          <w:tcPr>
            <w:tcW w:w="0" w:type="auto"/>
            <w:hideMark/>
          </w:tcPr>
          <w:p w14:paraId="4D7D966E"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4,78 %</w:t>
            </w:r>
          </w:p>
        </w:tc>
      </w:tr>
      <w:tr w:rsidR="00664D0A" w:rsidRPr="0097646F" w14:paraId="6AC9B1D0" w14:textId="77777777" w:rsidTr="00784D29">
        <w:tc>
          <w:tcPr>
            <w:tcW w:w="0" w:type="auto"/>
            <w:hideMark/>
          </w:tcPr>
          <w:p w14:paraId="4BE0AD94"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Total</w:t>
            </w:r>
          </w:p>
        </w:tc>
        <w:tc>
          <w:tcPr>
            <w:tcW w:w="0" w:type="auto"/>
            <w:hideMark/>
          </w:tcPr>
          <w:p w14:paraId="056FF1C4"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158</w:t>
            </w:r>
          </w:p>
        </w:tc>
        <w:tc>
          <w:tcPr>
            <w:tcW w:w="0" w:type="auto"/>
            <w:hideMark/>
          </w:tcPr>
          <w:p w14:paraId="329AAE5E"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93</w:t>
            </w:r>
          </w:p>
        </w:tc>
        <w:tc>
          <w:tcPr>
            <w:tcW w:w="0" w:type="auto"/>
            <w:hideMark/>
          </w:tcPr>
          <w:p w14:paraId="73200E88"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251</w:t>
            </w:r>
          </w:p>
        </w:tc>
        <w:tc>
          <w:tcPr>
            <w:tcW w:w="0" w:type="auto"/>
            <w:hideMark/>
          </w:tcPr>
          <w:p w14:paraId="2FDA7510" w14:textId="77777777" w:rsidR="00664D0A" w:rsidRPr="0097646F" w:rsidRDefault="00664D0A" w:rsidP="00B139C3">
            <w:pPr>
              <w:rPr>
                <w:rFonts w:ascii="Times New Roman" w:eastAsia="Times New Roman" w:hAnsi="Times New Roman" w:cs="Times New Roman"/>
                <w:lang w:eastAsia="fr-FR"/>
              </w:rPr>
            </w:pPr>
            <w:r w:rsidRPr="0097646F">
              <w:rPr>
                <w:rFonts w:ascii="Times New Roman" w:eastAsia="Times New Roman" w:hAnsi="Times New Roman" w:cs="Times New Roman"/>
                <w:lang w:eastAsia="fr-FR"/>
              </w:rPr>
              <w:t>100 %</w:t>
            </w:r>
          </w:p>
        </w:tc>
      </w:tr>
    </w:tbl>
    <w:p w14:paraId="199414A8" w14:textId="77777777" w:rsidR="0059682C" w:rsidRDefault="00664D0A" w:rsidP="0059682C">
      <w:pPr>
        <w:keepNext/>
      </w:pPr>
      <w:r w:rsidRPr="0097646F">
        <w:rPr>
          <w:rFonts w:ascii="Times New Roman" w:eastAsia="Times New Roman" w:hAnsi="Times New Roman" w:cs="Times New Roman"/>
          <w:noProof/>
          <w:lang w:val="fr-FR" w:eastAsia="fr-FR"/>
        </w:rPr>
        <w:lastRenderedPageBreak/>
        <w:drawing>
          <wp:inline distT="0" distB="0" distL="0" distR="0" wp14:anchorId="74314AB4" wp14:editId="6EFBFC39">
            <wp:extent cx="6327775" cy="2218099"/>
            <wp:effectExtent l="0" t="0" r="15875" b="10795"/>
            <wp:docPr id="20"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569B34A4" w14:textId="441B1241" w:rsidR="00664D0A" w:rsidRDefault="0059682C" w:rsidP="0059682C">
      <w:pPr>
        <w:pStyle w:val="Caption"/>
        <w:rPr>
          <w:rFonts w:ascii="Times New Roman" w:eastAsia="Times New Roman" w:hAnsi="Times New Roman" w:cs="Times New Roman"/>
          <w:lang w:eastAsia="fr-FR"/>
        </w:rPr>
      </w:pPr>
      <w:bookmarkStart w:id="174" w:name="_Toc229617343"/>
      <w:r>
        <w:t xml:space="preserve">Figure </w:t>
      </w:r>
      <w:r>
        <w:fldChar w:fldCharType="begin"/>
      </w:r>
      <w:r>
        <w:instrText xml:space="preserve"> SEQ Figure \* ARABIC </w:instrText>
      </w:r>
      <w:r>
        <w:fldChar w:fldCharType="separate"/>
      </w:r>
      <w:r w:rsidR="00983108">
        <w:rPr>
          <w:noProof/>
        </w:rPr>
        <w:t>54</w:t>
      </w:r>
      <w:r>
        <w:fldChar w:fldCharType="end"/>
      </w:r>
      <w:r>
        <w:t xml:space="preserve"> </w:t>
      </w:r>
      <w:r w:rsidRPr="007527F0">
        <w:t>Répartition des patients d</w:t>
      </w:r>
      <w:r>
        <w:t>iabétiques selon le traitement</w:t>
      </w:r>
      <w:bookmarkEnd w:id="174"/>
      <w:r>
        <w:t xml:space="preserve"> </w:t>
      </w:r>
    </w:p>
    <w:p w14:paraId="1B3F6EB7" w14:textId="77777777" w:rsidR="00664D0A" w:rsidRPr="00664D0A" w:rsidRDefault="00664D0A" w:rsidP="00B139C3">
      <w:pPr>
        <w:rPr>
          <w:color w:val="44546A" w:themeColor="text2"/>
          <w:sz w:val="32"/>
          <w:szCs w:val="32"/>
          <w:lang w:val="fr-FR"/>
        </w:rPr>
      </w:pPr>
      <w:proofErr w:type="gramStart"/>
      <w:r w:rsidRPr="00664D0A">
        <w:rPr>
          <w:color w:val="44546A" w:themeColor="text2"/>
          <w:sz w:val="32"/>
          <w:szCs w:val="32"/>
          <w:lang w:val="fr-FR"/>
        </w:rPr>
        <w:t>analyse:</w:t>
      </w:r>
      <w:proofErr w:type="gramEnd"/>
    </w:p>
    <w:p w14:paraId="6B8734F9" w14:textId="77777777" w:rsidR="00664D0A" w:rsidRPr="00F96B82" w:rsidRDefault="00664D0A" w:rsidP="00B139C3">
      <w:pPr>
        <w:rPr>
          <w:lang w:val="fr-FR"/>
        </w:rPr>
      </w:pPr>
      <w:r w:rsidRPr="00F96B82">
        <w:rPr>
          <w:lang w:val="fr-FR"/>
        </w:rPr>
        <w:t xml:space="preserve">Ces résultats suggèrent que l’utilisation de la phytothérapie est présente dans différents profils thérapeutiques, sans se limiter à un type de traitement spécifique. Toutefois, on observe une proportion relativement plus importante de patients utilisateurs de plantes médicinales sous ADO suivi des traitements combinés (ADO + insuline) et insuline </w:t>
      </w:r>
      <w:proofErr w:type="gramStart"/>
      <w:r w:rsidRPr="00F96B82">
        <w:rPr>
          <w:lang w:val="fr-FR"/>
        </w:rPr>
        <w:t>seul ,</w:t>
      </w:r>
      <w:proofErr w:type="gramEnd"/>
      <w:r w:rsidRPr="00F96B82">
        <w:rPr>
          <w:lang w:val="fr-FR"/>
        </w:rPr>
        <w:t xml:space="preserve"> </w:t>
      </w:r>
    </w:p>
    <w:p w14:paraId="3D083423" w14:textId="77777777" w:rsidR="00664D0A" w:rsidRPr="00F96B82" w:rsidRDefault="00664D0A" w:rsidP="00B139C3">
      <w:pPr>
        <w:rPr>
          <w:lang w:val="fr-FR"/>
        </w:rPr>
      </w:pPr>
      <w:proofErr w:type="gramStart"/>
      <w:r w:rsidRPr="00F96B82">
        <w:rPr>
          <w:lang w:val="fr-FR"/>
        </w:rPr>
        <w:t>ce</w:t>
      </w:r>
      <w:proofErr w:type="gramEnd"/>
      <w:r w:rsidRPr="00F96B82">
        <w:rPr>
          <w:lang w:val="fr-FR"/>
        </w:rPr>
        <w:t xml:space="preserve"> qui pourrait refléter une charge thérapeutique plus élevée et donc une recherche de solutions complémentaires.</w:t>
      </w:r>
    </w:p>
    <w:p w14:paraId="7EC4E9F8" w14:textId="77777777" w:rsidR="00664D0A" w:rsidRPr="00F96B82" w:rsidRDefault="00664D0A" w:rsidP="00B139C3">
      <w:pPr>
        <w:rPr>
          <w:lang w:val="fr-FR"/>
        </w:rPr>
      </w:pPr>
      <w:r w:rsidRPr="00F96B82">
        <w:rPr>
          <w:lang w:val="fr-FR"/>
        </w:rPr>
        <w:t>Cela peut indiquer que certains patients recourent à la phytothérapie en complément des traitements conventionnels, notamment lorsque la maladie est plus avancée ou lorsque l’équilibre glycémique est difficile à atteindre. Cette pratique pourrait être motivée par une volonté d’améliorer le contrôle du diabète ou de réduire les effets secondaires perçus des médicaments.</w:t>
      </w:r>
    </w:p>
    <w:p w14:paraId="6350C554" w14:textId="706EBF56" w:rsidR="00664D0A" w:rsidRPr="007277D4" w:rsidRDefault="00A33DED" w:rsidP="00B139C3">
      <w:pPr>
        <w:rPr>
          <w:b/>
          <w:bCs/>
          <w:sz w:val="32"/>
          <w:szCs w:val="32"/>
          <w:lang w:val="fr-FR"/>
        </w:rPr>
      </w:pPr>
      <w:r w:rsidRPr="007277D4">
        <w:rPr>
          <w:b/>
          <w:bCs/>
          <w:sz w:val="32"/>
          <w:szCs w:val="32"/>
          <w:lang w:val="fr-FR"/>
        </w:rPr>
        <w:t>9</w:t>
      </w:r>
      <w:r w:rsidR="00664D0A" w:rsidRPr="007277D4">
        <w:rPr>
          <w:b/>
          <w:bCs/>
          <w:sz w:val="32"/>
          <w:szCs w:val="32"/>
          <w:lang w:val="fr-FR"/>
        </w:rPr>
        <w:t xml:space="preserve"> /Répartition des patients diabétiques selon la méthode de surveillance :</w:t>
      </w:r>
    </w:p>
    <w:p w14:paraId="2CAF19A2" w14:textId="77777777" w:rsidR="00664D0A" w:rsidRPr="00F96B82" w:rsidRDefault="00664D0A" w:rsidP="00B139C3">
      <w:pPr>
        <w:rPr>
          <w:color w:val="44546A" w:themeColor="text2"/>
          <w:sz w:val="28"/>
          <w:lang w:val="fr-FR"/>
        </w:rPr>
      </w:pPr>
      <w:r w:rsidRPr="00F96B82">
        <w:rPr>
          <w:color w:val="44546A" w:themeColor="text2"/>
          <w:sz w:val="28"/>
          <w:lang w:val="fr-FR"/>
        </w:rPr>
        <w:t>Description :</w:t>
      </w:r>
    </w:p>
    <w:p w14:paraId="547727D4" w14:textId="77777777" w:rsidR="00664D0A" w:rsidRPr="00F96B82" w:rsidRDefault="00664D0A" w:rsidP="00B139C3">
      <w:pPr>
        <w:rPr>
          <w:lang w:val="fr-FR"/>
        </w:rPr>
      </w:pPr>
      <w:r w:rsidRPr="00F96B82">
        <w:rPr>
          <w:lang w:val="fr-FR"/>
        </w:rPr>
        <w:t>Parmi les 158 patients diabétiques de type 2 utilisant la phytothérapie, la majorité des patients surveillent leur glycémie par auto surveillance glycémique ou en association avec l’HbA1c. Une proportion importante réalise un suivi combiné (glycémie à jeun + HbA1c), tandis qu’un faible nombre de patients ne réalise aucune surveillance biologique.</w:t>
      </w:r>
    </w:p>
    <w:p w14:paraId="7D3DDC12" w14:textId="5C37281D" w:rsidR="00664D0A" w:rsidRPr="0005552C" w:rsidRDefault="00664D0A" w:rsidP="0005552C">
      <w:pPr>
        <w:rPr>
          <w:lang w:val="fr-FR"/>
        </w:rPr>
      </w:pPr>
      <w:r w:rsidRPr="00F96B82">
        <w:rPr>
          <w:lang w:val="fr-FR"/>
        </w:rPr>
        <w:t>Chez les 93 patients non-utilisateurs, la glycémie à jeun est également la méthode de surveillance la plus fréquente, suivie de l’utilisation de deux méthodes de surveillance. Une proportion non négligeable de patients réalise uniquement l’HbA1c, tandis que quelques patients ne pré</w:t>
      </w:r>
      <w:r w:rsidR="0005552C">
        <w:rPr>
          <w:lang w:val="fr-FR"/>
        </w:rPr>
        <w:t>sentent aucun suivi glycémique.</w:t>
      </w:r>
    </w:p>
    <w:p w14:paraId="26B279D6" w14:textId="0A6785EC" w:rsidR="0005552C" w:rsidRDefault="0005552C" w:rsidP="0005552C">
      <w:pPr>
        <w:pStyle w:val="Caption"/>
        <w:keepNext/>
      </w:pPr>
      <w:bookmarkStart w:id="175" w:name="_Toc229617380"/>
      <w:r>
        <w:lastRenderedPageBreak/>
        <w:t xml:space="preserve">Tableau </w:t>
      </w:r>
      <w:r>
        <w:fldChar w:fldCharType="begin"/>
      </w:r>
      <w:r>
        <w:instrText xml:space="preserve"> SEQ Tableau \* ARABIC </w:instrText>
      </w:r>
      <w:r>
        <w:fldChar w:fldCharType="separate"/>
      </w:r>
      <w:r w:rsidR="00983108">
        <w:rPr>
          <w:noProof/>
        </w:rPr>
        <w:t>19</w:t>
      </w:r>
      <w:r>
        <w:fldChar w:fldCharType="end"/>
      </w:r>
      <w:r>
        <w:t xml:space="preserve"> </w:t>
      </w:r>
      <w:r w:rsidRPr="001A507A">
        <w:t>Répartition des patients selon le type de surveillance biologique (N = 251)</w:t>
      </w:r>
      <w:bookmarkEnd w:id="175"/>
    </w:p>
    <w:tbl>
      <w:tblPr>
        <w:tblW w:w="9148" w:type="dxa"/>
        <w:tblCellMar>
          <w:left w:w="0" w:type="dxa"/>
          <w:right w:w="0" w:type="dxa"/>
        </w:tblCellMar>
        <w:tblLook w:val="04A0" w:firstRow="1" w:lastRow="0" w:firstColumn="1" w:lastColumn="0" w:noHBand="0" w:noVBand="1"/>
      </w:tblPr>
      <w:tblGrid>
        <w:gridCol w:w="2568"/>
        <w:gridCol w:w="1796"/>
        <w:gridCol w:w="1384"/>
        <w:gridCol w:w="2016"/>
        <w:gridCol w:w="1384"/>
      </w:tblGrid>
      <w:tr w:rsidR="00664D0A" w:rsidRPr="00F82874" w14:paraId="2758A783"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9309A8C"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Type de surveillance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8A5B803"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Utilisateurs (n=158)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8912C0C"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453A3D9"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Non-utilisateurs (n=93)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7C18D5C"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r>
      <w:tr w:rsidR="00664D0A" w:rsidRPr="00F82874" w14:paraId="10358E0E"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F1F230F"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Glycémie à jeun uniquement</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890C174"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76</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45A522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48,10 %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80ED2A0"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BB314E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51,61 %</w:t>
            </w:r>
          </w:p>
        </w:tc>
      </w:tr>
      <w:tr w:rsidR="00664D0A" w:rsidRPr="00F82874" w14:paraId="4944702D"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1976209"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Les deux (Glycémie + HbA1c)</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798E0E3"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64</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EF85AC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40,51 %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8BF56DD"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35</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F743C9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37,63 %</w:t>
            </w:r>
          </w:p>
        </w:tc>
      </w:tr>
      <w:tr w:rsidR="00664D0A" w:rsidRPr="00F82874" w14:paraId="20B6FF50"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1903E98"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HbA1c uniquement</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5BE3BA9"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E03B88F"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7,59 %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FCC0AA9"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1C1BE87"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6,45 %</w:t>
            </w:r>
          </w:p>
        </w:tc>
      </w:tr>
      <w:tr w:rsidR="00664D0A" w:rsidRPr="00F82874" w14:paraId="45220FA0"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76D515E"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Aucune surveillance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7D74A8F"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954076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3,80 %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7AC976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339A2A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4,30 %</w:t>
            </w:r>
          </w:p>
        </w:tc>
      </w:tr>
      <w:tr w:rsidR="00664D0A" w:rsidRPr="00F82874" w14:paraId="7D496E45" w14:textId="77777777" w:rsidTr="00784D29">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6BE4BFC"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Total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D75DABE"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D55567A"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DE39402"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EB1FD26" w14:textId="77777777" w:rsidR="00664D0A" w:rsidRPr="00F82874" w:rsidRDefault="00664D0A"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r>
    </w:tbl>
    <w:p w14:paraId="16F56041" w14:textId="77777777" w:rsidR="0059682C" w:rsidRDefault="00664D0A" w:rsidP="0059682C">
      <w:pPr>
        <w:keepNext/>
      </w:pPr>
      <w:r w:rsidRPr="00C30B46">
        <w:rPr>
          <w:noProof/>
          <w:color w:val="44546A" w:themeColor="text2"/>
          <w:sz w:val="28"/>
          <w:lang w:val="fr-FR" w:eastAsia="fr-FR"/>
        </w:rPr>
        <w:drawing>
          <wp:inline distT="0" distB="0" distL="0" distR="0" wp14:anchorId="391CE8C3" wp14:editId="251A48A0">
            <wp:extent cx="4505325" cy="2851150"/>
            <wp:effectExtent l="19050" t="0" r="9525" b="6350"/>
            <wp:docPr id="21"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1258CACC" w14:textId="3B1DB25E" w:rsidR="00664D0A" w:rsidRDefault="0059682C" w:rsidP="0059682C">
      <w:pPr>
        <w:pStyle w:val="Caption"/>
        <w:rPr>
          <w:color w:val="44546A" w:themeColor="text2"/>
          <w:sz w:val="28"/>
        </w:rPr>
      </w:pPr>
      <w:bookmarkStart w:id="176" w:name="_Toc229617344"/>
      <w:r>
        <w:t xml:space="preserve">Figure </w:t>
      </w:r>
      <w:r>
        <w:fldChar w:fldCharType="begin"/>
      </w:r>
      <w:r>
        <w:instrText xml:space="preserve"> SEQ Figure \* ARABIC </w:instrText>
      </w:r>
      <w:r>
        <w:fldChar w:fldCharType="separate"/>
      </w:r>
      <w:r w:rsidR="00983108">
        <w:rPr>
          <w:noProof/>
        </w:rPr>
        <w:t>55</w:t>
      </w:r>
      <w:r>
        <w:fldChar w:fldCharType="end"/>
      </w:r>
      <w:r>
        <w:t xml:space="preserve"> </w:t>
      </w:r>
      <w:r w:rsidRPr="001E1FD1">
        <w:t>Répartition des patients diabétiques selon la méthode de surveillance</w:t>
      </w:r>
      <w:bookmarkEnd w:id="176"/>
    </w:p>
    <w:p w14:paraId="7368A975" w14:textId="77777777" w:rsidR="00664D0A" w:rsidRPr="00F96B82" w:rsidRDefault="00664D0A" w:rsidP="00B139C3">
      <w:pPr>
        <w:rPr>
          <w:color w:val="44546A" w:themeColor="text2"/>
          <w:sz w:val="28"/>
          <w:lang w:val="fr-FR"/>
        </w:rPr>
      </w:pPr>
      <w:r w:rsidRPr="00F96B82">
        <w:rPr>
          <w:color w:val="44546A" w:themeColor="text2"/>
          <w:sz w:val="28"/>
          <w:lang w:val="fr-FR"/>
        </w:rPr>
        <w:t xml:space="preserve">Analyse : </w:t>
      </w:r>
    </w:p>
    <w:p w14:paraId="1139D3EF" w14:textId="77777777" w:rsidR="00664D0A" w:rsidRPr="00F96B82" w:rsidRDefault="00664D0A" w:rsidP="00B139C3">
      <w:pPr>
        <w:rPr>
          <w:lang w:val="fr-FR"/>
        </w:rPr>
      </w:pPr>
      <w:r w:rsidRPr="00F96B82">
        <w:rPr>
          <w:lang w:val="fr-FR"/>
        </w:rPr>
        <w:t>L’analyse des méthodes de surveillance glycémique montre que la glycémie à jeun constitue l’examen le plus utilisé dans les deux groupes de patients, ce qui reflète sa simplicité, sa disponibilité et son coût relativement faible par rapport aux autres examens biologiques.</w:t>
      </w:r>
    </w:p>
    <w:p w14:paraId="728436FC" w14:textId="77777777" w:rsidR="00664D0A" w:rsidRPr="00F96B82" w:rsidRDefault="00664D0A" w:rsidP="00B139C3">
      <w:pPr>
        <w:rPr>
          <w:lang w:val="fr-FR"/>
        </w:rPr>
      </w:pPr>
      <w:r w:rsidRPr="00F96B82">
        <w:rPr>
          <w:lang w:val="fr-FR"/>
        </w:rPr>
        <w:t>Le recours à la surveillance combinée (glycémie à jeun et HbA1c) est également important, notamment chez les utilisateurs de phytothérapie, ce qui peut traduire une meilleure prise en charge globale ou un suivi médical plus régulier chez certains patients.</w:t>
      </w:r>
    </w:p>
    <w:p w14:paraId="553E6678" w14:textId="77777777" w:rsidR="00664D0A" w:rsidRPr="00F96B82" w:rsidRDefault="00664D0A" w:rsidP="00B139C3">
      <w:pPr>
        <w:rPr>
          <w:lang w:val="fr-FR"/>
        </w:rPr>
      </w:pPr>
      <w:r w:rsidRPr="00F96B82">
        <w:rPr>
          <w:lang w:val="fr-FR"/>
        </w:rPr>
        <w:t xml:space="preserve">Cependant, une proportion non négligeable de patients ne réalise aucune surveillance glycémique, ce qui représente une limite importante dans le suivi du diabète. Cette situation peut </w:t>
      </w:r>
      <w:r w:rsidRPr="00F96B82">
        <w:rPr>
          <w:lang w:val="fr-FR"/>
        </w:rPr>
        <w:lastRenderedPageBreak/>
        <w:t>être liée à des facteurs socio-économiques, au manque d’éducation thérapeutique ou à une faible perception de la gravité de la maladie.</w:t>
      </w:r>
    </w:p>
    <w:p w14:paraId="55EDEC6C" w14:textId="77777777" w:rsidR="00664D0A" w:rsidRPr="00F96B82" w:rsidRDefault="00664D0A" w:rsidP="00B139C3">
      <w:pPr>
        <w:rPr>
          <w:lang w:val="fr-FR"/>
        </w:rPr>
      </w:pPr>
      <w:r w:rsidRPr="00F96B82">
        <w:rPr>
          <w:lang w:val="fr-FR"/>
        </w:rPr>
        <w:t>Globalement, ces résultats montrent que le suivi glycémique reste partiellement insuffisant chez une proportion de patients, malgré la chronicité du diabète de type 2. L’amélioration de l’éducation thérapeutique et de l’accessibilité aux examens biologiques demeure essentielle pour optimiser la prise en charge.</w:t>
      </w:r>
    </w:p>
    <w:p w14:paraId="2393DB7B" w14:textId="0D7C7996" w:rsidR="00664D0A" w:rsidRPr="007277D4" w:rsidRDefault="00A33DED" w:rsidP="00B139C3">
      <w:pPr>
        <w:rPr>
          <w:b/>
          <w:bCs/>
          <w:sz w:val="32"/>
          <w:szCs w:val="32"/>
          <w:lang w:val="fr-FR"/>
        </w:rPr>
      </w:pPr>
      <w:r w:rsidRPr="007277D4">
        <w:rPr>
          <w:b/>
          <w:bCs/>
          <w:sz w:val="32"/>
          <w:szCs w:val="32"/>
          <w:lang w:val="fr-FR"/>
        </w:rPr>
        <w:t>10</w:t>
      </w:r>
      <w:r w:rsidR="00664D0A" w:rsidRPr="007277D4">
        <w:rPr>
          <w:b/>
          <w:bCs/>
          <w:sz w:val="32"/>
          <w:szCs w:val="32"/>
          <w:lang w:val="fr-FR"/>
        </w:rPr>
        <w:t xml:space="preserve"> /Répartition des patients diabétiques selon l 'HbA1</w:t>
      </w:r>
      <w:proofErr w:type="gramStart"/>
      <w:r w:rsidR="00664D0A" w:rsidRPr="007277D4">
        <w:rPr>
          <w:b/>
          <w:bCs/>
          <w:sz w:val="32"/>
          <w:szCs w:val="32"/>
          <w:lang w:val="fr-FR"/>
        </w:rPr>
        <w:t>C:</w:t>
      </w:r>
      <w:proofErr w:type="gramEnd"/>
    </w:p>
    <w:p w14:paraId="229BFC4B" w14:textId="77777777" w:rsidR="00CC1349" w:rsidRPr="00CC1349" w:rsidRDefault="00664D0A" w:rsidP="00B139C3">
      <w:pPr>
        <w:rPr>
          <w:rFonts w:ascii="Times New Roman" w:eastAsia="Times New Roman" w:hAnsi="Times New Roman" w:cs="Times New Roman"/>
          <w:sz w:val="36"/>
          <w:szCs w:val="36"/>
          <w:lang w:val="fr-FR" w:eastAsia="fr-FR"/>
        </w:rPr>
      </w:pPr>
      <w:r w:rsidRPr="00CC1349">
        <w:rPr>
          <w:color w:val="44546A" w:themeColor="text2"/>
          <w:sz w:val="28"/>
          <w:lang w:val="fr-FR"/>
        </w:rPr>
        <w:t xml:space="preserve"> </w:t>
      </w:r>
      <w:r w:rsidR="00CC1349" w:rsidRPr="00CC1349">
        <w:rPr>
          <w:rFonts w:ascii="Times New Roman" w:eastAsia="Times New Roman" w:hAnsi="Times New Roman" w:cs="Times New Roman"/>
          <w:sz w:val="36"/>
          <w:szCs w:val="36"/>
          <w:lang w:val="fr-FR" w:eastAsia="fr-FR"/>
        </w:rPr>
        <w:t>Description :</w:t>
      </w:r>
    </w:p>
    <w:p w14:paraId="552A9DB0" w14:textId="77777777" w:rsidR="00CC1349" w:rsidRPr="00CC1349" w:rsidRDefault="00CC1349" w:rsidP="00B139C3">
      <w:pPr>
        <w:rPr>
          <w:rFonts w:ascii="Times New Roman" w:eastAsia="Times New Roman" w:hAnsi="Times New Roman" w:cs="Times New Roman"/>
          <w:lang w:val="fr-FR" w:eastAsia="fr-FR"/>
        </w:rPr>
      </w:pPr>
      <w:r w:rsidRPr="00CC1349">
        <w:rPr>
          <w:rFonts w:ascii="Times New Roman" w:eastAsia="Times New Roman" w:hAnsi="Times New Roman" w:cs="Times New Roman"/>
          <w:lang w:val="fr-FR" w:eastAsia="fr-FR"/>
        </w:rPr>
        <w:t>L’évaluation du statut glycémique à travers l’HbA1c montre des différences entre les utilisateurs et les non-utilisateurs de phytothérapie. Chez les utilisateurs de plantes médicinales, 7 patients présentaient une HbA1c normale (&lt; 5,7 %), 57 patients avaient un diabète équilibré (HbA1c entre 5,7 et 7 %), tandis que 69 patients présentaient un diabète non équilibré (HbA1c &gt; 7 %). Chez les non-utilisateurs, 4 patients avaient une HbA1c normale, 22 patients présentaient un diabète équilibré et 49 patients avaient un diabète non équilibré. Globalement, les utilisateurs de phytothérapie présentaient une proportion plus importante de diabète équilibré comparativement aux non-utilisateurs, alors que le diabète non équilibré demeurait fréquent dans les deux groupes.</w:t>
      </w:r>
    </w:p>
    <w:p w14:paraId="040C5FF3" w14:textId="3DC14E21" w:rsidR="0005552C" w:rsidRDefault="0005552C" w:rsidP="0005552C">
      <w:pPr>
        <w:pStyle w:val="Caption"/>
        <w:keepNext/>
      </w:pPr>
      <w:bookmarkStart w:id="177" w:name="_Toc229617381"/>
      <w:r>
        <w:t xml:space="preserve">Tableau </w:t>
      </w:r>
      <w:r>
        <w:fldChar w:fldCharType="begin"/>
      </w:r>
      <w:r>
        <w:instrText xml:space="preserve"> SEQ Tableau \* ARABIC </w:instrText>
      </w:r>
      <w:r>
        <w:fldChar w:fldCharType="separate"/>
      </w:r>
      <w:r w:rsidR="00983108">
        <w:rPr>
          <w:noProof/>
        </w:rPr>
        <w:t>20</w:t>
      </w:r>
      <w:r>
        <w:fldChar w:fldCharType="end"/>
      </w:r>
      <w:r>
        <w:t xml:space="preserve"> </w:t>
      </w:r>
      <w:r w:rsidRPr="00111662">
        <w:t>Répartition des patients diabétiques selon l 'HbA1</w:t>
      </w:r>
      <w:proofErr w:type="gramStart"/>
      <w:r w:rsidRPr="00111662">
        <w:t>C:</w:t>
      </w:r>
      <w:bookmarkEnd w:id="177"/>
      <w:proofErr w:type="gramEnd"/>
    </w:p>
    <w:tbl>
      <w:tblPr>
        <w:tblW w:w="9496" w:type="dxa"/>
        <w:tblLook w:val="04A0" w:firstRow="1" w:lastRow="0" w:firstColumn="1" w:lastColumn="0" w:noHBand="0" w:noVBand="1"/>
      </w:tblPr>
      <w:tblGrid>
        <w:gridCol w:w="1893"/>
        <w:gridCol w:w="910"/>
        <w:gridCol w:w="1806"/>
        <w:gridCol w:w="1459"/>
        <w:gridCol w:w="1969"/>
        <w:gridCol w:w="1459"/>
      </w:tblGrid>
      <w:tr w:rsidR="00CC1349" w14:paraId="7360757C" w14:textId="77777777" w:rsidTr="00B139C3">
        <w:tc>
          <w:tcPr>
            <w:tcW w:w="0" w:type="auto"/>
            <w:hideMark/>
          </w:tcPr>
          <w:p w14:paraId="5EF05DF9" w14:textId="77777777" w:rsidR="00CC1349" w:rsidRDefault="00CC1349" w:rsidP="00B139C3">
            <w:r>
              <w:t>Statut glycémique</w:t>
            </w:r>
          </w:p>
        </w:tc>
        <w:tc>
          <w:tcPr>
            <w:tcW w:w="0" w:type="auto"/>
            <w:hideMark/>
          </w:tcPr>
          <w:p w14:paraId="46520F05" w14:textId="77777777" w:rsidR="00CC1349" w:rsidRDefault="00CC1349" w:rsidP="00B139C3">
            <w:r>
              <w:t>HbA1c</w:t>
            </w:r>
          </w:p>
        </w:tc>
        <w:tc>
          <w:tcPr>
            <w:tcW w:w="0" w:type="auto"/>
            <w:hideMark/>
          </w:tcPr>
          <w:p w14:paraId="55170C6E" w14:textId="77777777" w:rsidR="00CC1349" w:rsidRDefault="00CC1349" w:rsidP="00B139C3">
            <w:r>
              <w:t>Utilisateurs (n=133)</w:t>
            </w:r>
          </w:p>
        </w:tc>
        <w:tc>
          <w:tcPr>
            <w:tcW w:w="0" w:type="auto"/>
            <w:hideMark/>
          </w:tcPr>
          <w:p w14:paraId="7044BB17" w14:textId="77777777" w:rsidR="00CC1349" w:rsidRDefault="00CC1349" w:rsidP="00B139C3">
            <w:r>
              <w:t>Fréquence (%)</w:t>
            </w:r>
          </w:p>
        </w:tc>
        <w:tc>
          <w:tcPr>
            <w:tcW w:w="0" w:type="auto"/>
            <w:hideMark/>
          </w:tcPr>
          <w:p w14:paraId="17CA471C" w14:textId="77777777" w:rsidR="00CC1349" w:rsidRDefault="00CC1349" w:rsidP="00B139C3">
            <w:r>
              <w:t>Non-utilisateurs (n=75)</w:t>
            </w:r>
          </w:p>
        </w:tc>
        <w:tc>
          <w:tcPr>
            <w:tcW w:w="0" w:type="auto"/>
            <w:hideMark/>
          </w:tcPr>
          <w:p w14:paraId="4616CA6C" w14:textId="77777777" w:rsidR="00CC1349" w:rsidRDefault="00CC1349" w:rsidP="00B139C3">
            <w:r>
              <w:t>Fréquence (%)</w:t>
            </w:r>
          </w:p>
        </w:tc>
      </w:tr>
      <w:tr w:rsidR="00CC1349" w14:paraId="304CFA2F" w14:textId="77777777" w:rsidTr="00B139C3">
        <w:tc>
          <w:tcPr>
            <w:tcW w:w="0" w:type="auto"/>
            <w:hideMark/>
          </w:tcPr>
          <w:p w14:paraId="56881799" w14:textId="77777777" w:rsidR="00CC1349" w:rsidRDefault="00CC1349" w:rsidP="00B139C3">
            <w:r>
              <w:t>Normale</w:t>
            </w:r>
          </w:p>
        </w:tc>
        <w:tc>
          <w:tcPr>
            <w:tcW w:w="0" w:type="auto"/>
            <w:hideMark/>
          </w:tcPr>
          <w:p w14:paraId="3DFE24AB" w14:textId="77777777" w:rsidR="00CC1349" w:rsidRDefault="00CC1349" w:rsidP="00B139C3">
            <w:r>
              <w:t>&lt; 5,7</w:t>
            </w:r>
          </w:p>
        </w:tc>
        <w:tc>
          <w:tcPr>
            <w:tcW w:w="0" w:type="auto"/>
            <w:hideMark/>
          </w:tcPr>
          <w:p w14:paraId="59D19706" w14:textId="77777777" w:rsidR="00CC1349" w:rsidRDefault="00CC1349" w:rsidP="00B139C3">
            <w:r>
              <w:t>7</w:t>
            </w:r>
          </w:p>
        </w:tc>
        <w:tc>
          <w:tcPr>
            <w:tcW w:w="0" w:type="auto"/>
            <w:hideMark/>
          </w:tcPr>
          <w:p w14:paraId="589BB864" w14:textId="77777777" w:rsidR="00CC1349" w:rsidRDefault="00CC1349" w:rsidP="00B139C3">
            <w:r>
              <w:t>5,26 %</w:t>
            </w:r>
          </w:p>
        </w:tc>
        <w:tc>
          <w:tcPr>
            <w:tcW w:w="0" w:type="auto"/>
            <w:hideMark/>
          </w:tcPr>
          <w:p w14:paraId="68FDADCA" w14:textId="77777777" w:rsidR="00CC1349" w:rsidRDefault="00CC1349" w:rsidP="00B139C3">
            <w:r>
              <w:t>4</w:t>
            </w:r>
          </w:p>
        </w:tc>
        <w:tc>
          <w:tcPr>
            <w:tcW w:w="0" w:type="auto"/>
            <w:hideMark/>
          </w:tcPr>
          <w:p w14:paraId="670119F0" w14:textId="77777777" w:rsidR="00CC1349" w:rsidRDefault="00CC1349" w:rsidP="00B139C3">
            <w:r>
              <w:t>5,33 %</w:t>
            </w:r>
          </w:p>
        </w:tc>
      </w:tr>
      <w:tr w:rsidR="00CC1349" w14:paraId="0D33E94C" w14:textId="77777777" w:rsidTr="00B139C3">
        <w:tc>
          <w:tcPr>
            <w:tcW w:w="0" w:type="auto"/>
            <w:hideMark/>
          </w:tcPr>
          <w:p w14:paraId="1426A96E" w14:textId="77777777" w:rsidR="00CC1349" w:rsidRDefault="00CC1349" w:rsidP="00B139C3">
            <w:r>
              <w:t>Diabète équilibré</w:t>
            </w:r>
          </w:p>
        </w:tc>
        <w:tc>
          <w:tcPr>
            <w:tcW w:w="0" w:type="auto"/>
            <w:hideMark/>
          </w:tcPr>
          <w:p w14:paraId="2A3E97F6" w14:textId="77777777" w:rsidR="00CC1349" w:rsidRDefault="00CC1349" w:rsidP="00B139C3">
            <w:r>
              <w:t>5,7 – 7</w:t>
            </w:r>
          </w:p>
        </w:tc>
        <w:tc>
          <w:tcPr>
            <w:tcW w:w="0" w:type="auto"/>
            <w:hideMark/>
          </w:tcPr>
          <w:p w14:paraId="3E587848" w14:textId="77777777" w:rsidR="00CC1349" w:rsidRDefault="00CC1349" w:rsidP="00B139C3">
            <w:r>
              <w:t>57</w:t>
            </w:r>
          </w:p>
        </w:tc>
        <w:tc>
          <w:tcPr>
            <w:tcW w:w="0" w:type="auto"/>
            <w:hideMark/>
          </w:tcPr>
          <w:p w14:paraId="630B39AC" w14:textId="77777777" w:rsidR="00CC1349" w:rsidRDefault="00CC1349" w:rsidP="00B139C3">
            <w:r>
              <w:t>42,86 %</w:t>
            </w:r>
          </w:p>
        </w:tc>
        <w:tc>
          <w:tcPr>
            <w:tcW w:w="0" w:type="auto"/>
            <w:hideMark/>
          </w:tcPr>
          <w:p w14:paraId="40B05B51" w14:textId="77777777" w:rsidR="00CC1349" w:rsidRDefault="00CC1349" w:rsidP="00B139C3">
            <w:r>
              <w:t>22</w:t>
            </w:r>
          </w:p>
        </w:tc>
        <w:tc>
          <w:tcPr>
            <w:tcW w:w="0" w:type="auto"/>
            <w:hideMark/>
          </w:tcPr>
          <w:p w14:paraId="48AC187A" w14:textId="77777777" w:rsidR="00CC1349" w:rsidRDefault="00CC1349" w:rsidP="00B139C3">
            <w:r>
              <w:t>29,33 %</w:t>
            </w:r>
          </w:p>
        </w:tc>
      </w:tr>
      <w:tr w:rsidR="00CC1349" w14:paraId="3DA89621" w14:textId="77777777" w:rsidTr="00B139C3">
        <w:tc>
          <w:tcPr>
            <w:tcW w:w="0" w:type="auto"/>
            <w:hideMark/>
          </w:tcPr>
          <w:p w14:paraId="1B89CE72" w14:textId="77777777" w:rsidR="00CC1349" w:rsidRDefault="00CC1349" w:rsidP="00B139C3">
            <w:r>
              <w:t>Diabète non équilibré</w:t>
            </w:r>
          </w:p>
        </w:tc>
        <w:tc>
          <w:tcPr>
            <w:tcW w:w="0" w:type="auto"/>
            <w:hideMark/>
          </w:tcPr>
          <w:p w14:paraId="10C1A9FB" w14:textId="77777777" w:rsidR="00CC1349" w:rsidRDefault="00CC1349" w:rsidP="00B139C3">
            <w:r>
              <w:t>&gt; 7</w:t>
            </w:r>
          </w:p>
        </w:tc>
        <w:tc>
          <w:tcPr>
            <w:tcW w:w="0" w:type="auto"/>
            <w:hideMark/>
          </w:tcPr>
          <w:p w14:paraId="70A2CF5B" w14:textId="77777777" w:rsidR="00CC1349" w:rsidRDefault="00CC1349" w:rsidP="00B139C3">
            <w:r>
              <w:t>69</w:t>
            </w:r>
          </w:p>
        </w:tc>
        <w:tc>
          <w:tcPr>
            <w:tcW w:w="0" w:type="auto"/>
            <w:hideMark/>
          </w:tcPr>
          <w:p w14:paraId="30F9D9B5" w14:textId="77777777" w:rsidR="00CC1349" w:rsidRDefault="00CC1349" w:rsidP="00B139C3">
            <w:r>
              <w:t>51,88 %</w:t>
            </w:r>
          </w:p>
        </w:tc>
        <w:tc>
          <w:tcPr>
            <w:tcW w:w="0" w:type="auto"/>
            <w:hideMark/>
          </w:tcPr>
          <w:p w14:paraId="7C21D422" w14:textId="77777777" w:rsidR="00CC1349" w:rsidRDefault="00CC1349" w:rsidP="00B139C3">
            <w:r>
              <w:t>49</w:t>
            </w:r>
          </w:p>
        </w:tc>
        <w:tc>
          <w:tcPr>
            <w:tcW w:w="0" w:type="auto"/>
            <w:hideMark/>
          </w:tcPr>
          <w:p w14:paraId="38D42552" w14:textId="77777777" w:rsidR="00CC1349" w:rsidRDefault="00CC1349" w:rsidP="00B139C3">
            <w:r>
              <w:t>65,34 %</w:t>
            </w:r>
          </w:p>
        </w:tc>
      </w:tr>
      <w:tr w:rsidR="00CC1349" w14:paraId="655B9013" w14:textId="77777777" w:rsidTr="00B139C3">
        <w:tc>
          <w:tcPr>
            <w:tcW w:w="0" w:type="auto"/>
            <w:hideMark/>
          </w:tcPr>
          <w:p w14:paraId="07943394" w14:textId="77777777" w:rsidR="00CC1349" w:rsidRDefault="00CC1349" w:rsidP="00B139C3">
            <w:r>
              <w:rPr>
                <w:rStyle w:val="Strong"/>
              </w:rPr>
              <w:t>Total</w:t>
            </w:r>
          </w:p>
        </w:tc>
        <w:tc>
          <w:tcPr>
            <w:tcW w:w="0" w:type="auto"/>
            <w:hideMark/>
          </w:tcPr>
          <w:p w14:paraId="5B8B6219" w14:textId="77777777" w:rsidR="00CC1349" w:rsidRDefault="00CC1349" w:rsidP="00B139C3"/>
        </w:tc>
        <w:tc>
          <w:tcPr>
            <w:tcW w:w="0" w:type="auto"/>
            <w:hideMark/>
          </w:tcPr>
          <w:p w14:paraId="0D3F2ECE" w14:textId="77777777" w:rsidR="00CC1349" w:rsidRDefault="00CC1349" w:rsidP="00B139C3">
            <w:r>
              <w:rPr>
                <w:rStyle w:val="Strong"/>
              </w:rPr>
              <w:t>133</w:t>
            </w:r>
          </w:p>
        </w:tc>
        <w:tc>
          <w:tcPr>
            <w:tcW w:w="0" w:type="auto"/>
            <w:hideMark/>
          </w:tcPr>
          <w:p w14:paraId="4BF34085" w14:textId="77777777" w:rsidR="00CC1349" w:rsidRDefault="00CC1349" w:rsidP="00B139C3">
            <w:r>
              <w:rPr>
                <w:rStyle w:val="Strong"/>
              </w:rPr>
              <w:t>100 %</w:t>
            </w:r>
          </w:p>
        </w:tc>
        <w:tc>
          <w:tcPr>
            <w:tcW w:w="0" w:type="auto"/>
            <w:hideMark/>
          </w:tcPr>
          <w:p w14:paraId="4DFF042F" w14:textId="77777777" w:rsidR="00CC1349" w:rsidRDefault="00CC1349" w:rsidP="00B139C3">
            <w:r>
              <w:rPr>
                <w:rStyle w:val="Strong"/>
              </w:rPr>
              <w:t>75</w:t>
            </w:r>
          </w:p>
        </w:tc>
        <w:tc>
          <w:tcPr>
            <w:tcW w:w="0" w:type="auto"/>
            <w:hideMark/>
          </w:tcPr>
          <w:p w14:paraId="4B505F0F" w14:textId="77777777" w:rsidR="00CC1349" w:rsidRDefault="00CC1349" w:rsidP="00B139C3">
            <w:r>
              <w:rPr>
                <w:rStyle w:val="Strong"/>
              </w:rPr>
              <w:t>100 %</w:t>
            </w:r>
          </w:p>
        </w:tc>
      </w:tr>
    </w:tbl>
    <w:p w14:paraId="0583F661" w14:textId="77777777" w:rsidR="0059682C" w:rsidRDefault="0059682C" w:rsidP="00B139C3">
      <w:pPr>
        <w:rPr>
          <w:rFonts w:ascii="Times New Roman" w:eastAsia="Times New Roman" w:hAnsi="Times New Roman" w:cs="Times New Roman"/>
          <w:sz w:val="27"/>
          <w:szCs w:val="27"/>
          <w:lang w:eastAsia="fr-FR"/>
        </w:rPr>
      </w:pPr>
    </w:p>
    <w:p w14:paraId="05E7D7EF" w14:textId="77777777" w:rsidR="0059682C" w:rsidRDefault="0059682C" w:rsidP="0059682C">
      <w:pPr>
        <w:keepNext/>
      </w:pPr>
      <w:r>
        <w:rPr>
          <w:noProof/>
          <w:lang w:val="fr-FR" w:eastAsia="fr-FR"/>
        </w:rPr>
        <w:lastRenderedPageBreak/>
        <w:drawing>
          <wp:inline distT="0" distB="0" distL="0" distR="0" wp14:anchorId="79DC60C7" wp14:editId="52210D94">
            <wp:extent cx="4572000" cy="2743200"/>
            <wp:effectExtent l="0" t="0" r="0" b="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47C80BD4" w14:textId="352CE449" w:rsidR="0059682C" w:rsidRDefault="0059682C" w:rsidP="0059682C">
      <w:pPr>
        <w:pStyle w:val="Caption"/>
        <w:rPr>
          <w:rFonts w:ascii="Times New Roman" w:eastAsia="Times New Roman" w:hAnsi="Times New Roman" w:cs="Times New Roman"/>
          <w:sz w:val="27"/>
          <w:szCs w:val="27"/>
          <w:lang w:eastAsia="fr-FR"/>
        </w:rPr>
      </w:pPr>
      <w:bookmarkStart w:id="178" w:name="_Toc229617345"/>
      <w:r>
        <w:t xml:space="preserve">Figure </w:t>
      </w:r>
      <w:r>
        <w:fldChar w:fldCharType="begin"/>
      </w:r>
      <w:r>
        <w:instrText xml:space="preserve"> SEQ Figure \* ARABIC </w:instrText>
      </w:r>
      <w:r>
        <w:fldChar w:fldCharType="separate"/>
      </w:r>
      <w:r w:rsidR="00983108">
        <w:rPr>
          <w:noProof/>
        </w:rPr>
        <w:t>56</w:t>
      </w:r>
      <w:r>
        <w:fldChar w:fldCharType="end"/>
      </w:r>
      <w:r>
        <w:t xml:space="preserve"> </w:t>
      </w:r>
      <w:r w:rsidRPr="00282B5C">
        <w:t>Répartition des patients diabétiques selon l 'HbA1</w:t>
      </w:r>
      <w:proofErr w:type="gramStart"/>
      <w:r w:rsidRPr="00282B5C">
        <w:t>C:</w:t>
      </w:r>
      <w:bookmarkEnd w:id="178"/>
      <w:proofErr w:type="gramEnd"/>
    </w:p>
    <w:p w14:paraId="04B309A4" w14:textId="328F8AAE" w:rsidR="00CC1349" w:rsidRPr="0059682C" w:rsidRDefault="00CC1349" w:rsidP="00B139C3">
      <w:pPr>
        <w:rPr>
          <w:rFonts w:ascii="Times New Roman" w:eastAsia="Times New Roman" w:hAnsi="Times New Roman" w:cs="Times New Roman"/>
          <w:lang w:val="fr-FR" w:eastAsia="fr-FR"/>
        </w:rPr>
      </w:pPr>
      <w:r w:rsidRPr="0059682C">
        <w:rPr>
          <w:rFonts w:ascii="Times New Roman" w:eastAsia="Times New Roman" w:hAnsi="Times New Roman" w:cs="Times New Roman"/>
          <w:sz w:val="27"/>
          <w:szCs w:val="27"/>
          <w:lang w:val="fr-FR" w:eastAsia="fr-FR"/>
        </w:rPr>
        <w:t>Analyse</w:t>
      </w:r>
    </w:p>
    <w:p w14:paraId="638578CC" w14:textId="77777777" w:rsidR="00CC1349" w:rsidRPr="00CC1349" w:rsidRDefault="00CC1349" w:rsidP="00B139C3">
      <w:pPr>
        <w:rPr>
          <w:rFonts w:ascii="Times New Roman" w:eastAsia="Times New Roman" w:hAnsi="Times New Roman" w:cs="Times New Roman"/>
          <w:lang w:val="fr-FR" w:eastAsia="fr-FR"/>
        </w:rPr>
      </w:pPr>
      <w:r w:rsidRPr="00CC1349">
        <w:rPr>
          <w:rFonts w:ascii="Times New Roman" w:eastAsia="Times New Roman" w:hAnsi="Times New Roman" w:cs="Times New Roman"/>
          <w:lang w:val="fr-FR" w:eastAsia="fr-FR"/>
        </w:rPr>
        <w:t>L’analyse comparative du diabète équilibré entre les deux groupes a montré une différence proche du seuil de significativité statistique (</w:t>
      </w:r>
      <w:r w:rsidRPr="003A4817">
        <w:rPr>
          <w:rFonts w:ascii="Times New Roman" w:eastAsia="Times New Roman" w:hAnsi="Times New Roman" w:cs="Times New Roman"/>
          <w:lang w:eastAsia="fr-FR"/>
        </w:rPr>
        <w:t>χ</w:t>
      </w:r>
      <w:r w:rsidRPr="00CC1349">
        <w:rPr>
          <w:rFonts w:ascii="Times New Roman" w:eastAsia="Times New Roman" w:hAnsi="Times New Roman" w:cs="Times New Roman"/>
          <w:lang w:val="fr-FR" w:eastAsia="fr-FR"/>
        </w:rPr>
        <w:t>² = 3,27 ; p = 0,07).</w:t>
      </w:r>
    </w:p>
    <w:p w14:paraId="127807FF" w14:textId="77777777" w:rsidR="00CC1349" w:rsidRPr="00CC1349" w:rsidRDefault="00CC1349" w:rsidP="00B139C3">
      <w:pPr>
        <w:rPr>
          <w:rFonts w:ascii="Times New Roman" w:eastAsia="Times New Roman" w:hAnsi="Times New Roman" w:cs="Times New Roman"/>
          <w:lang w:val="fr-FR" w:eastAsia="fr-FR"/>
        </w:rPr>
      </w:pPr>
      <w:r w:rsidRPr="00CC1349">
        <w:rPr>
          <w:rFonts w:ascii="Times New Roman" w:eastAsia="Times New Roman" w:hAnsi="Times New Roman" w:cs="Times New Roman"/>
          <w:lang w:val="fr-FR" w:eastAsia="fr-FR"/>
        </w:rPr>
        <w:t>Ces résultats suggèrent une tendance vers un meilleur équilibre glycémique chez les patients utilisant des plantes médicinales en complément du traitement conventionnel. La proportion plus élevée de patients équilibrés dans le groupe utilisateur pourrait être liée aux propriétés hypoglycémiantes de certaines plantes traditionnellement utilisées dans le diabète de type 2.</w:t>
      </w:r>
    </w:p>
    <w:p w14:paraId="21D78BF8" w14:textId="77777777" w:rsidR="00CC1349" w:rsidRPr="00CC1349" w:rsidRDefault="00CC1349" w:rsidP="00B139C3">
      <w:pPr>
        <w:rPr>
          <w:rFonts w:ascii="Times New Roman" w:eastAsia="Times New Roman" w:hAnsi="Times New Roman" w:cs="Times New Roman"/>
          <w:lang w:val="fr-FR" w:eastAsia="fr-FR"/>
        </w:rPr>
      </w:pPr>
      <w:r w:rsidRPr="00CC1349">
        <w:rPr>
          <w:rFonts w:ascii="Times New Roman" w:eastAsia="Times New Roman" w:hAnsi="Times New Roman" w:cs="Times New Roman"/>
          <w:lang w:val="fr-FR" w:eastAsia="fr-FR"/>
        </w:rPr>
        <w:t>Plusieurs mécanismes peuvent expliquer cet effet potentiel :</w:t>
      </w:r>
    </w:p>
    <w:p w14:paraId="652163C3" w14:textId="77777777" w:rsidR="00CC1349" w:rsidRPr="00CC1349" w:rsidRDefault="00CC1349" w:rsidP="00B139C3">
      <w:pPr>
        <w:rPr>
          <w:rFonts w:ascii="Times New Roman" w:eastAsia="Times New Roman" w:hAnsi="Times New Roman" w:cs="Times New Roman"/>
          <w:lang w:val="fr-FR" w:eastAsia="fr-FR"/>
        </w:rPr>
      </w:pPr>
      <w:proofErr w:type="gramStart"/>
      <w:r w:rsidRPr="00CC1349">
        <w:rPr>
          <w:rFonts w:ascii="Times New Roman" w:eastAsia="Times New Roman" w:hAnsi="Times New Roman" w:cs="Times New Roman"/>
          <w:lang w:val="fr-FR" w:eastAsia="fr-FR"/>
        </w:rPr>
        <w:t>amélioration</w:t>
      </w:r>
      <w:proofErr w:type="gramEnd"/>
      <w:r w:rsidRPr="00CC1349">
        <w:rPr>
          <w:rFonts w:ascii="Times New Roman" w:eastAsia="Times New Roman" w:hAnsi="Times New Roman" w:cs="Times New Roman"/>
          <w:lang w:val="fr-FR" w:eastAsia="fr-FR"/>
        </w:rPr>
        <w:t xml:space="preserve"> de la sensibilité à l’insuline ; </w:t>
      </w:r>
    </w:p>
    <w:p w14:paraId="4CFD124C" w14:textId="77777777" w:rsidR="00CC1349" w:rsidRPr="00CC1349" w:rsidRDefault="00CC1349" w:rsidP="00B139C3">
      <w:pPr>
        <w:rPr>
          <w:rFonts w:ascii="Times New Roman" w:eastAsia="Times New Roman" w:hAnsi="Times New Roman" w:cs="Times New Roman"/>
          <w:lang w:val="fr-FR" w:eastAsia="fr-FR"/>
        </w:rPr>
      </w:pPr>
      <w:proofErr w:type="gramStart"/>
      <w:r w:rsidRPr="00CC1349">
        <w:rPr>
          <w:rFonts w:ascii="Times New Roman" w:eastAsia="Times New Roman" w:hAnsi="Times New Roman" w:cs="Times New Roman"/>
          <w:lang w:val="fr-FR" w:eastAsia="fr-FR"/>
        </w:rPr>
        <w:t>réduction</w:t>
      </w:r>
      <w:proofErr w:type="gramEnd"/>
      <w:r w:rsidRPr="00CC1349">
        <w:rPr>
          <w:rFonts w:ascii="Times New Roman" w:eastAsia="Times New Roman" w:hAnsi="Times New Roman" w:cs="Times New Roman"/>
          <w:lang w:val="fr-FR" w:eastAsia="fr-FR"/>
        </w:rPr>
        <w:t xml:space="preserve"> de l’absorption intestinale du glucose ; </w:t>
      </w:r>
    </w:p>
    <w:p w14:paraId="23B3BB03" w14:textId="77777777" w:rsidR="00CC1349" w:rsidRPr="00CC1349" w:rsidRDefault="00CC1349" w:rsidP="00B139C3">
      <w:pPr>
        <w:rPr>
          <w:rFonts w:ascii="Times New Roman" w:eastAsia="Times New Roman" w:hAnsi="Times New Roman" w:cs="Times New Roman"/>
          <w:lang w:val="fr-FR" w:eastAsia="fr-FR"/>
        </w:rPr>
      </w:pPr>
      <w:proofErr w:type="gramStart"/>
      <w:r w:rsidRPr="00CC1349">
        <w:rPr>
          <w:rFonts w:ascii="Times New Roman" w:eastAsia="Times New Roman" w:hAnsi="Times New Roman" w:cs="Times New Roman"/>
          <w:lang w:val="fr-FR" w:eastAsia="fr-FR"/>
        </w:rPr>
        <w:t>effet</w:t>
      </w:r>
      <w:proofErr w:type="gramEnd"/>
      <w:r w:rsidRPr="00CC1349">
        <w:rPr>
          <w:rFonts w:ascii="Times New Roman" w:eastAsia="Times New Roman" w:hAnsi="Times New Roman" w:cs="Times New Roman"/>
          <w:lang w:val="fr-FR" w:eastAsia="fr-FR"/>
        </w:rPr>
        <w:t xml:space="preserve"> antioxydant et anti-inflammatoire ; </w:t>
      </w:r>
    </w:p>
    <w:p w14:paraId="411A2DEB" w14:textId="77777777" w:rsidR="00CC1349" w:rsidRPr="00CC1349" w:rsidRDefault="00CC1349" w:rsidP="00B139C3">
      <w:pPr>
        <w:rPr>
          <w:rFonts w:ascii="Times New Roman" w:eastAsia="Times New Roman" w:hAnsi="Times New Roman" w:cs="Times New Roman"/>
          <w:lang w:val="fr-FR" w:eastAsia="fr-FR"/>
        </w:rPr>
      </w:pPr>
      <w:proofErr w:type="gramStart"/>
      <w:r w:rsidRPr="00CC1349">
        <w:rPr>
          <w:rFonts w:ascii="Times New Roman" w:eastAsia="Times New Roman" w:hAnsi="Times New Roman" w:cs="Times New Roman"/>
          <w:lang w:val="fr-FR" w:eastAsia="fr-FR"/>
        </w:rPr>
        <w:t>amélioration</w:t>
      </w:r>
      <w:proofErr w:type="gramEnd"/>
      <w:r w:rsidRPr="00CC1349">
        <w:rPr>
          <w:rFonts w:ascii="Times New Roman" w:eastAsia="Times New Roman" w:hAnsi="Times New Roman" w:cs="Times New Roman"/>
          <w:lang w:val="fr-FR" w:eastAsia="fr-FR"/>
        </w:rPr>
        <w:t xml:space="preserve"> de l’hygiène de vie chez certains utilisateurs de phytothérapie. </w:t>
      </w:r>
    </w:p>
    <w:p w14:paraId="24606352" w14:textId="77777777" w:rsidR="00CC1349" w:rsidRPr="00CC1349" w:rsidRDefault="00CC1349" w:rsidP="00B139C3">
      <w:pPr>
        <w:rPr>
          <w:rFonts w:ascii="Times New Roman" w:eastAsia="Times New Roman" w:hAnsi="Times New Roman" w:cs="Times New Roman"/>
          <w:lang w:val="fr-FR" w:eastAsia="fr-FR"/>
        </w:rPr>
      </w:pPr>
      <w:r w:rsidRPr="00CC1349">
        <w:rPr>
          <w:rFonts w:ascii="Times New Roman" w:eastAsia="Times New Roman" w:hAnsi="Times New Roman" w:cs="Times New Roman"/>
          <w:lang w:val="fr-FR" w:eastAsia="fr-FR"/>
        </w:rPr>
        <w:t>Cependant, malgré cette tendance favorable, la différence observée n’a pas atteint le seuil de significativité statistique (p &gt; 0,05). Cela pourrait être expliqué par la taille limitée de l’échantillon, l’hétérogénéité des plantes utilisées ainsi que les différences individuelles de suivi thérapeutique et d’ancienneté du diabète.</w:t>
      </w:r>
    </w:p>
    <w:p w14:paraId="71DDD781" w14:textId="0950A448" w:rsidR="00664D0A" w:rsidRPr="007277D4" w:rsidRDefault="00CC1349" w:rsidP="007277D4">
      <w:pPr>
        <w:rPr>
          <w:rFonts w:ascii="Times New Roman" w:eastAsia="Times New Roman" w:hAnsi="Times New Roman" w:cs="Times New Roman"/>
          <w:lang w:val="fr-FR" w:eastAsia="fr-FR"/>
        </w:rPr>
      </w:pPr>
      <w:r w:rsidRPr="00CC1349">
        <w:rPr>
          <w:rFonts w:ascii="Times New Roman" w:eastAsia="Times New Roman" w:hAnsi="Times New Roman" w:cs="Times New Roman"/>
          <w:lang w:val="fr-FR" w:eastAsia="fr-FR"/>
        </w:rPr>
        <w:t>Ainsi, la phytothérapie semble associée à une amélioration potentielle du contrôle glycémique, sans permettre toutefois d’affirmer un effet signi</w:t>
      </w:r>
      <w:r w:rsidR="007277D4">
        <w:rPr>
          <w:rFonts w:ascii="Times New Roman" w:eastAsia="Times New Roman" w:hAnsi="Times New Roman" w:cs="Times New Roman"/>
          <w:lang w:val="fr-FR" w:eastAsia="fr-FR"/>
        </w:rPr>
        <w:t>ficatif direct dans notre étude</w:t>
      </w:r>
    </w:p>
    <w:p w14:paraId="66A156D0" w14:textId="15730493" w:rsidR="00664D0A" w:rsidRPr="007277D4" w:rsidRDefault="00664D0A" w:rsidP="00B139C3">
      <w:pPr>
        <w:rPr>
          <w:b/>
          <w:bCs/>
          <w:sz w:val="32"/>
          <w:szCs w:val="32"/>
          <w:lang w:val="fr-FR"/>
        </w:rPr>
      </w:pPr>
      <w:r w:rsidRPr="007277D4">
        <w:rPr>
          <w:b/>
          <w:bCs/>
          <w:sz w:val="32"/>
          <w:szCs w:val="32"/>
          <w:lang w:val="fr-FR"/>
        </w:rPr>
        <w:t>1</w:t>
      </w:r>
      <w:r w:rsidR="00A33DED" w:rsidRPr="007277D4">
        <w:rPr>
          <w:b/>
          <w:bCs/>
          <w:sz w:val="32"/>
          <w:szCs w:val="32"/>
          <w:lang w:val="fr-FR"/>
        </w:rPr>
        <w:t>1</w:t>
      </w:r>
      <w:r w:rsidRPr="007277D4">
        <w:rPr>
          <w:b/>
          <w:bCs/>
          <w:sz w:val="32"/>
          <w:szCs w:val="32"/>
          <w:lang w:val="fr-FR"/>
        </w:rPr>
        <w:t xml:space="preserve"> /L’adhérence thérapeutique :</w:t>
      </w:r>
    </w:p>
    <w:p w14:paraId="568C5994" w14:textId="77777777" w:rsidR="00664D0A" w:rsidRPr="00664D0A" w:rsidRDefault="00664D0A" w:rsidP="00B139C3">
      <w:pPr>
        <w:rPr>
          <w:sz w:val="28"/>
          <w:szCs w:val="28"/>
          <w:lang w:val="fr-FR"/>
        </w:rPr>
      </w:pPr>
      <w:r w:rsidRPr="00664D0A">
        <w:rPr>
          <w:sz w:val="28"/>
          <w:szCs w:val="28"/>
          <w:lang w:val="fr-FR"/>
        </w:rPr>
        <w:t>Description :</w:t>
      </w:r>
    </w:p>
    <w:p w14:paraId="615571CF" w14:textId="77777777" w:rsidR="00664D0A" w:rsidRPr="00664D0A" w:rsidRDefault="00664D0A" w:rsidP="00B139C3">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lastRenderedPageBreak/>
        <w:t>Chez les 149 patients diabétiques utilisateurs de la phytothérapie (dont 9 sous régime alimentaire sans traitement médicamenteux), les comportements de non-adhérence thérapeutique varient selon les situations cliniques. L’arrêt du traitement en cas d’oubli représente le comportement le plus fréquent avec 39,6% des patients concernés (n=59), tandis que 60,4% ne présentent pas ce comportement. L’omission volontaire de la prise médicamenteuse est observée chez 17,4% des patients (n=26), contre 82,6% qui déclarent ne pas l’adopter. L’arrêt du traitement en cas d’amélioration concerne 12,1% des patients, alors que 87,9% ne l’arrêtent pas dans ce contexte. Les effets secondaires entraînent l’arrêt du traitement chez 6,7% des patients seulement, contre 93,3% qui ne l’arrêtent pas. Enfin, les difficultés liées à la complexité thérapeutique sont rapportées chez 7,4% des patients.</w:t>
      </w:r>
    </w:p>
    <w:p w14:paraId="25FBF362" w14:textId="4E42A25F" w:rsidR="00664D0A" w:rsidRPr="00664D0A" w:rsidRDefault="00664D0A" w:rsidP="00B139C3">
      <w:pPr>
        <w:rPr>
          <w:rFonts w:ascii="Times New Roman" w:eastAsia="Times New Roman" w:hAnsi="Times New Roman" w:cs="Times New Roman"/>
          <w:lang w:val="fr-FR" w:eastAsia="fr-FR"/>
        </w:rPr>
      </w:pPr>
    </w:p>
    <w:p w14:paraId="6C56200F" w14:textId="4275DC13" w:rsidR="0005552C" w:rsidRDefault="0005552C" w:rsidP="0005552C">
      <w:pPr>
        <w:pStyle w:val="Caption"/>
        <w:keepNext/>
      </w:pPr>
      <w:bookmarkStart w:id="179" w:name="_Toc229617382"/>
      <w:r>
        <w:t xml:space="preserve">Tableau </w:t>
      </w:r>
      <w:r>
        <w:fldChar w:fldCharType="begin"/>
      </w:r>
      <w:r>
        <w:instrText xml:space="preserve"> SEQ Tableau \* ARABIC </w:instrText>
      </w:r>
      <w:r>
        <w:fldChar w:fldCharType="separate"/>
      </w:r>
      <w:r w:rsidR="00983108">
        <w:rPr>
          <w:noProof/>
        </w:rPr>
        <w:t>21</w:t>
      </w:r>
      <w:r>
        <w:fldChar w:fldCharType="end"/>
      </w:r>
      <w:r>
        <w:t xml:space="preserve"> </w:t>
      </w:r>
      <w:r w:rsidRPr="005B7CC8">
        <w:t>Répartition de l’adhérence thérapeutique chez les utilisateurs de la phytothérapie</w:t>
      </w:r>
      <w:bookmarkEnd w:id="179"/>
    </w:p>
    <w:tbl>
      <w:tblPr>
        <w:tblW w:w="9651" w:type="dxa"/>
        <w:tblLook w:val="04A0" w:firstRow="1" w:lastRow="0" w:firstColumn="1" w:lastColumn="0" w:noHBand="0" w:noVBand="1"/>
      </w:tblPr>
      <w:tblGrid>
        <w:gridCol w:w="4493"/>
        <w:gridCol w:w="939"/>
        <w:gridCol w:w="1014"/>
        <w:gridCol w:w="1001"/>
        <w:gridCol w:w="1077"/>
        <w:gridCol w:w="1127"/>
      </w:tblGrid>
      <w:tr w:rsidR="00664D0A" w:rsidRPr="00BE125E" w14:paraId="1071D2B2" w14:textId="77777777" w:rsidTr="00784D29">
        <w:trPr>
          <w:trHeight w:val="511"/>
        </w:trPr>
        <w:tc>
          <w:tcPr>
            <w:tcW w:w="0" w:type="auto"/>
            <w:hideMark/>
          </w:tcPr>
          <w:p w14:paraId="4DB4C0A1"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Comportement lié à l'observance</w:t>
            </w:r>
          </w:p>
        </w:tc>
        <w:tc>
          <w:tcPr>
            <w:tcW w:w="0" w:type="auto"/>
            <w:hideMark/>
          </w:tcPr>
          <w:p w14:paraId="2A4ECC03"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Oui (n)</w:t>
            </w:r>
          </w:p>
        </w:tc>
        <w:tc>
          <w:tcPr>
            <w:tcW w:w="0" w:type="auto"/>
            <w:hideMark/>
          </w:tcPr>
          <w:p w14:paraId="2BF55BAB"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Oui (%)</w:t>
            </w:r>
          </w:p>
        </w:tc>
        <w:tc>
          <w:tcPr>
            <w:tcW w:w="0" w:type="auto"/>
            <w:hideMark/>
          </w:tcPr>
          <w:p w14:paraId="7ECA7B05"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Non (n)</w:t>
            </w:r>
          </w:p>
        </w:tc>
        <w:tc>
          <w:tcPr>
            <w:tcW w:w="0" w:type="auto"/>
            <w:hideMark/>
          </w:tcPr>
          <w:p w14:paraId="38DE6F18"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Non (%)</w:t>
            </w:r>
          </w:p>
        </w:tc>
        <w:tc>
          <w:tcPr>
            <w:tcW w:w="0" w:type="auto"/>
            <w:hideMark/>
          </w:tcPr>
          <w:p w14:paraId="4858C45C"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Total (N)</w:t>
            </w:r>
          </w:p>
        </w:tc>
      </w:tr>
      <w:tr w:rsidR="00664D0A" w:rsidRPr="00BE125E" w14:paraId="51C49ECB" w14:textId="77777777" w:rsidTr="00784D29">
        <w:trPr>
          <w:trHeight w:val="511"/>
        </w:trPr>
        <w:tc>
          <w:tcPr>
            <w:tcW w:w="0" w:type="auto"/>
            <w:hideMark/>
          </w:tcPr>
          <w:p w14:paraId="79AC9EE6" w14:textId="77777777" w:rsidR="00664D0A" w:rsidRPr="00BE125E" w:rsidRDefault="00664D0A" w:rsidP="00B139C3">
            <w:pPr>
              <w:rPr>
                <w:rFonts w:ascii="Arial" w:eastAsia="Times New Roman" w:hAnsi="Arial" w:cs="Arial"/>
                <w:sz w:val="20"/>
                <w:szCs w:val="20"/>
                <w:lang w:eastAsia="fr-FR"/>
              </w:rPr>
            </w:pPr>
            <w:r>
              <w:rPr>
                <w:rFonts w:ascii="Arial" w:eastAsia="Times New Roman" w:hAnsi="Arial" w:cs="Arial"/>
                <w:sz w:val="20"/>
                <w:szCs w:val="20"/>
                <w:lang w:eastAsia="fr-FR"/>
              </w:rPr>
              <w:t xml:space="preserve">Omission involontaire du traitement </w:t>
            </w:r>
          </w:p>
        </w:tc>
        <w:tc>
          <w:tcPr>
            <w:tcW w:w="0" w:type="auto"/>
            <w:hideMark/>
          </w:tcPr>
          <w:p w14:paraId="6E58CC25"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59</w:t>
            </w:r>
          </w:p>
        </w:tc>
        <w:tc>
          <w:tcPr>
            <w:tcW w:w="0" w:type="auto"/>
            <w:hideMark/>
          </w:tcPr>
          <w:p w14:paraId="5F9CAB8A"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39,6 %</w:t>
            </w:r>
          </w:p>
        </w:tc>
        <w:tc>
          <w:tcPr>
            <w:tcW w:w="0" w:type="auto"/>
            <w:hideMark/>
          </w:tcPr>
          <w:p w14:paraId="186DAFF7"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90</w:t>
            </w:r>
          </w:p>
        </w:tc>
        <w:tc>
          <w:tcPr>
            <w:tcW w:w="0" w:type="auto"/>
            <w:hideMark/>
          </w:tcPr>
          <w:p w14:paraId="4304609C"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60,4 %</w:t>
            </w:r>
          </w:p>
        </w:tc>
        <w:tc>
          <w:tcPr>
            <w:tcW w:w="0" w:type="auto"/>
            <w:hideMark/>
          </w:tcPr>
          <w:p w14:paraId="19FB1E43"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149</w:t>
            </w:r>
          </w:p>
        </w:tc>
      </w:tr>
      <w:tr w:rsidR="00664D0A" w:rsidRPr="00BE125E" w14:paraId="0AB901BE" w14:textId="77777777" w:rsidTr="00784D29">
        <w:trPr>
          <w:trHeight w:val="511"/>
        </w:trPr>
        <w:tc>
          <w:tcPr>
            <w:tcW w:w="0" w:type="auto"/>
            <w:hideMark/>
          </w:tcPr>
          <w:p w14:paraId="7F0CC342"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Omission volontaire du traitement</w:t>
            </w:r>
          </w:p>
        </w:tc>
        <w:tc>
          <w:tcPr>
            <w:tcW w:w="0" w:type="auto"/>
            <w:hideMark/>
          </w:tcPr>
          <w:p w14:paraId="27ABC24D"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26</w:t>
            </w:r>
          </w:p>
        </w:tc>
        <w:tc>
          <w:tcPr>
            <w:tcW w:w="0" w:type="auto"/>
            <w:hideMark/>
          </w:tcPr>
          <w:p w14:paraId="0349B940"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17,4 %</w:t>
            </w:r>
          </w:p>
        </w:tc>
        <w:tc>
          <w:tcPr>
            <w:tcW w:w="0" w:type="auto"/>
            <w:hideMark/>
          </w:tcPr>
          <w:p w14:paraId="3E548559"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123</w:t>
            </w:r>
          </w:p>
        </w:tc>
        <w:tc>
          <w:tcPr>
            <w:tcW w:w="0" w:type="auto"/>
            <w:hideMark/>
          </w:tcPr>
          <w:p w14:paraId="4B8C6A8B"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82,6 %</w:t>
            </w:r>
          </w:p>
        </w:tc>
        <w:tc>
          <w:tcPr>
            <w:tcW w:w="0" w:type="auto"/>
            <w:hideMark/>
          </w:tcPr>
          <w:p w14:paraId="64E044B7"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149</w:t>
            </w:r>
          </w:p>
        </w:tc>
      </w:tr>
      <w:tr w:rsidR="00664D0A" w:rsidRPr="00BE125E" w14:paraId="7EF8C2CD" w14:textId="77777777" w:rsidTr="00784D29">
        <w:trPr>
          <w:trHeight w:val="511"/>
        </w:trPr>
        <w:tc>
          <w:tcPr>
            <w:tcW w:w="0" w:type="auto"/>
            <w:hideMark/>
          </w:tcPr>
          <w:p w14:paraId="768480A8"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Arrêt en cas d’amélioration</w:t>
            </w:r>
          </w:p>
        </w:tc>
        <w:tc>
          <w:tcPr>
            <w:tcW w:w="0" w:type="auto"/>
            <w:hideMark/>
          </w:tcPr>
          <w:p w14:paraId="5448946E"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18</w:t>
            </w:r>
          </w:p>
        </w:tc>
        <w:tc>
          <w:tcPr>
            <w:tcW w:w="0" w:type="auto"/>
            <w:hideMark/>
          </w:tcPr>
          <w:p w14:paraId="7F733346"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12,1 %</w:t>
            </w:r>
          </w:p>
        </w:tc>
        <w:tc>
          <w:tcPr>
            <w:tcW w:w="0" w:type="auto"/>
            <w:hideMark/>
          </w:tcPr>
          <w:p w14:paraId="0182F32E"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131</w:t>
            </w:r>
          </w:p>
        </w:tc>
        <w:tc>
          <w:tcPr>
            <w:tcW w:w="0" w:type="auto"/>
            <w:hideMark/>
          </w:tcPr>
          <w:p w14:paraId="17B7CACF"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87,9 %</w:t>
            </w:r>
          </w:p>
        </w:tc>
        <w:tc>
          <w:tcPr>
            <w:tcW w:w="0" w:type="auto"/>
            <w:hideMark/>
          </w:tcPr>
          <w:p w14:paraId="00EC294B"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149</w:t>
            </w:r>
          </w:p>
        </w:tc>
      </w:tr>
      <w:tr w:rsidR="00664D0A" w:rsidRPr="00BE125E" w14:paraId="748F1E8A" w14:textId="77777777" w:rsidTr="00784D29">
        <w:trPr>
          <w:trHeight w:val="511"/>
        </w:trPr>
        <w:tc>
          <w:tcPr>
            <w:tcW w:w="0" w:type="auto"/>
            <w:hideMark/>
          </w:tcPr>
          <w:p w14:paraId="28561C89" w14:textId="77777777" w:rsidR="00664D0A" w:rsidRPr="00C5177C" w:rsidRDefault="00664D0A" w:rsidP="00B139C3">
            <w:pPr>
              <w:rPr>
                <w:rFonts w:ascii="Arial" w:eastAsia="Times New Roman" w:hAnsi="Arial" w:cs="Arial"/>
                <w:sz w:val="20"/>
                <w:szCs w:val="20"/>
                <w:lang w:val="fr-FR" w:eastAsia="fr-FR"/>
              </w:rPr>
            </w:pPr>
            <w:r w:rsidRPr="00C5177C">
              <w:rPr>
                <w:rFonts w:ascii="Arial" w:eastAsia="Times New Roman" w:hAnsi="Arial" w:cs="Arial"/>
                <w:sz w:val="20"/>
                <w:szCs w:val="20"/>
                <w:lang w:val="fr-FR" w:eastAsia="fr-FR"/>
              </w:rPr>
              <w:t>Arrêt en cas d’effets secondaires</w:t>
            </w:r>
          </w:p>
        </w:tc>
        <w:tc>
          <w:tcPr>
            <w:tcW w:w="0" w:type="auto"/>
            <w:hideMark/>
          </w:tcPr>
          <w:p w14:paraId="0A918A51"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10</w:t>
            </w:r>
          </w:p>
        </w:tc>
        <w:tc>
          <w:tcPr>
            <w:tcW w:w="0" w:type="auto"/>
            <w:hideMark/>
          </w:tcPr>
          <w:p w14:paraId="0C73F10A"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6,7 %</w:t>
            </w:r>
          </w:p>
        </w:tc>
        <w:tc>
          <w:tcPr>
            <w:tcW w:w="0" w:type="auto"/>
            <w:hideMark/>
          </w:tcPr>
          <w:p w14:paraId="56F2B52B"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139</w:t>
            </w:r>
          </w:p>
        </w:tc>
        <w:tc>
          <w:tcPr>
            <w:tcW w:w="0" w:type="auto"/>
            <w:hideMark/>
          </w:tcPr>
          <w:p w14:paraId="381D16BA"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93,3 %</w:t>
            </w:r>
          </w:p>
        </w:tc>
        <w:tc>
          <w:tcPr>
            <w:tcW w:w="0" w:type="auto"/>
            <w:hideMark/>
          </w:tcPr>
          <w:p w14:paraId="4EFDAAD2"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149</w:t>
            </w:r>
          </w:p>
        </w:tc>
      </w:tr>
      <w:tr w:rsidR="00664D0A" w:rsidRPr="00BE125E" w14:paraId="744C2A54" w14:textId="77777777" w:rsidTr="00784D29">
        <w:trPr>
          <w:trHeight w:val="511"/>
        </w:trPr>
        <w:tc>
          <w:tcPr>
            <w:tcW w:w="0" w:type="auto"/>
            <w:hideMark/>
          </w:tcPr>
          <w:p w14:paraId="319395AF" w14:textId="77777777" w:rsidR="00664D0A" w:rsidRPr="00C5177C" w:rsidRDefault="00664D0A" w:rsidP="00B139C3">
            <w:pPr>
              <w:rPr>
                <w:rFonts w:ascii="Arial" w:eastAsia="Times New Roman" w:hAnsi="Arial" w:cs="Arial"/>
                <w:sz w:val="20"/>
                <w:szCs w:val="20"/>
                <w:lang w:val="fr-FR" w:eastAsia="fr-FR"/>
              </w:rPr>
            </w:pPr>
            <w:r w:rsidRPr="00C5177C">
              <w:rPr>
                <w:rFonts w:ascii="Arial" w:eastAsia="Times New Roman" w:hAnsi="Arial" w:cs="Arial"/>
                <w:sz w:val="20"/>
                <w:szCs w:val="20"/>
                <w:lang w:val="fr-FR" w:eastAsia="fr-FR"/>
              </w:rPr>
              <w:t>Difficulté liée à la complexité de traitement</w:t>
            </w:r>
          </w:p>
        </w:tc>
        <w:tc>
          <w:tcPr>
            <w:tcW w:w="0" w:type="auto"/>
            <w:hideMark/>
          </w:tcPr>
          <w:p w14:paraId="05E236AA"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11</w:t>
            </w:r>
          </w:p>
        </w:tc>
        <w:tc>
          <w:tcPr>
            <w:tcW w:w="0" w:type="auto"/>
            <w:hideMark/>
          </w:tcPr>
          <w:p w14:paraId="5257D44D"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7,4 %</w:t>
            </w:r>
          </w:p>
        </w:tc>
        <w:tc>
          <w:tcPr>
            <w:tcW w:w="0" w:type="auto"/>
            <w:hideMark/>
          </w:tcPr>
          <w:p w14:paraId="0E785ED3"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138</w:t>
            </w:r>
          </w:p>
        </w:tc>
        <w:tc>
          <w:tcPr>
            <w:tcW w:w="0" w:type="auto"/>
            <w:hideMark/>
          </w:tcPr>
          <w:p w14:paraId="3ADA77C1"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92,6 %</w:t>
            </w:r>
          </w:p>
        </w:tc>
        <w:tc>
          <w:tcPr>
            <w:tcW w:w="0" w:type="auto"/>
            <w:hideMark/>
          </w:tcPr>
          <w:p w14:paraId="6A30FC4E" w14:textId="77777777" w:rsidR="00664D0A" w:rsidRPr="00BE125E" w:rsidRDefault="00664D0A" w:rsidP="00B139C3">
            <w:pPr>
              <w:rPr>
                <w:rFonts w:ascii="Arial" w:eastAsia="Times New Roman" w:hAnsi="Arial" w:cs="Arial"/>
                <w:sz w:val="20"/>
                <w:szCs w:val="20"/>
                <w:lang w:eastAsia="fr-FR"/>
              </w:rPr>
            </w:pPr>
            <w:r w:rsidRPr="00BE125E">
              <w:rPr>
                <w:rFonts w:ascii="Arial" w:eastAsia="Times New Roman" w:hAnsi="Arial" w:cs="Arial"/>
                <w:sz w:val="20"/>
                <w:szCs w:val="20"/>
                <w:lang w:eastAsia="fr-FR"/>
              </w:rPr>
              <w:t>149</w:t>
            </w:r>
          </w:p>
        </w:tc>
      </w:tr>
    </w:tbl>
    <w:p w14:paraId="2900CB3C" w14:textId="77777777" w:rsidR="00664D0A" w:rsidRDefault="00664D0A" w:rsidP="00B139C3">
      <w:pPr>
        <w:rPr>
          <w:sz w:val="32"/>
          <w:szCs w:val="32"/>
        </w:rPr>
      </w:pPr>
    </w:p>
    <w:p w14:paraId="354F1FD2" w14:textId="77777777" w:rsidR="0059682C" w:rsidRDefault="00664D0A" w:rsidP="0059682C">
      <w:pPr>
        <w:keepNext/>
      </w:pPr>
      <w:r>
        <w:rPr>
          <w:noProof/>
          <w:lang w:val="fr-FR" w:eastAsia="fr-FR"/>
        </w:rPr>
        <w:drawing>
          <wp:inline distT="0" distB="0" distL="0" distR="0" wp14:anchorId="711B7021" wp14:editId="44A998D3">
            <wp:extent cx="45720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1E8173DF" w14:textId="41D0C4C1" w:rsidR="00664D0A" w:rsidRDefault="0059682C" w:rsidP="0059682C">
      <w:pPr>
        <w:pStyle w:val="Caption"/>
      </w:pPr>
      <w:bookmarkStart w:id="180" w:name="_Toc229617346"/>
      <w:r>
        <w:t xml:space="preserve">Figure </w:t>
      </w:r>
      <w:r>
        <w:fldChar w:fldCharType="begin"/>
      </w:r>
      <w:r>
        <w:instrText xml:space="preserve"> SEQ Figure \* ARABIC </w:instrText>
      </w:r>
      <w:r>
        <w:fldChar w:fldCharType="separate"/>
      </w:r>
      <w:r w:rsidR="00983108">
        <w:rPr>
          <w:noProof/>
        </w:rPr>
        <w:t>57</w:t>
      </w:r>
      <w:r>
        <w:fldChar w:fldCharType="end"/>
      </w:r>
      <w:r>
        <w:t xml:space="preserve"> </w:t>
      </w:r>
      <w:r w:rsidRPr="008C2F28">
        <w:t>Répartition des patients utilisateurs de plantes selon leurs comportements d’observance thérapeutique.</w:t>
      </w:r>
      <w:bookmarkEnd w:id="180"/>
    </w:p>
    <w:p w14:paraId="6746F8E4" w14:textId="7CD98342" w:rsidR="00664D0A" w:rsidRPr="00664D0A" w:rsidRDefault="00664D0A" w:rsidP="0059682C">
      <w:pPr>
        <w:rPr>
          <w:lang w:val="fr-FR"/>
        </w:rPr>
      </w:pPr>
    </w:p>
    <w:p w14:paraId="28C73C97" w14:textId="77777777" w:rsidR="00664D0A" w:rsidRPr="00664D0A" w:rsidRDefault="00664D0A" w:rsidP="00B139C3">
      <w:pPr>
        <w:rPr>
          <w:lang w:val="fr-FR"/>
        </w:rPr>
      </w:pPr>
      <w:r w:rsidRPr="00664D0A">
        <w:rPr>
          <w:lang w:val="fr-FR"/>
        </w:rPr>
        <w:lastRenderedPageBreak/>
        <w:t>Chez les 90 patients diabétiques non-utilisateurs de la phytothérapie (dont 3 sous régime alimentaire sans traitement médicamenteux), les comportements de non-adhérence thérapeutique sont globalement moins fréquents. L’omission involontaire du traitement est observée chez 32,2% des patients (n=29), tandis que 67,8% ne présentent pas ce comportement. L’omission volontaire de la prise médicamenteuse concerne 16,7% des patients. L’arrêt en cas d’amélioration est rapporté chez 13,3% des patients, alors que 86,7% maintiennent leur traitement. L’arrêt en cas d’effets secondaires reste très faible (2,2%), et les difficultés liées à la complexité thérapeutique concernent 8,9% des patients.</w:t>
      </w:r>
    </w:p>
    <w:p w14:paraId="7E6C26B2" w14:textId="6A45C4DF" w:rsidR="00664D0A" w:rsidRPr="00664D0A" w:rsidRDefault="0005552C" w:rsidP="0005552C">
      <w:pPr>
        <w:rPr>
          <w:rFonts w:ascii="Times New Roman" w:eastAsia="Times New Roman" w:hAnsi="Times New Roman" w:cs="Times New Roman"/>
          <w:lang w:val="fr-FR" w:eastAsia="fr-FR"/>
        </w:rPr>
      </w:pPr>
      <w:r>
        <w:rPr>
          <w:rFonts w:ascii="Times New Roman" w:eastAsia="Times New Roman" w:hAnsi="Times New Roman" w:cs="Times New Roman"/>
          <w:sz w:val="27"/>
          <w:szCs w:val="27"/>
          <w:lang w:val="fr-FR" w:eastAsia="fr-FR"/>
        </w:rPr>
        <w:t xml:space="preserve"> </w:t>
      </w:r>
    </w:p>
    <w:p w14:paraId="39086E29" w14:textId="79DC0EAA" w:rsidR="0005552C" w:rsidRDefault="0005552C" w:rsidP="0005552C">
      <w:pPr>
        <w:pStyle w:val="Caption"/>
        <w:keepNext/>
      </w:pPr>
      <w:bookmarkStart w:id="181" w:name="_Toc229617383"/>
      <w:r>
        <w:t xml:space="preserve">Tableau </w:t>
      </w:r>
      <w:r>
        <w:fldChar w:fldCharType="begin"/>
      </w:r>
      <w:r>
        <w:instrText xml:space="preserve"> SEQ Tableau \* ARABIC </w:instrText>
      </w:r>
      <w:r>
        <w:fldChar w:fldCharType="separate"/>
      </w:r>
      <w:r w:rsidR="00983108">
        <w:rPr>
          <w:noProof/>
        </w:rPr>
        <w:t>22</w:t>
      </w:r>
      <w:r>
        <w:fldChar w:fldCharType="end"/>
      </w:r>
      <w:r>
        <w:t xml:space="preserve"> </w:t>
      </w:r>
      <w:r w:rsidRPr="009E086C">
        <w:t>Répartition de l’adhérence thérapeutique chez les non utilisateurs</w:t>
      </w:r>
      <w:bookmarkEnd w:id="181"/>
    </w:p>
    <w:tbl>
      <w:tblPr>
        <w:tblW w:w="9698" w:type="dxa"/>
        <w:tblLook w:val="04A0" w:firstRow="1" w:lastRow="0" w:firstColumn="1" w:lastColumn="0" w:noHBand="0" w:noVBand="1"/>
      </w:tblPr>
      <w:tblGrid>
        <w:gridCol w:w="4001"/>
        <w:gridCol w:w="1037"/>
        <w:gridCol w:w="1119"/>
        <w:gridCol w:w="1106"/>
        <w:gridCol w:w="1190"/>
        <w:gridCol w:w="1245"/>
      </w:tblGrid>
      <w:tr w:rsidR="00664D0A" w:rsidRPr="00C96D25" w14:paraId="16563533" w14:textId="77777777" w:rsidTr="00784D29">
        <w:trPr>
          <w:trHeight w:val="518"/>
        </w:trPr>
        <w:tc>
          <w:tcPr>
            <w:tcW w:w="0" w:type="auto"/>
            <w:hideMark/>
          </w:tcPr>
          <w:p w14:paraId="16158390"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Comportement lié à l'observance</w:t>
            </w:r>
          </w:p>
        </w:tc>
        <w:tc>
          <w:tcPr>
            <w:tcW w:w="0" w:type="auto"/>
            <w:hideMark/>
          </w:tcPr>
          <w:p w14:paraId="5264D965"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Oui (n)</w:t>
            </w:r>
          </w:p>
        </w:tc>
        <w:tc>
          <w:tcPr>
            <w:tcW w:w="0" w:type="auto"/>
            <w:hideMark/>
          </w:tcPr>
          <w:p w14:paraId="01F4C65F"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Oui (%)</w:t>
            </w:r>
          </w:p>
        </w:tc>
        <w:tc>
          <w:tcPr>
            <w:tcW w:w="0" w:type="auto"/>
            <w:hideMark/>
          </w:tcPr>
          <w:p w14:paraId="266AD359"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Non (n)</w:t>
            </w:r>
          </w:p>
        </w:tc>
        <w:tc>
          <w:tcPr>
            <w:tcW w:w="0" w:type="auto"/>
            <w:hideMark/>
          </w:tcPr>
          <w:p w14:paraId="6B3AD6F2"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Non (%)</w:t>
            </w:r>
          </w:p>
        </w:tc>
        <w:tc>
          <w:tcPr>
            <w:tcW w:w="0" w:type="auto"/>
            <w:hideMark/>
          </w:tcPr>
          <w:p w14:paraId="4B54FC0C"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Total (N)</w:t>
            </w:r>
          </w:p>
        </w:tc>
      </w:tr>
      <w:tr w:rsidR="00664D0A" w:rsidRPr="00C96D25" w14:paraId="47730D83" w14:textId="77777777" w:rsidTr="00784D29">
        <w:trPr>
          <w:trHeight w:val="518"/>
        </w:trPr>
        <w:tc>
          <w:tcPr>
            <w:tcW w:w="0" w:type="auto"/>
            <w:hideMark/>
          </w:tcPr>
          <w:p w14:paraId="04439B08" w14:textId="77777777" w:rsidR="00664D0A" w:rsidRPr="00C5177C" w:rsidRDefault="00664D0A" w:rsidP="00B139C3">
            <w:pPr>
              <w:rPr>
                <w:rFonts w:ascii="Arial" w:eastAsia="Times New Roman" w:hAnsi="Arial" w:cs="Arial"/>
                <w:sz w:val="20"/>
                <w:szCs w:val="20"/>
                <w:lang w:val="fr-FR" w:eastAsia="fr-FR"/>
              </w:rPr>
            </w:pPr>
            <w:r w:rsidRPr="00C5177C">
              <w:rPr>
                <w:rFonts w:ascii="Arial" w:eastAsia="Times New Roman" w:hAnsi="Arial" w:cs="Arial"/>
                <w:sz w:val="20"/>
                <w:szCs w:val="20"/>
                <w:lang w:val="fr-FR" w:eastAsia="fr-FR"/>
              </w:rPr>
              <w:t>Arrêt du traitement en cas d’oubli</w:t>
            </w:r>
          </w:p>
        </w:tc>
        <w:tc>
          <w:tcPr>
            <w:tcW w:w="0" w:type="auto"/>
            <w:hideMark/>
          </w:tcPr>
          <w:p w14:paraId="309F298B"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29</w:t>
            </w:r>
          </w:p>
        </w:tc>
        <w:tc>
          <w:tcPr>
            <w:tcW w:w="0" w:type="auto"/>
            <w:hideMark/>
          </w:tcPr>
          <w:p w14:paraId="650996B4"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32,2 %</w:t>
            </w:r>
          </w:p>
        </w:tc>
        <w:tc>
          <w:tcPr>
            <w:tcW w:w="0" w:type="auto"/>
            <w:hideMark/>
          </w:tcPr>
          <w:p w14:paraId="3BE77618"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61</w:t>
            </w:r>
          </w:p>
        </w:tc>
        <w:tc>
          <w:tcPr>
            <w:tcW w:w="0" w:type="auto"/>
            <w:hideMark/>
          </w:tcPr>
          <w:p w14:paraId="39AA567A"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67,8 %</w:t>
            </w:r>
          </w:p>
        </w:tc>
        <w:tc>
          <w:tcPr>
            <w:tcW w:w="0" w:type="auto"/>
            <w:hideMark/>
          </w:tcPr>
          <w:p w14:paraId="56C46567"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90</w:t>
            </w:r>
          </w:p>
        </w:tc>
      </w:tr>
      <w:tr w:rsidR="00664D0A" w:rsidRPr="00C96D25" w14:paraId="3F588C01" w14:textId="77777777" w:rsidTr="00784D29">
        <w:trPr>
          <w:trHeight w:val="518"/>
        </w:trPr>
        <w:tc>
          <w:tcPr>
            <w:tcW w:w="0" w:type="auto"/>
            <w:hideMark/>
          </w:tcPr>
          <w:p w14:paraId="23DA466A"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Omission volontaire du traitement</w:t>
            </w:r>
          </w:p>
        </w:tc>
        <w:tc>
          <w:tcPr>
            <w:tcW w:w="0" w:type="auto"/>
            <w:hideMark/>
          </w:tcPr>
          <w:p w14:paraId="07CC1299"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15</w:t>
            </w:r>
          </w:p>
        </w:tc>
        <w:tc>
          <w:tcPr>
            <w:tcW w:w="0" w:type="auto"/>
            <w:hideMark/>
          </w:tcPr>
          <w:p w14:paraId="3AF23300"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16,7 %</w:t>
            </w:r>
          </w:p>
        </w:tc>
        <w:tc>
          <w:tcPr>
            <w:tcW w:w="0" w:type="auto"/>
            <w:hideMark/>
          </w:tcPr>
          <w:p w14:paraId="789B6269"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75</w:t>
            </w:r>
          </w:p>
        </w:tc>
        <w:tc>
          <w:tcPr>
            <w:tcW w:w="0" w:type="auto"/>
            <w:hideMark/>
          </w:tcPr>
          <w:p w14:paraId="7C1B470F"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83,3 %</w:t>
            </w:r>
          </w:p>
        </w:tc>
        <w:tc>
          <w:tcPr>
            <w:tcW w:w="0" w:type="auto"/>
            <w:hideMark/>
          </w:tcPr>
          <w:p w14:paraId="3D820076"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90</w:t>
            </w:r>
          </w:p>
        </w:tc>
      </w:tr>
      <w:tr w:rsidR="00664D0A" w:rsidRPr="00C96D25" w14:paraId="0ADB61C4" w14:textId="77777777" w:rsidTr="00784D29">
        <w:trPr>
          <w:trHeight w:val="518"/>
        </w:trPr>
        <w:tc>
          <w:tcPr>
            <w:tcW w:w="0" w:type="auto"/>
            <w:hideMark/>
          </w:tcPr>
          <w:p w14:paraId="42FFD3BC"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Arrêt en cas d’amélioration</w:t>
            </w:r>
          </w:p>
        </w:tc>
        <w:tc>
          <w:tcPr>
            <w:tcW w:w="0" w:type="auto"/>
            <w:hideMark/>
          </w:tcPr>
          <w:p w14:paraId="6B6AB72D"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12</w:t>
            </w:r>
          </w:p>
        </w:tc>
        <w:tc>
          <w:tcPr>
            <w:tcW w:w="0" w:type="auto"/>
            <w:hideMark/>
          </w:tcPr>
          <w:p w14:paraId="7802180E"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13,3 %</w:t>
            </w:r>
          </w:p>
        </w:tc>
        <w:tc>
          <w:tcPr>
            <w:tcW w:w="0" w:type="auto"/>
            <w:hideMark/>
          </w:tcPr>
          <w:p w14:paraId="0361C1B5"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78</w:t>
            </w:r>
          </w:p>
        </w:tc>
        <w:tc>
          <w:tcPr>
            <w:tcW w:w="0" w:type="auto"/>
            <w:hideMark/>
          </w:tcPr>
          <w:p w14:paraId="5850F087"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86,7 %</w:t>
            </w:r>
          </w:p>
        </w:tc>
        <w:tc>
          <w:tcPr>
            <w:tcW w:w="0" w:type="auto"/>
            <w:hideMark/>
          </w:tcPr>
          <w:p w14:paraId="34285897"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90</w:t>
            </w:r>
          </w:p>
        </w:tc>
      </w:tr>
      <w:tr w:rsidR="00664D0A" w:rsidRPr="00C96D25" w14:paraId="7BC54546" w14:textId="77777777" w:rsidTr="00784D29">
        <w:trPr>
          <w:trHeight w:val="518"/>
        </w:trPr>
        <w:tc>
          <w:tcPr>
            <w:tcW w:w="0" w:type="auto"/>
            <w:hideMark/>
          </w:tcPr>
          <w:p w14:paraId="1D424591" w14:textId="77777777" w:rsidR="00664D0A" w:rsidRPr="00C5177C" w:rsidRDefault="00664D0A" w:rsidP="00B139C3">
            <w:pPr>
              <w:rPr>
                <w:rFonts w:ascii="Arial" w:eastAsia="Times New Roman" w:hAnsi="Arial" w:cs="Arial"/>
                <w:sz w:val="20"/>
                <w:szCs w:val="20"/>
                <w:lang w:val="fr-FR" w:eastAsia="fr-FR"/>
              </w:rPr>
            </w:pPr>
            <w:r w:rsidRPr="00C5177C">
              <w:rPr>
                <w:rFonts w:ascii="Arial" w:eastAsia="Times New Roman" w:hAnsi="Arial" w:cs="Arial"/>
                <w:sz w:val="20"/>
                <w:szCs w:val="20"/>
                <w:lang w:val="fr-FR" w:eastAsia="fr-FR"/>
              </w:rPr>
              <w:t>Arrêt en cas d’effets secondaires</w:t>
            </w:r>
          </w:p>
        </w:tc>
        <w:tc>
          <w:tcPr>
            <w:tcW w:w="0" w:type="auto"/>
            <w:hideMark/>
          </w:tcPr>
          <w:p w14:paraId="12738958"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2</w:t>
            </w:r>
          </w:p>
        </w:tc>
        <w:tc>
          <w:tcPr>
            <w:tcW w:w="0" w:type="auto"/>
            <w:hideMark/>
          </w:tcPr>
          <w:p w14:paraId="7568BB40"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2,2 %</w:t>
            </w:r>
          </w:p>
        </w:tc>
        <w:tc>
          <w:tcPr>
            <w:tcW w:w="0" w:type="auto"/>
            <w:hideMark/>
          </w:tcPr>
          <w:p w14:paraId="4DE46EA0"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88</w:t>
            </w:r>
          </w:p>
        </w:tc>
        <w:tc>
          <w:tcPr>
            <w:tcW w:w="0" w:type="auto"/>
            <w:hideMark/>
          </w:tcPr>
          <w:p w14:paraId="4F74CB03"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97,8 %</w:t>
            </w:r>
          </w:p>
        </w:tc>
        <w:tc>
          <w:tcPr>
            <w:tcW w:w="0" w:type="auto"/>
            <w:hideMark/>
          </w:tcPr>
          <w:p w14:paraId="4E9D1897"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90</w:t>
            </w:r>
          </w:p>
        </w:tc>
      </w:tr>
      <w:tr w:rsidR="00664D0A" w:rsidRPr="00C96D25" w14:paraId="7EBE4EBF" w14:textId="77777777" w:rsidTr="00784D29">
        <w:trPr>
          <w:trHeight w:val="518"/>
        </w:trPr>
        <w:tc>
          <w:tcPr>
            <w:tcW w:w="0" w:type="auto"/>
            <w:hideMark/>
          </w:tcPr>
          <w:p w14:paraId="59FF8843" w14:textId="77777777" w:rsidR="00664D0A" w:rsidRPr="00C5177C" w:rsidRDefault="00664D0A" w:rsidP="00B139C3">
            <w:pPr>
              <w:rPr>
                <w:rFonts w:ascii="Arial" w:eastAsia="Times New Roman" w:hAnsi="Arial" w:cs="Arial"/>
                <w:sz w:val="20"/>
                <w:szCs w:val="20"/>
                <w:lang w:val="fr-FR" w:eastAsia="fr-FR"/>
              </w:rPr>
            </w:pPr>
            <w:r w:rsidRPr="00C5177C">
              <w:rPr>
                <w:rFonts w:ascii="Arial" w:eastAsia="Times New Roman" w:hAnsi="Arial" w:cs="Arial"/>
                <w:sz w:val="20"/>
                <w:szCs w:val="20"/>
                <w:lang w:val="fr-FR" w:eastAsia="fr-FR"/>
              </w:rPr>
              <w:t>Difficulté liée à la complexité</w:t>
            </w:r>
          </w:p>
        </w:tc>
        <w:tc>
          <w:tcPr>
            <w:tcW w:w="0" w:type="auto"/>
            <w:hideMark/>
          </w:tcPr>
          <w:p w14:paraId="3B1B59AB"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8</w:t>
            </w:r>
          </w:p>
        </w:tc>
        <w:tc>
          <w:tcPr>
            <w:tcW w:w="0" w:type="auto"/>
            <w:hideMark/>
          </w:tcPr>
          <w:p w14:paraId="234BBB1B"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8,9 %</w:t>
            </w:r>
          </w:p>
        </w:tc>
        <w:tc>
          <w:tcPr>
            <w:tcW w:w="0" w:type="auto"/>
            <w:hideMark/>
          </w:tcPr>
          <w:p w14:paraId="2B55C750"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82</w:t>
            </w:r>
          </w:p>
        </w:tc>
        <w:tc>
          <w:tcPr>
            <w:tcW w:w="0" w:type="auto"/>
            <w:hideMark/>
          </w:tcPr>
          <w:p w14:paraId="14CC0D00"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91,1 %</w:t>
            </w:r>
          </w:p>
        </w:tc>
        <w:tc>
          <w:tcPr>
            <w:tcW w:w="0" w:type="auto"/>
            <w:hideMark/>
          </w:tcPr>
          <w:p w14:paraId="731B70AB" w14:textId="77777777" w:rsidR="00664D0A" w:rsidRPr="00C96D25" w:rsidRDefault="00664D0A" w:rsidP="00B139C3">
            <w:pPr>
              <w:rPr>
                <w:rFonts w:ascii="Arial" w:eastAsia="Times New Roman" w:hAnsi="Arial" w:cs="Arial"/>
                <w:sz w:val="20"/>
                <w:szCs w:val="20"/>
                <w:lang w:eastAsia="fr-FR"/>
              </w:rPr>
            </w:pPr>
            <w:r w:rsidRPr="00C96D25">
              <w:rPr>
                <w:rFonts w:ascii="Arial" w:eastAsia="Times New Roman" w:hAnsi="Arial" w:cs="Arial"/>
                <w:sz w:val="20"/>
                <w:szCs w:val="20"/>
                <w:lang w:eastAsia="fr-FR"/>
              </w:rPr>
              <w:t>90</w:t>
            </w:r>
          </w:p>
        </w:tc>
      </w:tr>
    </w:tbl>
    <w:p w14:paraId="65DFF4B0" w14:textId="77777777" w:rsidR="00664D0A" w:rsidRDefault="00664D0A" w:rsidP="00B139C3"/>
    <w:p w14:paraId="13E04B35" w14:textId="77777777" w:rsidR="0059682C" w:rsidRDefault="00664D0A" w:rsidP="0059682C">
      <w:pPr>
        <w:keepNext/>
      </w:pPr>
      <w:r>
        <w:rPr>
          <w:noProof/>
          <w:lang w:val="fr-FR" w:eastAsia="fr-FR"/>
        </w:rPr>
        <w:drawing>
          <wp:inline distT="0" distB="0" distL="0" distR="0" wp14:anchorId="3958B3CA" wp14:editId="1AF61DC2">
            <wp:extent cx="4572000" cy="27432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5BBAF527" w14:textId="22E68D4D" w:rsidR="00664D0A" w:rsidRDefault="0059682C" w:rsidP="0059682C">
      <w:pPr>
        <w:pStyle w:val="Caption"/>
      </w:pPr>
      <w:bookmarkStart w:id="182" w:name="_Toc229617347"/>
      <w:r>
        <w:t xml:space="preserve">Figure </w:t>
      </w:r>
      <w:r>
        <w:fldChar w:fldCharType="begin"/>
      </w:r>
      <w:r>
        <w:instrText xml:space="preserve"> SEQ Figure \* ARABIC </w:instrText>
      </w:r>
      <w:r>
        <w:fldChar w:fldCharType="separate"/>
      </w:r>
      <w:r w:rsidR="00983108">
        <w:rPr>
          <w:noProof/>
        </w:rPr>
        <w:t>58</w:t>
      </w:r>
      <w:r>
        <w:fldChar w:fldCharType="end"/>
      </w:r>
      <w:r>
        <w:t xml:space="preserve"> </w:t>
      </w:r>
      <w:r w:rsidRPr="00025E32">
        <w:t>Répartition de l’adhérence thérapeutique chez les non utilisateurs</w:t>
      </w:r>
      <w:bookmarkEnd w:id="182"/>
    </w:p>
    <w:p w14:paraId="1192A703" w14:textId="238C51F1" w:rsidR="00664D0A" w:rsidRPr="007277D4" w:rsidRDefault="00664D0A" w:rsidP="007277D4">
      <w:pPr>
        <w:rPr>
          <w:lang w:val="fr-FR"/>
        </w:rPr>
      </w:pPr>
      <w:r w:rsidRPr="00664D0A">
        <w:rPr>
          <w:lang w:val="fr-FR"/>
        </w:rPr>
        <w:t>Figure X : Répartition des patients non utilisateurs de plantes selon leurs comportements d’obser</w:t>
      </w:r>
      <w:r w:rsidR="007277D4">
        <w:rPr>
          <w:lang w:val="fr-FR"/>
        </w:rPr>
        <w:t>vance thérapeutique.</w:t>
      </w:r>
    </w:p>
    <w:p w14:paraId="421DC7C0" w14:textId="77777777" w:rsidR="00664D0A" w:rsidRPr="00664D0A" w:rsidRDefault="00664D0A" w:rsidP="00B139C3">
      <w:pPr>
        <w:rPr>
          <w:rFonts w:ascii="Times New Roman" w:eastAsia="Times New Roman" w:hAnsi="Times New Roman" w:cs="Times New Roman"/>
          <w:sz w:val="27"/>
          <w:szCs w:val="27"/>
          <w:lang w:val="fr-FR" w:eastAsia="fr-FR"/>
        </w:rPr>
      </w:pPr>
      <w:r w:rsidRPr="00664D0A">
        <w:rPr>
          <w:rFonts w:ascii="Times New Roman" w:eastAsia="Times New Roman" w:hAnsi="Times New Roman" w:cs="Times New Roman"/>
          <w:sz w:val="27"/>
          <w:szCs w:val="27"/>
          <w:lang w:val="fr-FR" w:eastAsia="fr-FR"/>
        </w:rPr>
        <w:t xml:space="preserve">Analyse </w:t>
      </w:r>
    </w:p>
    <w:p w14:paraId="0B84EA4B" w14:textId="77777777" w:rsidR="00664D0A" w:rsidRPr="00664D0A" w:rsidRDefault="00664D0A" w:rsidP="00B139C3">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lastRenderedPageBreak/>
        <w:t>La comparaison des deux groupes met en évidence des différences globales modérées mais constantes. Les utilisateurs de la phytothérapie présentent des taux plus élevés de non-adhérence pour plusieurs comportements, notamment l’arrêt du traitement en cas d’oubli (39,6% vs 32,2%) et l’omission volontaire de la prise médicamenteuse (17,4% vs 16,7%). Cette tendance pourrait refléter une perception différente de la nécessité du traitement conventionnel, possiblement influencée par le recours à la phytothérapie comme alternative ou complément thérapeutique.</w:t>
      </w:r>
    </w:p>
    <w:p w14:paraId="051CF50C" w14:textId="77777777" w:rsidR="00664D0A" w:rsidRPr="00664D0A" w:rsidRDefault="00664D0A" w:rsidP="00B139C3">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Cependant, certaines différences restent limitées, notamment pour l’arrêt en cas d’effets secondaires, bien que légèrement plus fréquent chez les utilisateurs (6,7% vs 2,2%). Globalement, les non-utilisateurs présentent une meilleure observance thérapeutique, suggérant un lien potentiel entre l’usage de la phytothérapie et un niveau légèrement réduit d’adhérence aux traitements conventionnels.</w:t>
      </w:r>
    </w:p>
    <w:p w14:paraId="42F190DF" w14:textId="470142E7" w:rsidR="00664D0A" w:rsidRPr="007277D4" w:rsidRDefault="00A33DED" w:rsidP="00B139C3">
      <w:pPr>
        <w:rPr>
          <w:rFonts w:ascii="Times New Roman" w:eastAsia="Times New Roman" w:hAnsi="Times New Roman" w:cs="Times New Roman"/>
          <w:b/>
          <w:bCs/>
          <w:sz w:val="36"/>
          <w:szCs w:val="36"/>
          <w:lang w:val="fr-FR" w:eastAsia="fr-FR"/>
        </w:rPr>
      </w:pPr>
      <w:r w:rsidRPr="007277D4">
        <w:rPr>
          <w:rFonts w:ascii="Times New Roman" w:eastAsia="Times New Roman" w:hAnsi="Times New Roman" w:cs="Times New Roman"/>
          <w:b/>
          <w:bCs/>
          <w:sz w:val="36"/>
          <w:szCs w:val="36"/>
          <w:lang w:val="fr-FR" w:eastAsia="fr-FR"/>
        </w:rPr>
        <w:t>12</w:t>
      </w:r>
      <w:r w:rsidR="00664D0A" w:rsidRPr="007277D4">
        <w:rPr>
          <w:rFonts w:ascii="Times New Roman" w:eastAsia="Times New Roman" w:hAnsi="Times New Roman" w:cs="Times New Roman"/>
          <w:b/>
          <w:bCs/>
          <w:sz w:val="36"/>
          <w:szCs w:val="36"/>
          <w:lang w:val="fr-FR" w:eastAsia="fr-FR"/>
        </w:rPr>
        <w:t xml:space="preserve">/ </w:t>
      </w:r>
      <w:r w:rsidR="0005552C">
        <w:rPr>
          <w:rFonts w:ascii="Times New Roman" w:eastAsia="Times New Roman" w:hAnsi="Times New Roman" w:cs="Times New Roman"/>
          <w:b/>
          <w:bCs/>
          <w:sz w:val="36"/>
          <w:szCs w:val="36"/>
          <w:lang w:val="fr-FR" w:eastAsia="fr-FR"/>
        </w:rPr>
        <w:t xml:space="preserve">repartition des patients selon </w:t>
      </w:r>
      <w:r w:rsidR="00664D0A" w:rsidRPr="007277D4">
        <w:rPr>
          <w:rFonts w:ascii="Times New Roman" w:eastAsia="Times New Roman" w:hAnsi="Times New Roman" w:cs="Times New Roman"/>
          <w:b/>
          <w:bCs/>
          <w:sz w:val="36"/>
          <w:szCs w:val="36"/>
          <w:lang w:val="fr-FR" w:eastAsia="fr-FR"/>
        </w:rPr>
        <w:t>Les complications</w:t>
      </w:r>
      <w:r w:rsidR="00CC1349" w:rsidRPr="007277D4">
        <w:rPr>
          <w:rFonts w:ascii="Times New Roman" w:eastAsia="Times New Roman" w:hAnsi="Times New Roman" w:cs="Times New Roman"/>
          <w:b/>
          <w:bCs/>
          <w:sz w:val="36"/>
          <w:szCs w:val="36"/>
          <w:lang w:val="fr-FR" w:eastAsia="fr-FR"/>
        </w:rPr>
        <w:t xml:space="preserve"> </w:t>
      </w:r>
    </w:p>
    <w:p w14:paraId="77350623" w14:textId="1ACB3D26" w:rsidR="00A33DED" w:rsidRPr="00664D0A" w:rsidRDefault="00A33DED" w:rsidP="00B139C3">
      <w:pPr>
        <w:rPr>
          <w:rFonts w:ascii="Times New Roman" w:eastAsia="Times New Roman" w:hAnsi="Times New Roman" w:cs="Times New Roman"/>
          <w:lang w:val="fr-FR" w:eastAsia="fr-FR"/>
        </w:rPr>
      </w:pPr>
      <w:r>
        <w:rPr>
          <w:rFonts w:ascii="Times New Roman" w:eastAsia="Times New Roman" w:hAnsi="Times New Roman" w:cs="Times New Roman"/>
          <w:sz w:val="36"/>
          <w:szCs w:val="36"/>
          <w:lang w:val="fr-FR" w:eastAsia="fr-FR"/>
        </w:rPr>
        <w:t>12-1/</w:t>
      </w:r>
      <w:r w:rsidRPr="00A33DED">
        <w:rPr>
          <w:rFonts w:ascii="Times New Roman" w:eastAsia="Times New Roman" w:hAnsi="Times New Roman" w:cs="Times New Roman"/>
          <w:sz w:val="36"/>
          <w:szCs w:val="36"/>
          <w:lang w:val="fr-FR" w:eastAsia="fr-FR"/>
        </w:rPr>
        <w:t xml:space="preserve"> </w:t>
      </w:r>
      <w:r>
        <w:rPr>
          <w:rFonts w:ascii="Times New Roman" w:eastAsia="Times New Roman" w:hAnsi="Times New Roman" w:cs="Times New Roman"/>
          <w:sz w:val="36"/>
          <w:szCs w:val="36"/>
          <w:lang w:val="fr-FR" w:eastAsia="fr-FR"/>
        </w:rPr>
        <w:t>aigues</w:t>
      </w:r>
      <w:r>
        <w:rPr>
          <w:rFonts w:ascii="Times New Roman" w:eastAsia="Times New Roman" w:hAnsi="Times New Roman" w:cs="Times New Roman"/>
          <w:lang w:val="fr-FR" w:eastAsia="fr-FR"/>
        </w:rPr>
        <w:t> :</w:t>
      </w:r>
    </w:p>
    <w:p w14:paraId="2145E5B8" w14:textId="77777777" w:rsidR="00CC1349" w:rsidRPr="00F96B82" w:rsidRDefault="00CC1349" w:rsidP="00B139C3">
      <w:pPr>
        <w:rPr>
          <w:sz w:val="28"/>
          <w:szCs w:val="28"/>
          <w:lang w:val="fr-FR"/>
        </w:rPr>
      </w:pPr>
      <w:proofErr w:type="gramStart"/>
      <w:r w:rsidRPr="00F96B82">
        <w:rPr>
          <w:sz w:val="28"/>
          <w:szCs w:val="28"/>
          <w:lang w:val="fr-FR"/>
        </w:rPr>
        <w:t>discription</w:t>
      </w:r>
      <w:proofErr w:type="gramEnd"/>
      <w:r w:rsidRPr="00F96B82">
        <w:rPr>
          <w:sz w:val="28"/>
          <w:szCs w:val="28"/>
          <w:lang w:val="fr-FR"/>
        </w:rPr>
        <w:t xml:space="preserve"> :</w:t>
      </w:r>
    </w:p>
    <w:p w14:paraId="118A7620" w14:textId="77777777" w:rsidR="00CC1349" w:rsidRPr="00F96B82" w:rsidRDefault="00CC1349" w:rsidP="00B139C3">
      <w:pPr>
        <w:rPr>
          <w:lang w:val="fr-FR"/>
        </w:rPr>
      </w:pPr>
      <w:r w:rsidRPr="00F96B82">
        <w:rPr>
          <w:lang w:val="fr-FR"/>
        </w:rPr>
        <w:t>L'acidocétose diabétique représente la complication aiguë la plus fréquente dans les deux groupes. Elle a été observée chez 30 patients utilisateurs de phytothérapie, soit 22,6 % de ce groupe, contre 23 patients non-utilisateurs, représentant 30,7 % de leur groupe. Les utilisateurs de plantes médicinales présentent ainsi une proportion d'acidocétose inférieure de 8,1 points de pourcentage par rapport aux non-utilisateurs.</w:t>
      </w:r>
    </w:p>
    <w:p w14:paraId="07E25889" w14:textId="77777777" w:rsidR="00CC1349" w:rsidRPr="00F96B82" w:rsidRDefault="00CC1349" w:rsidP="00B139C3">
      <w:pPr>
        <w:rPr>
          <w:lang w:val="fr-FR"/>
        </w:rPr>
      </w:pPr>
      <w:r w:rsidRPr="00F96B82">
        <w:rPr>
          <w:lang w:val="fr-FR"/>
        </w:rPr>
        <w:t>L'hypoglycémie, en revanche, suit un profil inversé : elle a été relevée chez 16 patients utilisateurs (12,0 %), contre 6 patients non-utilisateurs (8,0 %), soit une proportion plus élevée dans le groupe phytothérapie, avec un écart de 4 points de pourcentage.</w:t>
      </w:r>
    </w:p>
    <w:p w14:paraId="6A1DF136" w14:textId="5D63D7FF" w:rsidR="0005552C" w:rsidRDefault="0005552C" w:rsidP="0005552C">
      <w:pPr>
        <w:pStyle w:val="Caption"/>
        <w:keepNext/>
      </w:pPr>
      <w:bookmarkStart w:id="183" w:name="_Toc229617384"/>
      <w:r>
        <w:t xml:space="preserve">Tableau </w:t>
      </w:r>
      <w:r>
        <w:fldChar w:fldCharType="begin"/>
      </w:r>
      <w:r>
        <w:instrText xml:space="preserve"> SEQ Tableau \* ARABIC </w:instrText>
      </w:r>
      <w:r>
        <w:fldChar w:fldCharType="separate"/>
      </w:r>
      <w:r w:rsidR="00983108">
        <w:rPr>
          <w:noProof/>
        </w:rPr>
        <w:t>23</w:t>
      </w:r>
      <w:r>
        <w:fldChar w:fldCharType="end"/>
      </w:r>
      <w:r>
        <w:t xml:space="preserve"> </w:t>
      </w:r>
      <w:r w:rsidRPr="002E5D8A">
        <w:t>repartition des patients selon Les complications</w:t>
      </w:r>
      <w:r>
        <w:t xml:space="preserve"> aigues</w:t>
      </w:r>
      <w:bookmarkEnd w:id="183"/>
    </w:p>
    <w:tbl>
      <w:tblPr>
        <w:tblStyle w:val="PlainTable1"/>
        <w:tblW w:w="9781" w:type="dxa"/>
        <w:tblLook w:val="04A0" w:firstRow="1" w:lastRow="0" w:firstColumn="1" w:lastColumn="0" w:noHBand="0" w:noVBand="1"/>
      </w:tblPr>
      <w:tblGrid>
        <w:gridCol w:w="1998"/>
        <w:gridCol w:w="2048"/>
        <w:gridCol w:w="2113"/>
        <w:gridCol w:w="1778"/>
        <w:gridCol w:w="1844"/>
      </w:tblGrid>
      <w:tr w:rsidR="00CC1349" w:rsidRPr="007A0793" w14:paraId="1F2381DE" w14:textId="77777777" w:rsidTr="000555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6B2802" w14:textId="77777777" w:rsidR="00CC1349" w:rsidRPr="007A0793" w:rsidRDefault="00CC1349" w:rsidP="00B139C3">
            <w:pPr>
              <w:rPr>
                <w:rFonts w:ascii="Segoe UI" w:eastAsia="Times New Roman" w:hAnsi="Segoe UI" w:cs="Segoe UI"/>
                <w:color w:val="000000"/>
                <w:sz w:val="18"/>
                <w:szCs w:val="18"/>
                <w:lang w:eastAsia="fr-FR"/>
              </w:rPr>
            </w:pPr>
            <w:proofErr w:type="gramStart"/>
            <w:r>
              <w:rPr>
                <w:rFonts w:ascii="Segoe UI" w:eastAsia="Times New Roman" w:hAnsi="Segoe UI" w:cs="Segoe UI"/>
                <w:color w:val="000000"/>
                <w:sz w:val="18"/>
                <w:szCs w:val="18"/>
                <w:lang w:eastAsia="fr-FR"/>
              </w:rPr>
              <w:t>c</w:t>
            </w:r>
            <w:r w:rsidRPr="007A0793">
              <w:rPr>
                <w:rFonts w:ascii="Segoe UI" w:eastAsia="Times New Roman" w:hAnsi="Segoe UI" w:cs="Segoe UI"/>
                <w:color w:val="000000"/>
                <w:sz w:val="18"/>
                <w:szCs w:val="18"/>
                <w:lang w:eastAsia="fr-FR"/>
              </w:rPr>
              <w:t>omplication</w:t>
            </w:r>
            <w:proofErr w:type="gramEnd"/>
          </w:p>
        </w:tc>
        <w:tc>
          <w:tcPr>
            <w:tcW w:w="0" w:type="auto"/>
            <w:hideMark/>
          </w:tcPr>
          <w:p w14:paraId="56EA9CF5" w14:textId="77777777" w:rsidR="00CC1349" w:rsidRPr="007A0793" w:rsidRDefault="00CC1349" w:rsidP="00B139C3">
            <w:pP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Utilisateurs (n)</w:t>
            </w:r>
          </w:p>
        </w:tc>
        <w:tc>
          <w:tcPr>
            <w:tcW w:w="0" w:type="auto"/>
            <w:hideMark/>
          </w:tcPr>
          <w:p w14:paraId="019440BE" w14:textId="77777777" w:rsidR="00CC1349" w:rsidRPr="007A0793" w:rsidRDefault="00CC1349" w:rsidP="00B139C3">
            <w:pP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Utilisateurs (%)</w:t>
            </w:r>
          </w:p>
        </w:tc>
        <w:tc>
          <w:tcPr>
            <w:tcW w:w="0" w:type="auto"/>
            <w:hideMark/>
          </w:tcPr>
          <w:p w14:paraId="2F84756B" w14:textId="77777777" w:rsidR="00CC1349" w:rsidRPr="007A0793" w:rsidRDefault="00CC1349" w:rsidP="00B139C3">
            <w:pP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Non-util. (</w:t>
            </w:r>
            <w:proofErr w:type="gramStart"/>
            <w:r w:rsidRPr="007A0793">
              <w:rPr>
                <w:rFonts w:ascii="Segoe UI" w:eastAsia="Times New Roman" w:hAnsi="Segoe UI" w:cs="Segoe UI"/>
                <w:color w:val="000000"/>
                <w:sz w:val="18"/>
                <w:szCs w:val="18"/>
                <w:lang w:eastAsia="fr-FR"/>
              </w:rPr>
              <w:t>n</w:t>
            </w:r>
            <w:proofErr w:type="gramEnd"/>
            <w:r w:rsidRPr="007A0793">
              <w:rPr>
                <w:rFonts w:ascii="Segoe UI" w:eastAsia="Times New Roman" w:hAnsi="Segoe UI" w:cs="Segoe UI"/>
                <w:color w:val="000000"/>
                <w:sz w:val="18"/>
                <w:szCs w:val="18"/>
                <w:lang w:eastAsia="fr-FR"/>
              </w:rPr>
              <w:t>)</w:t>
            </w:r>
          </w:p>
        </w:tc>
        <w:tc>
          <w:tcPr>
            <w:tcW w:w="0" w:type="auto"/>
            <w:hideMark/>
          </w:tcPr>
          <w:p w14:paraId="07994CC9" w14:textId="77777777" w:rsidR="00CC1349" w:rsidRPr="007A0793" w:rsidRDefault="00CC1349" w:rsidP="00B139C3">
            <w:pP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Non-util. (%)</w:t>
            </w:r>
          </w:p>
        </w:tc>
      </w:tr>
      <w:tr w:rsidR="00CC1349" w:rsidRPr="007A0793" w14:paraId="1BA23F99" w14:textId="77777777" w:rsidTr="000555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39DE61" w14:textId="77777777" w:rsidR="00CC1349" w:rsidRPr="007A0793" w:rsidRDefault="00CC1349" w:rsidP="00B139C3">
            <w:pPr>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Acidocétose</w:t>
            </w:r>
          </w:p>
        </w:tc>
        <w:tc>
          <w:tcPr>
            <w:tcW w:w="0" w:type="auto"/>
            <w:hideMark/>
          </w:tcPr>
          <w:p w14:paraId="3714FE53" w14:textId="77777777" w:rsidR="00CC1349" w:rsidRPr="007A0793" w:rsidRDefault="00CC1349" w:rsidP="00B139C3">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30</w:t>
            </w:r>
          </w:p>
        </w:tc>
        <w:tc>
          <w:tcPr>
            <w:tcW w:w="0" w:type="auto"/>
            <w:hideMark/>
          </w:tcPr>
          <w:p w14:paraId="3B6D987F" w14:textId="77777777" w:rsidR="00CC1349" w:rsidRPr="007A0793" w:rsidRDefault="00CC1349" w:rsidP="00B139C3">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22,6 %</w:t>
            </w:r>
          </w:p>
        </w:tc>
        <w:tc>
          <w:tcPr>
            <w:tcW w:w="0" w:type="auto"/>
            <w:hideMark/>
          </w:tcPr>
          <w:p w14:paraId="7680164D" w14:textId="77777777" w:rsidR="00CC1349" w:rsidRPr="007A0793" w:rsidRDefault="00CC1349" w:rsidP="00B139C3">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23</w:t>
            </w:r>
          </w:p>
        </w:tc>
        <w:tc>
          <w:tcPr>
            <w:tcW w:w="0" w:type="auto"/>
            <w:hideMark/>
          </w:tcPr>
          <w:p w14:paraId="2AE483D5" w14:textId="77777777" w:rsidR="00CC1349" w:rsidRPr="007A0793" w:rsidRDefault="00CC1349" w:rsidP="00B139C3">
            <w:p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30,7 %</w:t>
            </w:r>
          </w:p>
        </w:tc>
      </w:tr>
      <w:tr w:rsidR="00CC1349" w:rsidRPr="007A0793" w14:paraId="29BFAE96" w14:textId="77777777" w:rsidTr="0005552C">
        <w:tc>
          <w:tcPr>
            <w:cnfStyle w:val="001000000000" w:firstRow="0" w:lastRow="0" w:firstColumn="1" w:lastColumn="0" w:oddVBand="0" w:evenVBand="0" w:oddHBand="0" w:evenHBand="0" w:firstRowFirstColumn="0" w:firstRowLastColumn="0" w:lastRowFirstColumn="0" w:lastRowLastColumn="0"/>
            <w:tcW w:w="0" w:type="auto"/>
            <w:hideMark/>
          </w:tcPr>
          <w:p w14:paraId="3A6E936B" w14:textId="77777777" w:rsidR="00CC1349" w:rsidRPr="007A0793" w:rsidRDefault="00CC1349" w:rsidP="00B139C3">
            <w:pPr>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Hypoglycémie</w:t>
            </w:r>
          </w:p>
        </w:tc>
        <w:tc>
          <w:tcPr>
            <w:tcW w:w="0" w:type="auto"/>
            <w:hideMark/>
          </w:tcPr>
          <w:p w14:paraId="3F1A4A9C" w14:textId="77777777" w:rsidR="00CC1349" w:rsidRPr="007A0793" w:rsidRDefault="00CC1349" w:rsidP="00B1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16</w:t>
            </w:r>
          </w:p>
        </w:tc>
        <w:tc>
          <w:tcPr>
            <w:tcW w:w="0" w:type="auto"/>
            <w:hideMark/>
          </w:tcPr>
          <w:p w14:paraId="6EAD1B3C" w14:textId="77777777" w:rsidR="00CC1349" w:rsidRPr="007A0793" w:rsidRDefault="00CC1349" w:rsidP="00B1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12,0 %</w:t>
            </w:r>
          </w:p>
        </w:tc>
        <w:tc>
          <w:tcPr>
            <w:tcW w:w="0" w:type="auto"/>
            <w:hideMark/>
          </w:tcPr>
          <w:p w14:paraId="01FAC177" w14:textId="77777777" w:rsidR="00CC1349" w:rsidRPr="007A0793" w:rsidRDefault="00CC1349" w:rsidP="00B1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6</w:t>
            </w:r>
          </w:p>
        </w:tc>
        <w:tc>
          <w:tcPr>
            <w:tcW w:w="0" w:type="auto"/>
            <w:hideMark/>
          </w:tcPr>
          <w:p w14:paraId="0BDC9EAB" w14:textId="77777777" w:rsidR="00CC1349" w:rsidRPr="007A0793" w:rsidRDefault="00CC1349" w:rsidP="00B139C3">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sz w:val="18"/>
                <w:szCs w:val="18"/>
                <w:lang w:eastAsia="fr-FR"/>
              </w:rPr>
            </w:pPr>
            <w:r w:rsidRPr="007A0793">
              <w:rPr>
                <w:rFonts w:ascii="Segoe UI" w:eastAsia="Times New Roman" w:hAnsi="Segoe UI" w:cs="Segoe UI"/>
                <w:color w:val="000000"/>
                <w:sz w:val="18"/>
                <w:szCs w:val="18"/>
                <w:lang w:eastAsia="fr-FR"/>
              </w:rPr>
              <w:t>8,0 %</w:t>
            </w:r>
          </w:p>
        </w:tc>
      </w:tr>
    </w:tbl>
    <w:p w14:paraId="39997E42" w14:textId="77777777" w:rsidR="00CC1349" w:rsidRDefault="00CC1349" w:rsidP="00B139C3"/>
    <w:p w14:paraId="508D8966" w14:textId="5095341A" w:rsidR="00CC1349" w:rsidRPr="007A0793" w:rsidRDefault="00CC1349" w:rsidP="00B139C3">
      <w:pPr>
        <w:rPr>
          <w:rFonts w:ascii="Times New Roman" w:eastAsia="Times New Roman" w:hAnsi="Times New Roman" w:cs="Times New Roman"/>
          <w:sz w:val="27"/>
          <w:szCs w:val="27"/>
          <w:lang w:eastAsia="fr-FR"/>
        </w:rPr>
      </w:pPr>
      <w:r w:rsidRPr="007A0793">
        <w:rPr>
          <w:rFonts w:ascii="Times New Roman" w:eastAsia="Times New Roman" w:hAnsi="Times New Roman" w:cs="Times New Roman"/>
          <w:sz w:val="27"/>
          <w:szCs w:val="27"/>
          <w:lang w:eastAsia="fr-FR"/>
        </w:rPr>
        <w:t>Analyse</w:t>
      </w:r>
      <w:r>
        <w:rPr>
          <w:rFonts w:ascii="Times New Roman" w:eastAsia="Times New Roman" w:hAnsi="Times New Roman" w:cs="Times New Roman"/>
          <w:sz w:val="27"/>
          <w:szCs w:val="27"/>
          <w:lang w:eastAsia="fr-FR"/>
        </w:rPr>
        <w:t>:</w:t>
      </w:r>
    </w:p>
    <w:p w14:paraId="60DCE0EC" w14:textId="77777777" w:rsidR="00CC1349" w:rsidRPr="00CC1349" w:rsidRDefault="00CC1349" w:rsidP="00B139C3">
      <w:pPr>
        <w:rPr>
          <w:rFonts w:ascii="Times New Roman" w:eastAsia="Times New Roman" w:hAnsi="Times New Roman" w:cs="Times New Roman"/>
          <w:lang w:val="fr-FR" w:eastAsia="fr-FR"/>
        </w:rPr>
      </w:pPr>
      <w:r w:rsidRPr="00CC1349">
        <w:rPr>
          <w:rFonts w:ascii="Times New Roman" w:eastAsia="Times New Roman" w:hAnsi="Times New Roman" w:cs="Times New Roman"/>
          <w:lang w:val="fr-FR" w:eastAsia="fr-FR"/>
        </w:rPr>
        <w:t>Les résultats relatifs à l'acidocétose s'inscrivent dans la continuité de la tendance glycémique globale observée dans notre étude : les utilisateurs de phytothérapie présentent une proportion plus faible de cette complication hyperglycémique sévère. Cela pourrait être en lien avec le léger meilleur équilibre glycémique relatif constaté dans ce groupe (HbA1c &gt; 7 % chez 51,9 % des utilisateurs contre 65,3 % des non-utilisateurs), les propriétés hypoglycémiantes de certaines plantes traditionnellement utilisées pouvant contribuer à limiter les épisodes d'hyperglycémie majeure. Toutefois, en l'absence de test statistique significatif sur cette variable, cette différence doit être interprétée avec prudence.</w:t>
      </w:r>
    </w:p>
    <w:p w14:paraId="14ADB9E5" w14:textId="77777777" w:rsidR="00CC1349" w:rsidRPr="00CC1349" w:rsidRDefault="00CC1349" w:rsidP="00B139C3">
      <w:pPr>
        <w:rPr>
          <w:rFonts w:ascii="Times New Roman" w:eastAsia="Times New Roman" w:hAnsi="Times New Roman" w:cs="Times New Roman"/>
          <w:lang w:val="fr-FR" w:eastAsia="fr-FR"/>
        </w:rPr>
      </w:pPr>
      <w:r w:rsidRPr="00CC1349">
        <w:rPr>
          <w:rFonts w:ascii="Times New Roman" w:eastAsia="Times New Roman" w:hAnsi="Times New Roman" w:cs="Times New Roman"/>
          <w:lang w:val="fr-FR" w:eastAsia="fr-FR"/>
        </w:rPr>
        <w:lastRenderedPageBreak/>
        <w:t>À l'inverse, la proportion plus élevée d'hypoglycémies chez les utilisateurs de phytothérapie (12,0 % contre 8,0 %) mérite une attention particulière. Ce résultat suggère que l'association entre certaines plantes à effet hypoglycémiant et le traitement antidiabétique conventionnel — notamment les sulfamides hypoglycémiants ou l'insuline — pourrait potentialiser l'effet hypoglycémiant global et majorer le risque d'hypoglycémie. Ce phénomène d'interaction plante-médicament est documenté dans la littérature pour plusieurs espèces végétales couramment utilisées dans le diabète de type 2, telles que le fenugrec, le nigelle ou l'aloès, dont les principes actifs peuvent interférer avec les voies métaboliques du glucose.</w:t>
      </w:r>
    </w:p>
    <w:p w14:paraId="67C138D7" w14:textId="77777777" w:rsidR="00CC1349" w:rsidRPr="00CC1349" w:rsidRDefault="00CC1349" w:rsidP="00B139C3">
      <w:pPr>
        <w:rPr>
          <w:rFonts w:ascii="Times New Roman" w:eastAsia="Times New Roman" w:hAnsi="Times New Roman" w:cs="Times New Roman"/>
          <w:lang w:val="fr-FR" w:eastAsia="fr-FR"/>
        </w:rPr>
      </w:pPr>
      <w:r w:rsidRPr="00CC1349">
        <w:rPr>
          <w:rFonts w:ascii="Times New Roman" w:eastAsia="Times New Roman" w:hAnsi="Times New Roman" w:cs="Times New Roman"/>
          <w:lang w:val="fr-FR" w:eastAsia="fr-FR"/>
        </w:rPr>
        <w:t>Ces deux tendances — réduction de l'acidocétose et augmentation des hypoglycémies chez les utilisateurs — illustrent le double profil de risque associé à la phytothérapie dans le contexte du diabète traité : un effet potentiellement bénéfique sur l'hyperglycémie chronique, mais un risque iatrogène accru par addition d'effets hypoglycémiants non contrôlés. Cela renforce la nécessité d'une information systématique des patients diabétiques sur les risques d'interactions entre plantes médicinales et traitements conventionnels, et plaide pour une déclaration transparente de tout usage de phytothérapie auprès du médecin traitant</w:t>
      </w:r>
    </w:p>
    <w:p w14:paraId="246760D3" w14:textId="03DA51C3" w:rsidR="00CC1349" w:rsidRPr="007277D4" w:rsidRDefault="00A33DED" w:rsidP="00B139C3">
      <w:pPr>
        <w:rPr>
          <w:rFonts w:ascii="Times New Roman" w:eastAsia="Times New Roman" w:hAnsi="Times New Roman" w:cs="Times New Roman"/>
          <w:sz w:val="36"/>
          <w:szCs w:val="36"/>
          <w:lang w:val="fr-FR" w:eastAsia="fr-FR"/>
        </w:rPr>
      </w:pPr>
      <w:r w:rsidRPr="007277D4">
        <w:rPr>
          <w:rFonts w:ascii="Times New Roman" w:eastAsia="Times New Roman" w:hAnsi="Times New Roman" w:cs="Times New Roman"/>
          <w:sz w:val="36"/>
          <w:szCs w:val="36"/>
          <w:lang w:val="fr-FR" w:eastAsia="fr-FR"/>
        </w:rPr>
        <w:t>12-2 /chroniques :</w:t>
      </w:r>
    </w:p>
    <w:p w14:paraId="338252AA" w14:textId="77777777" w:rsidR="00A33DED" w:rsidRPr="00A33DED" w:rsidRDefault="00A33DED" w:rsidP="00B139C3">
      <w:pPr>
        <w:rPr>
          <w:rFonts w:ascii="Times New Roman" w:eastAsia="Times New Roman" w:hAnsi="Times New Roman" w:cs="Times New Roman"/>
          <w:sz w:val="27"/>
          <w:szCs w:val="27"/>
          <w:lang w:val="fr-FR" w:eastAsia="fr-FR"/>
        </w:rPr>
      </w:pPr>
      <w:r w:rsidRPr="00A33DED">
        <w:rPr>
          <w:rFonts w:ascii="Times New Roman" w:eastAsia="Times New Roman" w:hAnsi="Times New Roman" w:cs="Times New Roman"/>
          <w:sz w:val="27"/>
          <w:szCs w:val="27"/>
          <w:lang w:val="fr-FR" w:eastAsia="fr-FR"/>
        </w:rPr>
        <w:t>Description</w:t>
      </w:r>
    </w:p>
    <w:p w14:paraId="20FE7DE0" w14:textId="3AD9C95E" w:rsidR="00A33DED" w:rsidRPr="00A33DED" w:rsidRDefault="00A33DED" w:rsidP="007277D4">
      <w:pPr>
        <w:rPr>
          <w:rFonts w:ascii="Times New Roman" w:eastAsia="Times New Roman" w:hAnsi="Times New Roman" w:cs="Times New Roman"/>
          <w:lang w:val="fr-FR" w:eastAsia="fr-FR"/>
        </w:rPr>
      </w:pPr>
      <w:r w:rsidRPr="00A33DED">
        <w:rPr>
          <w:rFonts w:ascii="Times New Roman" w:eastAsia="Times New Roman" w:hAnsi="Times New Roman" w:cs="Times New Roman"/>
          <w:lang w:val="fr-FR" w:eastAsia="fr-FR"/>
        </w:rPr>
        <w:t xml:space="preserve">L'analyse du nombre de complications chroniques selon le recours à la phytothérapie révèle une répartition globalement comparable entre les deux groupes pour les catégories « aucune complication » et « une seule complication », avec respectivement 51,1 % et 42,1 % chez les utilisateurs, contre 48,0 % et 38,7 % chez les non-utilisateurs. La différence la plus marquée s'observe dans la catégorie des complications multiples : seulement 6,8 % des utilisateurs présentaient deux complications chroniques ou plus, contre 13,3 % des non-utilisateurs, soit un écart de 6,5 points de pourcentage en </w:t>
      </w:r>
      <w:r w:rsidR="007277D4">
        <w:rPr>
          <w:rFonts w:ascii="Times New Roman" w:eastAsia="Times New Roman" w:hAnsi="Times New Roman" w:cs="Times New Roman"/>
          <w:lang w:val="fr-FR" w:eastAsia="fr-FR"/>
        </w:rPr>
        <w:t>faveur du groupe phytothérapie.</w:t>
      </w:r>
    </w:p>
    <w:p w14:paraId="53BE52E6" w14:textId="5DC13A1C" w:rsidR="0005552C" w:rsidRDefault="0005552C" w:rsidP="0005552C">
      <w:pPr>
        <w:pStyle w:val="Caption"/>
        <w:keepNext/>
      </w:pPr>
      <w:bookmarkStart w:id="184" w:name="_Toc229617385"/>
      <w:r>
        <w:t xml:space="preserve">Tableau </w:t>
      </w:r>
      <w:r>
        <w:fldChar w:fldCharType="begin"/>
      </w:r>
      <w:r>
        <w:instrText xml:space="preserve"> SEQ Tableau \* ARABIC </w:instrText>
      </w:r>
      <w:r>
        <w:fldChar w:fldCharType="separate"/>
      </w:r>
      <w:r w:rsidR="00983108">
        <w:rPr>
          <w:noProof/>
        </w:rPr>
        <w:t>24</w:t>
      </w:r>
      <w:r>
        <w:fldChar w:fldCharType="end"/>
      </w:r>
      <w:r>
        <w:t xml:space="preserve"> </w:t>
      </w:r>
      <w:r w:rsidRPr="00545DC8">
        <w:t xml:space="preserve">repartition des patients selon Les complications </w:t>
      </w:r>
      <w:r>
        <w:t>chroniques</w:t>
      </w:r>
      <w:bookmarkEnd w:id="184"/>
    </w:p>
    <w:tbl>
      <w:tblPr>
        <w:tblW w:w="6499" w:type="dxa"/>
        <w:tblLook w:val="04A0" w:firstRow="1" w:lastRow="0" w:firstColumn="1" w:lastColumn="0" w:noHBand="0" w:noVBand="1"/>
      </w:tblPr>
      <w:tblGrid>
        <w:gridCol w:w="1477"/>
        <w:gridCol w:w="1300"/>
        <w:gridCol w:w="1211"/>
        <w:gridCol w:w="1300"/>
        <w:gridCol w:w="1211"/>
      </w:tblGrid>
      <w:tr w:rsidR="00A33DED" w:rsidRPr="0030610C" w14:paraId="533DA80C" w14:textId="77777777" w:rsidTr="0005552C">
        <w:trPr>
          <w:trHeight w:val="300"/>
        </w:trPr>
        <w:tc>
          <w:tcPr>
            <w:tcW w:w="1477" w:type="dxa"/>
            <w:noWrap/>
            <w:hideMark/>
          </w:tcPr>
          <w:p w14:paraId="5E2FBC16"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 xml:space="preserve">nombres des complication chronique </w:t>
            </w:r>
          </w:p>
        </w:tc>
        <w:tc>
          <w:tcPr>
            <w:tcW w:w="1300" w:type="dxa"/>
            <w:noWrap/>
            <w:hideMark/>
          </w:tcPr>
          <w:p w14:paraId="684F7D4B"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utilisateurs</w:t>
            </w:r>
          </w:p>
        </w:tc>
        <w:tc>
          <w:tcPr>
            <w:tcW w:w="1211" w:type="dxa"/>
            <w:noWrap/>
            <w:hideMark/>
          </w:tcPr>
          <w:p w14:paraId="4C869643"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fréquence</w:t>
            </w:r>
          </w:p>
        </w:tc>
        <w:tc>
          <w:tcPr>
            <w:tcW w:w="1300" w:type="dxa"/>
            <w:noWrap/>
            <w:hideMark/>
          </w:tcPr>
          <w:p w14:paraId="623F7762"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non utilisateurs</w:t>
            </w:r>
          </w:p>
        </w:tc>
        <w:tc>
          <w:tcPr>
            <w:tcW w:w="1211" w:type="dxa"/>
            <w:noWrap/>
            <w:hideMark/>
          </w:tcPr>
          <w:p w14:paraId="37D3CBC9"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 xml:space="preserve">fréquence </w:t>
            </w:r>
          </w:p>
        </w:tc>
      </w:tr>
      <w:tr w:rsidR="00A33DED" w:rsidRPr="0030610C" w14:paraId="5C06FC9E" w14:textId="77777777" w:rsidTr="0005552C">
        <w:trPr>
          <w:trHeight w:val="300"/>
        </w:trPr>
        <w:tc>
          <w:tcPr>
            <w:tcW w:w="1477" w:type="dxa"/>
            <w:noWrap/>
            <w:hideMark/>
          </w:tcPr>
          <w:p w14:paraId="7F64BFE1"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0</w:t>
            </w:r>
          </w:p>
        </w:tc>
        <w:tc>
          <w:tcPr>
            <w:tcW w:w="1300" w:type="dxa"/>
            <w:noWrap/>
            <w:hideMark/>
          </w:tcPr>
          <w:p w14:paraId="57220DAD"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93</w:t>
            </w:r>
          </w:p>
        </w:tc>
        <w:tc>
          <w:tcPr>
            <w:tcW w:w="1211" w:type="dxa"/>
            <w:noWrap/>
            <w:hideMark/>
          </w:tcPr>
          <w:p w14:paraId="50739843"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58,9</w:t>
            </w:r>
          </w:p>
        </w:tc>
        <w:tc>
          <w:tcPr>
            <w:tcW w:w="1300" w:type="dxa"/>
            <w:noWrap/>
            <w:hideMark/>
          </w:tcPr>
          <w:p w14:paraId="7DA52A30"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54</w:t>
            </w:r>
          </w:p>
        </w:tc>
        <w:tc>
          <w:tcPr>
            <w:tcW w:w="1211" w:type="dxa"/>
            <w:noWrap/>
            <w:hideMark/>
          </w:tcPr>
          <w:p w14:paraId="44506A33"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58,1</w:t>
            </w:r>
          </w:p>
        </w:tc>
      </w:tr>
      <w:tr w:rsidR="00A33DED" w:rsidRPr="0030610C" w14:paraId="6796E9B3" w14:textId="77777777" w:rsidTr="0005552C">
        <w:trPr>
          <w:trHeight w:val="300"/>
        </w:trPr>
        <w:tc>
          <w:tcPr>
            <w:tcW w:w="1477" w:type="dxa"/>
            <w:noWrap/>
            <w:hideMark/>
          </w:tcPr>
          <w:p w14:paraId="13162E4A"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1</w:t>
            </w:r>
          </w:p>
        </w:tc>
        <w:tc>
          <w:tcPr>
            <w:tcW w:w="1300" w:type="dxa"/>
            <w:noWrap/>
            <w:hideMark/>
          </w:tcPr>
          <w:p w14:paraId="54FA8E25"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56</w:t>
            </w:r>
          </w:p>
        </w:tc>
        <w:tc>
          <w:tcPr>
            <w:tcW w:w="1211" w:type="dxa"/>
            <w:noWrap/>
            <w:hideMark/>
          </w:tcPr>
          <w:p w14:paraId="2B2C034D"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35,4</w:t>
            </w:r>
          </w:p>
        </w:tc>
        <w:tc>
          <w:tcPr>
            <w:tcW w:w="1300" w:type="dxa"/>
            <w:noWrap/>
            <w:hideMark/>
          </w:tcPr>
          <w:p w14:paraId="52875CFD"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29</w:t>
            </w:r>
          </w:p>
        </w:tc>
        <w:tc>
          <w:tcPr>
            <w:tcW w:w="1211" w:type="dxa"/>
            <w:noWrap/>
            <w:hideMark/>
          </w:tcPr>
          <w:p w14:paraId="2E0742B5"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31,2</w:t>
            </w:r>
          </w:p>
        </w:tc>
      </w:tr>
      <w:tr w:rsidR="00A33DED" w:rsidRPr="0030610C" w14:paraId="26C41D93" w14:textId="77777777" w:rsidTr="0005552C">
        <w:trPr>
          <w:trHeight w:val="300"/>
        </w:trPr>
        <w:tc>
          <w:tcPr>
            <w:tcW w:w="1477" w:type="dxa"/>
            <w:noWrap/>
            <w:hideMark/>
          </w:tcPr>
          <w:p w14:paraId="239070F7"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2 ou plus</w:t>
            </w:r>
          </w:p>
        </w:tc>
        <w:tc>
          <w:tcPr>
            <w:tcW w:w="1300" w:type="dxa"/>
            <w:noWrap/>
            <w:hideMark/>
          </w:tcPr>
          <w:p w14:paraId="774A6DA6"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9</w:t>
            </w:r>
          </w:p>
        </w:tc>
        <w:tc>
          <w:tcPr>
            <w:tcW w:w="1211" w:type="dxa"/>
            <w:noWrap/>
            <w:hideMark/>
          </w:tcPr>
          <w:p w14:paraId="7D5D62CD"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5,7</w:t>
            </w:r>
          </w:p>
        </w:tc>
        <w:tc>
          <w:tcPr>
            <w:tcW w:w="1300" w:type="dxa"/>
            <w:noWrap/>
            <w:hideMark/>
          </w:tcPr>
          <w:p w14:paraId="02A44917"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10</w:t>
            </w:r>
          </w:p>
        </w:tc>
        <w:tc>
          <w:tcPr>
            <w:tcW w:w="1211" w:type="dxa"/>
            <w:noWrap/>
            <w:hideMark/>
          </w:tcPr>
          <w:p w14:paraId="73949925" w14:textId="77777777" w:rsidR="00A33DED" w:rsidRPr="0030610C" w:rsidRDefault="00A33DED" w:rsidP="00B139C3">
            <w:pPr>
              <w:rPr>
                <w:rFonts w:ascii="Calibri" w:eastAsia="Times New Roman" w:hAnsi="Calibri" w:cs="Times New Roman"/>
                <w:color w:val="000000"/>
                <w:lang w:eastAsia="fr-FR"/>
              </w:rPr>
            </w:pPr>
            <w:r w:rsidRPr="0030610C">
              <w:rPr>
                <w:rFonts w:ascii="Calibri" w:eastAsia="Times New Roman" w:hAnsi="Calibri" w:cs="Times New Roman"/>
                <w:color w:val="000000"/>
                <w:lang w:eastAsia="fr-FR"/>
              </w:rPr>
              <w:t>10,8</w:t>
            </w:r>
          </w:p>
        </w:tc>
      </w:tr>
    </w:tbl>
    <w:p w14:paraId="00356214" w14:textId="74C27D9C" w:rsidR="00A33DED" w:rsidRPr="0030610C" w:rsidRDefault="00A33DED" w:rsidP="00B139C3">
      <w:pPr>
        <w:rPr>
          <w:rFonts w:ascii="Times New Roman" w:eastAsia="Times New Roman" w:hAnsi="Times New Roman" w:cs="Times New Roman"/>
          <w:lang w:eastAsia="fr-FR"/>
        </w:rPr>
      </w:pPr>
    </w:p>
    <w:p w14:paraId="1B0054D6" w14:textId="77777777" w:rsidR="00A33DED" w:rsidRPr="00D73339" w:rsidRDefault="00A33DED" w:rsidP="00B139C3">
      <w:pPr>
        <w:rPr>
          <w:rFonts w:ascii="Times New Roman" w:eastAsia="Times New Roman" w:hAnsi="Times New Roman" w:cs="Times New Roman"/>
          <w:sz w:val="27"/>
          <w:szCs w:val="27"/>
          <w:lang w:val="fr-FR" w:eastAsia="fr-FR"/>
        </w:rPr>
      </w:pPr>
      <w:r w:rsidRPr="00D73339">
        <w:rPr>
          <w:rFonts w:ascii="Times New Roman" w:eastAsia="Times New Roman" w:hAnsi="Times New Roman" w:cs="Times New Roman"/>
          <w:sz w:val="27"/>
          <w:szCs w:val="27"/>
          <w:lang w:val="fr-FR" w:eastAsia="fr-FR"/>
        </w:rPr>
        <w:t>Analyse</w:t>
      </w:r>
    </w:p>
    <w:p w14:paraId="76C358BA" w14:textId="77777777" w:rsidR="00A33DED" w:rsidRPr="00A33DED" w:rsidRDefault="00A33DED" w:rsidP="00B139C3">
      <w:pPr>
        <w:rPr>
          <w:rFonts w:ascii="Times New Roman" w:eastAsia="Times New Roman" w:hAnsi="Times New Roman" w:cs="Times New Roman"/>
          <w:lang w:val="fr-FR" w:eastAsia="fr-FR"/>
        </w:rPr>
      </w:pPr>
      <w:r w:rsidRPr="00A33DED">
        <w:rPr>
          <w:rFonts w:ascii="Times New Roman" w:eastAsia="Times New Roman" w:hAnsi="Times New Roman" w:cs="Times New Roman"/>
          <w:lang w:val="fr-FR" w:eastAsia="fr-FR"/>
        </w:rPr>
        <w:t xml:space="preserve">La différence la plus cliniquement significative concerne la proportion de patients présentant deux complications chroniques ou plus, nettement plus faible chez les utilisateurs de </w:t>
      </w:r>
      <w:r w:rsidRPr="00A33DED">
        <w:rPr>
          <w:rFonts w:ascii="Times New Roman" w:eastAsia="Times New Roman" w:hAnsi="Times New Roman" w:cs="Times New Roman"/>
          <w:lang w:val="fr-FR" w:eastAsia="fr-FR"/>
        </w:rPr>
        <w:lastRenderedPageBreak/>
        <w:t>phytothérapie (6,8 %) que chez les non-utilisateurs (13,3 %). Cette différence, bien qu'à confirmer statistiquement, suggère que le recours aux plantes médicinales pourrait être associé à une moindre accumulation de complications chroniques, ce qui s'inscrit dans la continuité de la tendance à un meilleur équilibre glycémique relatif observée dans ce groupe.</w:t>
      </w:r>
    </w:p>
    <w:p w14:paraId="706D7DDC" w14:textId="0B90326D" w:rsidR="00A33DED" w:rsidRPr="007277D4" w:rsidRDefault="00A33DED" w:rsidP="007277D4">
      <w:pPr>
        <w:rPr>
          <w:rFonts w:ascii="Times New Roman" w:eastAsia="Times New Roman" w:hAnsi="Times New Roman" w:cs="Times New Roman"/>
          <w:lang w:val="fr-FR" w:eastAsia="fr-FR"/>
        </w:rPr>
      </w:pPr>
      <w:r w:rsidRPr="00A33DED">
        <w:rPr>
          <w:rFonts w:ascii="Times New Roman" w:eastAsia="Times New Roman" w:hAnsi="Times New Roman" w:cs="Times New Roman"/>
          <w:lang w:val="fr-FR" w:eastAsia="fr-FR"/>
        </w:rPr>
        <w:t>Plusieurs mécanismes pourraient expliquer cette tendance favorable. Les propriétés antioxydantes et anti-inflammatoires de nombreuses plantes traditionnellement utilisées dans le diabète de type 2 — nigelle, fenugrec, aloès — sont susceptibles de ralentir les processus physiopathologiques à l'origine des complications microvasculaires et macrovasculaires. Par ailleurs, il est possible que les patients recourant à la phytothérapie adoptent globalement une hygiène de vie plus soignée, avec une meilleure attention portée à l'alimentation et à l'activité physique, contribuant ainsi indirectement à limiter la progression des complications chroniques. Néanmoins, la différence observée pour la catégorie « aucune complication » reste faible (3,1 points), ce qui tempère toute interprétation trop optimiste et rappelle que les deux groupes présentent une charge de morbidité chroni</w:t>
      </w:r>
      <w:r w:rsidR="007277D4">
        <w:rPr>
          <w:rFonts w:ascii="Times New Roman" w:eastAsia="Times New Roman" w:hAnsi="Times New Roman" w:cs="Times New Roman"/>
          <w:lang w:val="fr-FR" w:eastAsia="fr-FR"/>
        </w:rPr>
        <w:t>que comparable dans l'ensemble.</w:t>
      </w:r>
    </w:p>
    <w:p w14:paraId="1521447F" w14:textId="3CA64992" w:rsidR="00664D0A" w:rsidRPr="007277D4" w:rsidRDefault="00A33DED" w:rsidP="00B139C3">
      <w:pPr>
        <w:rPr>
          <w:rFonts w:ascii="Times New Roman" w:eastAsia="Times New Roman" w:hAnsi="Times New Roman" w:cs="Times New Roman"/>
          <w:b/>
          <w:bCs/>
          <w:sz w:val="36"/>
          <w:szCs w:val="36"/>
          <w:lang w:val="fr-FR" w:eastAsia="fr-FR"/>
        </w:rPr>
      </w:pPr>
      <w:r w:rsidRPr="007277D4">
        <w:rPr>
          <w:rFonts w:ascii="Times New Roman" w:eastAsia="Times New Roman" w:hAnsi="Times New Roman" w:cs="Times New Roman"/>
          <w:b/>
          <w:bCs/>
          <w:sz w:val="36"/>
          <w:szCs w:val="36"/>
          <w:lang w:val="fr-FR" w:eastAsia="fr-FR"/>
        </w:rPr>
        <w:t>13</w:t>
      </w:r>
      <w:r w:rsidR="00664D0A" w:rsidRPr="007277D4">
        <w:rPr>
          <w:rFonts w:ascii="Times New Roman" w:eastAsia="Times New Roman" w:hAnsi="Times New Roman" w:cs="Times New Roman"/>
          <w:b/>
          <w:bCs/>
          <w:sz w:val="36"/>
          <w:szCs w:val="36"/>
          <w:lang w:val="fr-FR" w:eastAsia="fr-FR"/>
        </w:rPr>
        <w:t xml:space="preserve"> / La phytothérapie :</w:t>
      </w:r>
    </w:p>
    <w:p w14:paraId="384D6FD7" w14:textId="3309F7F4" w:rsidR="00664D0A" w:rsidRPr="007277D4" w:rsidRDefault="00A33DED" w:rsidP="00B139C3">
      <w:pPr>
        <w:rPr>
          <w:rFonts w:ascii="Times New Roman" w:eastAsia="Calibri" w:hAnsi="Times New Roman" w:cs="Times New Roman"/>
          <w:sz w:val="32"/>
          <w:szCs w:val="32"/>
          <w:lang w:val="fr-FR"/>
        </w:rPr>
      </w:pPr>
      <w:r w:rsidRPr="007277D4">
        <w:rPr>
          <w:rFonts w:ascii="Times New Roman" w:eastAsia="Calibri" w:hAnsi="Times New Roman" w:cs="Times New Roman"/>
          <w:sz w:val="28"/>
          <w:szCs w:val="28"/>
          <w:lang w:val="fr-FR"/>
        </w:rPr>
        <w:t>13</w:t>
      </w:r>
      <w:r w:rsidR="00664D0A" w:rsidRPr="007277D4">
        <w:rPr>
          <w:rFonts w:ascii="Times New Roman" w:eastAsia="Calibri" w:hAnsi="Times New Roman" w:cs="Times New Roman"/>
          <w:sz w:val="28"/>
          <w:szCs w:val="28"/>
          <w:lang w:val="fr-FR"/>
        </w:rPr>
        <w:t>-1 / Les non utilisateurs </w:t>
      </w:r>
      <w:r w:rsidR="00664D0A" w:rsidRPr="007277D4">
        <w:rPr>
          <w:rFonts w:ascii="Times New Roman" w:eastAsia="Calibri" w:hAnsi="Times New Roman" w:cs="Times New Roman"/>
          <w:sz w:val="32"/>
          <w:szCs w:val="32"/>
          <w:lang w:val="fr-FR"/>
        </w:rPr>
        <w:t>:</w:t>
      </w:r>
    </w:p>
    <w:p w14:paraId="0DC84B53" w14:textId="03F8DD77" w:rsidR="00664D0A" w:rsidRPr="00664D0A" w:rsidRDefault="00664D0A" w:rsidP="00B139C3">
      <w:pPr>
        <w:rPr>
          <w:rFonts w:ascii="Times New Roman" w:eastAsia="Times New Roman" w:hAnsi="Times New Roman" w:cs="Times New Roman"/>
          <w:sz w:val="36"/>
          <w:szCs w:val="36"/>
          <w:u w:val="single"/>
          <w:lang w:val="fr-FR" w:eastAsia="fr-FR"/>
        </w:rPr>
      </w:pPr>
      <w:r w:rsidRPr="00EC1434">
        <w:rPr>
          <w:b/>
          <w:bCs/>
          <w:sz w:val="28"/>
          <w:szCs w:val="28"/>
          <w:lang w:val="fr-FR"/>
        </w:rPr>
        <w:t>A / Répartition des obstacles à l</w:t>
      </w:r>
      <w:r w:rsidR="00EC1434" w:rsidRPr="00EC1434">
        <w:rPr>
          <w:b/>
          <w:bCs/>
          <w:sz w:val="28"/>
          <w:szCs w:val="28"/>
          <w:lang w:val="fr-FR"/>
        </w:rPr>
        <w:t>’utilisation des plantes medicinales</w:t>
      </w:r>
      <w:r w:rsidRPr="00EC1434">
        <w:rPr>
          <w:b/>
          <w:bCs/>
          <w:sz w:val="28"/>
          <w:szCs w:val="28"/>
          <w:lang w:val="fr-FR"/>
        </w:rPr>
        <w:t xml:space="preserve"> chez les patients diabétiques</w:t>
      </w:r>
      <w:r w:rsidRPr="00664D0A">
        <w:rPr>
          <w:lang w:val="fr-FR"/>
        </w:rPr>
        <w:t> :</w:t>
      </w:r>
    </w:p>
    <w:p w14:paraId="57FE55D0" w14:textId="77777777" w:rsidR="00664D0A" w:rsidRPr="00664D0A" w:rsidRDefault="00664D0A" w:rsidP="00B139C3">
      <w:pPr>
        <w:rPr>
          <w:rFonts w:ascii="Times New Roman" w:eastAsia="Calibri" w:hAnsi="Times New Roman" w:cs="Times New Roman"/>
          <w:sz w:val="28"/>
          <w:szCs w:val="28"/>
          <w:lang w:val="fr-FR"/>
        </w:rPr>
      </w:pPr>
      <w:r w:rsidRPr="00664D0A">
        <w:rPr>
          <w:rFonts w:ascii="Times New Roman" w:eastAsia="Calibri" w:hAnsi="Times New Roman" w:cs="Times New Roman"/>
          <w:sz w:val="28"/>
          <w:szCs w:val="28"/>
          <w:lang w:val="fr-FR"/>
        </w:rPr>
        <w:t>Description :</w:t>
      </w:r>
    </w:p>
    <w:p w14:paraId="4ABD7FFE" w14:textId="0F7097D3" w:rsidR="00664D0A" w:rsidRPr="00664D0A" w:rsidRDefault="00664D0A" w:rsidP="0005552C">
      <w:pPr>
        <w:rPr>
          <w:rFonts w:ascii="Times New Roman" w:eastAsia="Calibri" w:hAnsi="Times New Roman" w:cs="Times New Roman"/>
          <w:lang w:val="fr-FR"/>
        </w:rPr>
      </w:pPr>
      <w:r w:rsidRPr="00664D0A">
        <w:rPr>
          <w:rFonts w:ascii="Times New Roman" w:eastAsia="Calibri" w:hAnsi="Times New Roman" w:cs="Times New Roman"/>
          <w:lang w:val="fr-FR"/>
        </w:rPr>
        <w:t>Chez les 93 patients diabétiques non-utilisateurs de la phytothérapie, plusieurs obstacles limitant le recours aux plantes médicinales ont été identifiés. Le principal frein rapporté est la peur des effets secondaires, concernant 38,7% des patients (n=36), suivie du manque d’informations fiables sur les plantes médicinales avec 28,0% des cas (n=26). La présence d’autres maladies chroniques représente également un obstacle non négligeable chez 15,1% des patients (n=14). Les expériences négatives antérieures sont mentionnées par 10,8% des participants (n=10), tandis que l’opposition familiale reste minoritaire avec 4,3% (n=4). Enfin, la non-recommandation de la phytothérapie par le médecin constitue le frein le moins fréquent, observé chez seu</w:t>
      </w:r>
      <w:r w:rsidR="0005552C">
        <w:rPr>
          <w:rFonts w:ascii="Times New Roman" w:eastAsia="Calibri" w:hAnsi="Times New Roman" w:cs="Times New Roman"/>
          <w:lang w:val="fr-FR"/>
        </w:rPr>
        <w:t>lement 3,2% des patients (n=3).</w:t>
      </w:r>
    </w:p>
    <w:p w14:paraId="46F9D5BE" w14:textId="6541B137" w:rsidR="0005552C" w:rsidRDefault="0005552C" w:rsidP="0005552C">
      <w:pPr>
        <w:pStyle w:val="Caption"/>
        <w:keepNext/>
      </w:pPr>
      <w:bookmarkStart w:id="185" w:name="_Toc229617386"/>
      <w:r>
        <w:t xml:space="preserve">Tableau </w:t>
      </w:r>
      <w:r>
        <w:fldChar w:fldCharType="begin"/>
      </w:r>
      <w:r>
        <w:instrText xml:space="preserve"> SEQ Tableau \* ARABIC </w:instrText>
      </w:r>
      <w:r>
        <w:fldChar w:fldCharType="separate"/>
      </w:r>
      <w:r w:rsidR="00983108">
        <w:rPr>
          <w:noProof/>
        </w:rPr>
        <w:t>25</w:t>
      </w:r>
      <w:r>
        <w:fldChar w:fldCharType="end"/>
      </w:r>
      <w:r>
        <w:t xml:space="preserve"> </w:t>
      </w:r>
      <w:r w:rsidRPr="007C7860">
        <w:t>Répartition des obstacles à l’utilisation de la phytothérapie chez les patients diabétiques non-utilisateurs</w:t>
      </w:r>
      <w:bookmarkEnd w:id="185"/>
    </w:p>
    <w:tbl>
      <w:tblPr>
        <w:tblW w:w="8650" w:type="dxa"/>
        <w:jc w:val="center"/>
        <w:tblLook w:val="04A0" w:firstRow="1" w:lastRow="0" w:firstColumn="1" w:lastColumn="0" w:noHBand="0" w:noVBand="1"/>
      </w:tblPr>
      <w:tblGrid>
        <w:gridCol w:w="5300"/>
        <w:gridCol w:w="1417"/>
        <w:gridCol w:w="1933"/>
      </w:tblGrid>
      <w:tr w:rsidR="00664D0A" w:rsidRPr="0082701B" w14:paraId="7C8D5295" w14:textId="77777777" w:rsidTr="00784D29">
        <w:trPr>
          <w:trHeight w:val="521"/>
          <w:jc w:val="center"/>
        </w:trPr>
        <w:tc>
          <w:tcPr>
            <w:tcW w:w="0" w:type="auto"/>
            <w:hideMark/>
          </w:tcPr>
          <w:p w14:paraId="62E41DE5"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Obstacles identifiés</w:t>
            </w:r>
          </w:p>
        </w:tc>
        <w:tc>
          <w:tcPr>
            <w:tcW w:w="0" w:type="auto"/>
            <w:hideMark/>
          </w:tcPr>
          <w:p w14:paraId="645BC63C"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Effectif (n)</w:t>
            </w:r>
          </w:p>
        </w:tc>
        <w:tc>
          <w:tcPr>
            <w:tcW w:w="0" w:type="auto"/>
            <w:hideMark/>
          </w:tcPr>
          <w:p w14:paraId="2FD0E927"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Fréquence (%)</w:t>
            </w:r>
          </w:p>
        </w:tc>
      </w:tr>
      <w:tr w:rsidR="00664D0A" w:rsidRPr="0082701B" w14:paraId="262EEC74" w14:textId="77777777" w:rsidTr="00784D29">
        <w:trPr>
          <w:trHeight w:val="521"/>
          <w:jc w:val="center"/>
        </w:trPr>
        <w:tc>
          <w:tcPr>
            <w:tcW w:w="0" w:type="auto"/>
            <w:hideMark/>
          </w:tcPr>
          <w:p w14:paraId="54A62107"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Peur des effets secondaires</w:t>
            </w:r>
          </w:p>
        </w:tc>
        <w:tc>
          <w:tcPr>
            <w:tcW w:w="0" w:type="auto"/>
            <w:hideMark/>
          </w:tcPr>
          <w:p w14:paraId="044DEFF9"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36</w:t>
            </w:r>
          </w:p>
        </w:tc>
        <w:tc>
          <w:tcPr>
            <w:tcW w:w="0" w:type="auto"/>
            <w:hideMark/>
          </w:tcPr>
          <w:p w14:paraId="3CFBE28C"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38,7 %</w:t>
            </w:r>
          </w:p>
        </w:tc>
      </w:tr>
      <w:tr w:rsidR="00664D0A" w:rsidRPr="0082701B" w14:paraId="5FB8D6A2" w14:textId="77777777" w:rsidTr="00784D29">
        <w:trPr>
          <w:trHeight w:val="521"/>
          <w:jc w:val="center"/>
        </w:trPr>
        <w:tc>
          <w:tcPr>
            <w:tcW w:w="0" w:type="auto"/>
            <w:hideMark/>
          </w:tcPr>
          <w:p w14:paraId="7131DE94" w14:textId="77777777" w:rsidR="00664D0A" w:rsidRPr="00C5177C" w:rsidRDefault="00664D0A" w:rsidP="00B139C3">
            <w:pPr>
              <w:rPr>
                <w:rFonts w:ascii="Arial" w:eastAsia="Times New Roman" w:hAnsi="Arial" w:cs="Arial"/>
                <w:sz w:val="20"/>
                <w:szCs w:val="20"/>
                <w:lang w:val="fr-FR" w:eastAsia="fr-FR"/>
              </w:rPr>
            </w:pPr>
            <w:r w:rsidRPr="00C5177C">
              <w:rPr>
                <w:rFonts w:ascii="Arial" w:eastAsia="Times New Roman" w:hAnsi="Arial" w:cs="Arial"/>
                <w:sz w:val="20"/>
                <w:szCs w:val="20"/>
                <w:lang w:val="fr-FR" w:eastAsia="fr-FR"/>
              </w:rPr>
              <w:t>Manque d’informations fiables sur les plantes</w:t>
            </w:r>
          </w:p>
        </w:tc>
        <w:tc>
          <w:tcPr>
            <w:tcW w:w="0" w:type="auto"/>
            <w:hideMark/>
          </w:tcPr>
          <w:p w14:paraId="2134B5B3"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26</w:t>
            </w:r>
          </w:p>
        </w:tc>
        <w:tc>
          <w:tcPr>
            <w:tcW w:w="0" w:type="auto"/>
            <w:hideMark/>
          </w:tcPr>
          <w:p w14:paraId="7E2B5716"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28,0 %</w:t>
            </w:r>
          </w:p>
        </w:tc>
      </w:tr>
      <w:tr w:rsidR="00664D0A" w:rsidRPr="0082701B" w14:paraId="284CE061" w14:textId="77777777" w:rsidTr="00784D29">
        <w:trPr>
          <w:trHeight w:val="521"/>
          <w:jc w:val="center"/>
        </w:trPr>
        <w:tc>
          <w:tcPr>
            <w:tcW w:w="0" w:type="auto"/>
            <w:hideMark/>
          </w:tcPr>
          <w:p w14:paraId="510EF791"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Présence d’autres maladies chroniques</w:t>
            </w:r>
          </w:p>
        </w:tc>
        <w:tc>
          <w:tcPr>
            <w:tcW w:w="0" w:type="auto"/>
            <w:hideMark/>
          </w:tcPr>
          <w:p w14:paraId="463C5309"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14</w:t>
            </w:r>
          </w:p>
        </w:tc>
        <w:tc>
          <w:tcPr>
            <w:tcW w:w="0" w:type="auto"/>
            <w:hideMark/>
          </w:tcPr>
          <w:p w14:paraId="134A668D"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15,1 %</w:t>
            </w:r>
          </w:p>
        </w:tc>
      </w:tr>
      <w:tr w:rsidR="00664D0A" w:rsidRPr="0082701B" w14:paraId="20B55366" w14:textId="77777777" w:rsidTr="00784D29">
        <w:trPr>
          <w:trHeight w:val="521"/>
          <w:jc w:val="center"/>
        </w:trPr>
        <w:tc>
          <w:tcPr>
            <w:tcW w:w="0" w:type="auto"/>
            <w:hideMark/>
          </w:tcPr>
          <w:p w14:paraId="2848A2B6"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Expériences négatives antérieures</w:t>
            </w:r>
          </w:p>
        </w:tc>
        <w:tc>
          <w:tcPr>
            <w:tcW w:w="0" w:type="auto"/>
            <w:hideMark/>
          </w:tcPr>
          <w:p w14:paraId="0596DFCF"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10</w:t>
            </w:r>
          </w:p>
        </w:tc>
        <w:tc>
          <w:tcPr>
            <w:tcW w:w="0" w:type="auto"/>
            <w:hideMark/>
          </w:tcPr>
          <w:p w14:paraId="0814CAD0"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10,8 %</w:t>
            </w:r>
          </w:p>
        </w:tc>
      </w:tr>
      <w:tr w:rsidR="00664D0A" w:rsidRPr="0082701B" w14:paraId="2FA78B44" w14:textId="77777777" w:rsidTr="00784D29">
        <w:trPr>
          <w:trHeight w:val="521"/>
          <w:jc w:val="center"/>
        </w:trPr>
        <w:tc>
          <w:tcPr>
            <w:tcW w:w="0" w:type="auto"/>
            <w:hideMark/>
          </w:tcPr>
          <w:p w14:paraId="674D2E9E"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lastRenderedPageBreak/>
              <w:t>Opposition familiale</w:t>
            </w:r>
          </w:p>
        </w:tc>
        <w:tc>
          <w:tcPr>
            <w:tcW w:w="0" w:type="auto"/>
            <w:hideMark/>
          </w:tcPr>
          <w:p w14:paraId="170256F1"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4</w:t>
            </w:r>
          </w:p>
        </w:tc>
        <w:tc>
          <w:tcPr>
            <w:tcW w:w="0" w:type="auto"/>
            <w:hideMark/>
          </w:tcPr>
          <w:p w14:paraId="4FCE1279"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4,3 %</w:t>
            </w:r>
          </w:p>
        </w:tc>
      </w:tr>
      <w:tr w:rsidR="00664D0A" w:rsidRPr="0082701B" w14:paraId="124B082F" w14:textId="77777777" w:rsidTr="00784D29">
        <w:trPr>
          <w:trHeight w:val="521"/>
          <w:jc w:val="center"/>
        </w:trPr>
        <w:tc>
          <w:tcPr>
            <w:tcW w:w="0" w:type="auto"/>
            <w:hideMark/>
          </w:tcPr>
          <w:p w14:paraId="49968B57" w14:textId="77777777" w:rsidR="00664D0A" w:rsidRPr="00C5177C" w:rsidRDefault="00664D0A" w:rsidP="00B139C3">
            <w:pPr>
              <w:rPr>
                <w:rFonts w:ascii="Arial" w:eastAsia="Times New Roman" w:hAnsi="Arial" w:cs="Arial"/>
                <w:sz w:val="20"/>
                <w:szCs w:val="20"/>
                <w:lang w:val="fr-FR" w:eastAsia="fr-FR"/>
              </w:rPr>
            </w:pPr>
            <w:r w:rsidRPr="00C5177C">
              <w:rPr>
                <w:rFonts w:ascii="Arial" w:eastAsia="Times New Roman" w:hAnsi="Arial" w:cs="Arial"/>
                <w:sz w:val="20"/>
                <w:szCs w:val="20"/>
                <w:lang w:val="fr-FR" w:eastAsia="fr-FR"/>
              </w:rPr>
              <w:t xml:space="preserve">Pas </w:t>
            </w:r>
            <w:proofErr w:type="gramStart"/>
            <w:r w:rsidRPr="00C5177C">
              <w:rPr>
                <w:rFonts w:ascii="Arial" w:eastAsia="Times New Roman" w:hAnsi="Arial" w:cs="Arial"/>
                <w:sz w:val="20"/>
                <w:szCs w:val="20"/>
                <w:lang w:val="fr-FR" w:eastAsia="fr-FR"/>
              </w:rPr>
              <w:t>de  recommandation</w:t>
            </w:r>
            <w:proofErr w:type="gramEnd"/>
            <w:r w:rsidRPr="00C5177C">
              <w:rPr>
                <w:rFonts w:ascii="Arial" w:eastAsia="Times New Roman" w:hAnsi="Arial" w:cs="Arial"/>
                <w:sz w:val="20"/>
                <w:szCs w:val="20"/>
                <w:lang w:val="fr-FR" w:eastAsia="fr-FR"/>
              </w:rPr>
              <w:t xml:space="preserve"> par le médecin</w:t>
            </w:r>
          </w:p>
        </w:tc>
        <w:tc>
          <w:tcPr>
            <w:tcW w:w="0" w:type="auto"/>
            <w:hideMark/>
          </w:tcPr>
          <w:p w14:paraId="2F6C6811"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3</w:t>
            </w:r>
          </w:p>
        </w:tc>
        <w:tc>
          <w:tcPr>
            <w:tcW w:w="0" w:type="auto"/>
            <w:hideMark/>
          </w:tcPr>
          <w:p w14:paraId="6CE11762"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3,2 %</w:t>
            </w:r>
          </w:p>
        </w:tc>
      </w:tr>
      <w:tr w:rsidR="00664D0A" w:rsidRPr="0082701B" w14:paraId="69B390F6" w14:textId="77777777" w:rsidTr="00784D29">
        <w:trPr>
          <w:trHeight w:val="521"/>
          <w:jc w:val="center"/>
        </w:trPr>
        <w:tc>
          <w:tcPr>
            <w:tcW w:w="0" w:type="auto"/>
            <w:hideMark/>
          </w:tcPr>
          <w:p w14:paraId="6385B708"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TOTAL</w:t>
            </w:r>
          </w:p>
        </w:tc>
        <w:tc>
          <w:tcPr>
            <w:tcW w:w="0" w:type="auto"/>
            <w:hideMark/>
          </w:tcPr>
          <w:p w14:paraId="1BCBA472"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93</w:t>
            </w:r>
          </w:p>
        </w:tc>
        <w:tc>
          <w:tcPr>
            <w:tcW w:w="0" w:type="auto"/>
            <w:hideMark/>
          </w:tcPr>
          <w:p w14:paraId="6E706A86" w14:textId="77777777" w:rsidR="00664D0A" w:rsidRPr="0082701B" w:rsidRDefault="00664D0A" w:rsidP="00B139C3">
            <w:pPr>
              <w:rPr>
                <w:rFonts w:ascii="Arial" w:eastAsia="Times New Roman" w:hAnsi="Arial" w:cs="Arial"/>
                <w:sz w:val="20"/>
                <w:szCs w:val="20"/>
                <w:lang w:eastAsia="fr-FR"/>
              </w:rPr>
            </w:pPr>
            <w:r w:rsidRPr="0082701B">
              <w:rPr>
                <w:rFonts w:ascii="Arial" w:eastAsia="Times New Roman" w:hAnsi="Arial" w:cs="Arial"/>
                <w:sz w:val="20"/>
                <w:szCs w:val="20"/>
                <w:lang w:eastAsia="fr-FR"/>
              </w:rPr>
              <w:t>100 %</w:t>
            </w:r>
          </w:p>
        </w:tc>
      </w:tr>
    </w:tbl>
    <w:p w14:paraId="02FB5436" w14:textId="7E9C9ABB" w:rsidR="003C72FA" w:rsidRDefault="00664D0A" w:rsidP="003C72FA">
      <w:pPr>
        <w:keepNext/>
      </w:pPr>
      <w:r>
        <w:rPr>
          <w:noProof/>
          <w:lang w:val="fr-FR" w:eastAsia="fr-FR"/>
        </w:rPr>
        <w:drawing>
          <wp:inline distT="0" distB="0" distL="0" distR="0" wp14:anchorId="63241BCD" wp14:editId="7B4B6188">
            <wp:extent cx="4886325" cy="2743200"/>
            <wp:effectExtent l="0" t="0" r="9525"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5F1E30F5" w14:textId="063251C7" w:rsidR="00664D0A" w:rsidRPr="0082701B" w:rsidRDefault="003C72FA" w:rsidP="003C72FA">
      <w:pPr>
        <w:pStyle w:val="Caption"/>
        <w:rPr>
          <w:rFonts w:ascii="Times New Roman" w:eastAsia="Calibri" w:hAnsi="Times New Roman" w:cs="Times New Roman"/>
        </w:rPr>
      </w:pPr>
      <w:bookmarkStart w:id="186" w:name="_Toc229617348"/>
      <w:r>
        <w:t xml:space="preserve">Figure </w:t>
      </w:r>
      <w:r>
        <w:fldChar w:fldCharType="begin"/>
      </w:r>
      <w:r>
        <w:instrText xml:space="preserve"> SEQ Figure \* ARABIC </w:instrText>
      </w:r>
      <w:r>
        <w:fldChar w:fldCharType="separate"/>
      </w:r>
      <w:r w:rsidR="00983108">
        <w:rPr>
          <w:noProof/>
        </w:rPr>
        <w:t>59</w:t>
      </w:r>
      <w:r>
        <w:fldChar w:fldCharType="end"/>
      </w:r>
      <w:r>
        <w:t xml:space="preserve"> </w:t>
      </w:r>
      <w:r w:rsidRPr="00434AD9">
        <w:t>Répartition des obstacles à l’utilisation de la phytothérapie chez les patients diabétiques non-utilisateurs</w:t>
      </w:r>
      <w:bookmarkEnd w:id="186"/>
    </w:p>
    <w:p w14:paraId="2448FDFF" w14:textId="77777777" w:rsidR="00664D0A" w:rsidRPr="00664D0A" w:rsidRDefault="00664D0A" w:rsidP="00B139C3">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Figure : Distribution des obstacles à l’utilisation de la phytothérapie chez les patients diabétiques non-utilisateurs</w:t>
      </w:r>
    </w:p>
    <w:p w14:paraId="1F44F50F" w14:textId="77777777" w:rsidR="00664D0A" w:rsidRPr="00664D0A" w:rsidRDefault="00664D0A" w:rsidP="00B139C3">
      <w:pPr>
        <w:rPr>
          <w:rFonts w:ascii="Times New Roman" w:eastAsia="Times New Roman" w:hAnsi="Times New Roman" w:cs="Times New Roman"/>
          <w:sz w:val="28"/>
          <w:szCs w:val="28"/>
          <w:lang w:val="fr-FR" w:eastAsia="fr-FR"/>
        </w:rPr>
      </w:pPr>
      <w:r w:rsidRPr="00664D0A">
        <w:rPr>
          <w:rFonts w:ascii="Times New Roman" w:eastAsia="Times New Roman" w:hAnsi="Times New Roman" w:cs="Times New Roman"/>
          <w:sz w:val="28"/>
          <w:szCs w:val="28"/>
          <w:lang w:val="fr-FR" w:eastAsia="fr-FR"/>
        </w:rPr>
        <w:t>Analyse :</w:t>
      </w:r>
    </w:p>
    <w:p w14:paraId="3379F6A0" w14:textId="77777777" w:rsidR="00664D0A" w:rsidRPr="00F96B82" w:rsidRDefault="00664D0A" w:rsidP="00B139C3">
      <w:pPr>
        <w:rPr>
          <w:lang w:val="fr-FR"/>
        </w:rPr>
      </w:pPr>
      <w:r w:rsidRPr="00F96B82">
        <w:rPr>
          <w:lang w:val="fr-FR"/>
        </w:rPr>
        <w:t>L’analyse des résultats montre que les obstacles à l’utilisation de la phytothérapie chez les patients diabétiques non-utilisateurs sont principalement liés à des facteurs de sécurité et de connaissance. La peur des effets secondaires apparaît comme le frein dominant, ce qui pourrait s’expliquer par une perception de risque associée aux traitements à base de plantes, souvent perçus comme non standardisés ou insuffisamment contrôlés sur le plan scientifique.</w:t>
      </w:r>
    </w:p>
    <w:p w14:paraId="68F7181D" w14:textId="77777777" w:rsidR="00664D0A" w:rsidRPr="00F96B82" w:rsidRDefault="00664D0A" w:rsidP="00B139C3">
      <w:pPr>
        <w:rPr>
          <w:lang w:val="fr-FR"/>
        </w:rPr>
      </w:pPr>
      <w:r w:rsidRPr="00F96B82">
        <w:rPr>
          <w:lang w:val="fr-FR"/>
        </w:rPr>
        <w:t>Le manque d’informations fiables constitue le deuxième obstacle majeur, traduisant une insuffisance d’éducation thérapeutique et une faible accessibilité à des sources validées sur la phytothérapie. Cette situation peut favoriser la méfiance et limiter l’adoption de ces pratiques.</w:t>
      </w:r>
    </w:p>
    <w:p w14:paraId="6A64EF04" w14:textId="77777777" w:rsidR="00664D0A" w:rsidRPr="00F96B82" w:rsidRDefault="00664D0A" w:rsidP="00B139C3">
      <w:pPr>
        <w:rPr>
          <w:lang w:val="fr-FR"/>
        </w:rPr>
      </w:pPr>
      <w:r w:rsidRPr="00F96B82">
        <w:rPr>
          <w:lang w:val="fr-FR"/>
        </w:rPr>
        <w:t>La présence de comorbidités chroniques peut également jouer un rôle important, les patients craignant des interactions potentielles entre les plantes et leurs traitements conventionnels. Les expériences négatives antérieures renforcent cette réticence, suggérant que les effets indésirables ou inefficacité perçue influencent durablement les comportements de santé.</w:t>
      </w:r>
    </w:p>
    <w:p w14:paraId="52C71778" w14:textId="37D0DFFC" w:rsidR="00664D0A" w:rsidRPr="003C72FA" w:rsidRDefault="00664D0A" w:rsidP="003C72FA">
      <w:pPr>
        <w:rPr>
          <w:lang w:val="fr-FR"/>
        </w:rPr>
      </w:pPr>
      <w:r w:rsidRPr="00F96B82">
        <w:rPr>
          <w:lang w:val="fr-FR"/>
        </w:rPr>
        <w:t>Globalement, ces résultats mettent en évidence la nécessité de renforcer l’éducation thérapeutique et la communication scientifique autour de la phytothérapie afin de réduire les barrières psychologiques et informationnelles.</w:t>
      </w:r>
    </w:p>
    <w:p w14:paraId="3ADC3C0C" w14:textId="51793482" w:rsidR="00664D0A" w:rsidRPr="00664D0A" w:rsidRDefault="00A33DED" w:rsidP="00B139C3">
      <w:pPr>
        <w:rPr>
          <w:rFonts w:ascii="Times New Roman" w:eastAsia="Calibri" w:hAnsi="Times New Roman" w:cs="Times New Roman"/>
          <w:sz w:val="32"/>
          <w:szCs w:val="32"/>
          <w:u w:val="single"/>
          <w:lang w:val="fr-FR"/>
        </w:rPr>
      </w:pPr>
      <w:r>
        <w:rPr>
          <w:rFonts w:ascii="Times New Roman" w:eastAsia="Calibri" w:hAnsi="Times New Roman" w:cs="Times New Roman"/>
          <w:sz w:val="28"/>
          <w:szCs w:val="28"/>
          <w:u w:val="single"/>
          <w:lang w:val="fr-FR"/>
        </w:rPr>
        <w:lastRenderedPageBreak/>
        <w:t>13</w:t>
      </w:r>
      <w:r w:rsidR="00664D0A" w:rsidRPr="00664D0A">
        <w:rPr>
          <w:rFonts w:ascii="Times New Roman" w:eastAsia="Calibri" w:hAnsi="Times New Roman" w:cs="Times New Roman"/>
          <w:sz w:val="28"/>
          <w:szCs w:val="28"/>
          <w:u w:val="single"/>
          <w:lang w:val="fr-FR"/>
        </w:rPr>
        <w:t>-2 / Les utilisateurs</w:t>
      </w:r>
      <w:r w:rsidR="00664D0A" w:rsidRPr="00664D0A">
        <w:rPr>
          <w:rFonts w:ascii="Times New Roman" w:eastAsia="Calibri" w:hAnsi="Times New Roman" w:cs="Times New Roman"/>
          <w:sz w:val="32"/>
          <w:szCs w:val="32"/>
          <w:u w:val="single"/>
          <w:lang w:val="fr-FR"/>
        </w:rPr>
        <w:t> :</w:t>
      </w:r>
    </w:p>
    <w:p w14:paraId="2EEBA415" w14:textId="4B7203AD" w:rsidR="00664D0A" w:rsidRPr="00664D0A" w:rsidRDefault="00664D0A" w:rsidP="00EC1434">
      <w:pPr>
        <w:rPr>
          <w:rFonts w:ascii="Times New Roman" w:eastAsia="Calibri" w:hAnsi="Times New Roman" w:cs="Times New Roman"/>
          <w:sz w:val="28"/>
          <w:szCs w:val="28"/>
          <w:lang w:val="fr-FR"/>
        </w:rPr>
      </w:pPr>
      <w:r w:rsidRPr="00664D0A">
        <w:rPr>
          <w:rFonts w:ascii="Times New Roman" w:eastAsia="Calibri" w:hAnsi="Times New Roman" w:cs="Times New Roman"/>
          <w:sz w:val="28"/>
          <w:szCs w:val="28"/>
          <w:lang w:val="fr-FR"/>
        </w:rPr>
        <w:t xml:space="preserve"> </w:t>
      </w:r>
      <w:r w:rsidRPr="00EC1434">
        <w:rPr>
          <w:rFonts w:ascii="Times New Roman" w:eastAsia="Calibri" w:hAnsi="Times New Roman" w:cs="Times New Roman"/>
          <w:b/>
          <w:bCs/>
          <w:sz w:val="28"/>
          <w:szCs w:val="28"/>
          <w:lang w:val="fr-FR"/>
        </w:rPr>
        <w:t>A / Répartition des patients utilisateurs</w:t>
      </w:r>
      <w:r w:rsidR="00EC1434">
        <w:rPr>
          <w:rFonts w:ascii="Times New Roman" w:eastAsia="Calibri" w:hAnsi="Times New Roman" w:cs="Times New Roman"/>
          <w:b/>
          <w:bCs/>
          <w:sz w:val="28"/>
          <w:szCs w:val="28"/>
          <w:lang w:val="fr-FR"/>
        </w:rPr>
        <w:t xml:space="preserve"> des</w:t>
      </w:r>
      <w:r w:rsidRPr="00EC1434">
        <w:rPr>
          <w:rFonts w:ascii="Times New Roman" w:eastAsia="Calibri" w:hAnsi="Times New Roman" w:cs="Times New Roman"/>
          <w:b/>
          <w:bCs/>
          <w:sz w:val="28"/>
          <w:szCs w:val="28"/>
          <w:lang w:val="fr-FR"/>
        </w:rPr>
        <w:t xml:space="preserve"> </w:t>
      </w:r>
      <w:r w:rsidR="00EC1434" w:rsidRPr="00EC1434">
        <w:rPr>
          <w:b/>
          <w:bCs/>
          <w:sz w:val="28"/>
          <w:szCs w:val="28"/>
          <w:lang w:val="fr-FR"/>
        </w:rPr>
        <w:t>plantes medicinales</w:t>
      </w:r>
      <w:r w:rsidR="00EC1434" w:rsidRPr="00664D0A">
        <w:rPr>
          <w:sz w:val="28"/>
          <w:szCs w:val="28"/>
          <w:lang w:val="fr-FR"/>
        </w:rPr>
        <w:t xml:space="preserve"> </w:t>
      </w:r>
      <w:r w:rsidRPr="00EC1434">
        <w:rPr>
          <w:rFonts w:ascii="Times New Roman" w:eastAsia="Calibri" w:hAnsi="Times New Roman" w:cs="Times New Roman"/>
          <w:b/>
          <w:bCs/>
          <w:sz w:val="28"/>
          <w:szCs w:val="28"/>
          <w:lang w:val="fr-FR"/>
        </w:rPr>
        <w:t>en fonction du motif d'utilisa</w:t>
      </w:r>
      <w:r w:rsidR="007277D4" w:rsidRPr="00EC1434">
        <w:rPr>
          <w:rFonts w:ascii="Times New Roman" w:eastAsia="Calibri" w:hAnsi="Times New Roman" w:cs="Times New Roman"/>
          <w:b/>
          <w:bCs/>
          <w:sz w:val="28"/>
          <w:szCs w:val="28"/>
          <w:lang w:val="fr-FR"/>
        </w:rPr>
        <w:t>tion</w:t>
      </w:r>
      <w:r w:rsidR="00EC1434">
        <w:rPr>
          <w:rFonts w:ascii="Times New Roman" w:eastAsia="Calibri" w:hAnsi="Times New Roman" w:cs="Times New Roman"/>
          <w:sz w:val="28"/>
          <w:szCs w:val="28"/>
          <w:lang w:val="fr-FR"/>
        </w:rPr>
        <w:t> :</w:t>
      </w:r>
    </w:p>
    <w:p w14:paraId="21027533" w14:textId="77777777" w:rsidR="00664D0A" w:rsidRPr="00664D0A" w:rsidRDefault="00664D0A" w:rsidP="00B139C3">
      <w:pPr>
        <w:rPr>
          <w:rFonts w:ascii="Times New Roman" w:eastAsia="Calibri" w:hAnsi="Times New Roman" w:cs="Times New Roman"/>
          <w:sz w:val="28"/>
          <w:szCs w:val="28"/>
          <w:lang w:val="fr-FR"/>
        </w:rPr>
      </w:pPr>
      <w:r w:rsidRPr="00664D0A">
        <w:rPr>
          <w:rFonts w:ascii="Times New Roman" w:eastAsia="Calibri" w:hAnsi="Times New Roman" w:cs="Times New Roman"/>
          <w:sz w:val="28"/>
          <w:szCs w:val="28"/>
          <w:lang w:val="fr-FR"/>
        </w:rPr>
        <w:t>Description :</w:t>
      </w:r>
    </w:p>
    <w:p w14:paraId="7F22D243" w14:textId="2D0EE1D2" w:rsidR="00664D0A" w:rsidRPr="007277D4" w:rsidRDefault="00664D0A" w:rsidP="007277D4">
      <w:pPr>
        <w:rPr>
          <w:rFonts w:ascii="Times New Roman" w:eastAsia="Calibri" w:hAnsi="Times New Roman" w:cs="Times New Roman"/>
          <w:sz w:val="28"/>
          <w:szCs w:val="28"/>
          <w:lang w:val="fr-FR"/>
        </w:rPr>
      </w:pPr>
      <w:r w:rsidRPr="00664D0A">
        <w:rPr>
          <w:rFonts w:ascii="Times New Roman" w:eastAsia="Calibri" w:hAnsi="Times New Roman" w:cs="Times New Roman"/>
          <w:lang w:val="fr-FR"/>
        </w:rPr>
        <w:t>Chez les 158 patients diabétiques utilisateurs de la phytothérapie, les motifs d’utilisation sont dominés par l’expérience positive d’un proche, rapportée par 78,6% des patients (n=125), constituant ainsi le facteur principal d’adoption. La facilité d’obtention des plantes médicinales représente le deuxième motif avec 13,2% des cas (n=21), tandis que la perception de moins d’effets secondaires par rapport aux traitements conventionnels est évoquée par 7,6% des patients (n=12). Ces résultats montrent une prédominance des facteurs sociaux et expérientiels dans l’adoption de la phytothérapie</w:t>
      </w:r>
      <w:r w:rsidR="007277D4">
        <w:rPr>
          <w:rFonts w:ascii="Times New Roman" w:eastAsia="Calibri" w:hAnsi="Times New Roman" w:cs="Times New Roman"/>
          <w:sz w:val="28"/>
          <w:szCs w:val="28"/>
          <w:lang w:val="fr-FR"/>
        </w:rPr>
        <w:t>.</w:t>
      </w:r>
    </w:p>
    <w:p w14:paraId="11F2FA8B" w14:textId="11274964" w:rsidR="00664D0A" w:rsidRPr="007277D4" w:rsidRDefault="00664D0A" w:rsidP="007277D4">
      <w:pPr>
        <w:rPr>
          <w:rFonts w:ascii="Times New Roman" w:eastAsia="Calibri" w:hAnsi="Times New Roman" w:cs="Times New Roman"/>
          <w:lang w:val="fr-FR"/>
        </w:rPr>
      </w:pPr>
    </w:p>
    <w:p w14:paraId="6907CD59" w14:textId="4CFA1868" w:rsidR="0005552C" w:rsidRDefault="0005552C" w:rsidP="0005552C">
      <w:pPr>
        <w:pStyle w:val="Caption"/>
        <w:keepNext/>
      </w:pPr>
      <w:bookmarkStart w:id="187" w:name="_Toc229617387"/>
      <w:r>
        <w:t xml:space="preserve">Tableau </w:t>
      </w:r>
      <w:r>
        <w:fldChar w:fldCharType="begin"/>
      </w:r>
      <w:r>
        <w:instrText xml:space="preserve"> SEQ Tableau \* ARABIC </w:instrText>
      </w:r>
      <w:r>
        <w:fldChar w:fldCharType="separate"/>
      </w:r>
      <w:r w:rsidR="00983108">
        <w:rPr>
          <w:noProof/>
        </w:rPr>
        <w:t>26</w:t>
      </w:r>
      <w:r>
        <w:fldChar w:fldCharType="end"/>
      </w:r>
      <w:r>
        <w:t xml:space="preserve"> </w:t>
      </w:r>
      <w:r w:rsidRPr="00367F9A">
        <w:t>Répartition des motifs d’utilisation de la phytothérapie chez les patients diabétiques</w:t>
      </w:r>
      <w:bookmarkEnd w:id="187"/>
    </w:p>
    <w:tbl>
      <w:tblPr>
        <w:tblW w:w="7676" w:type="dxa"/>
        <w:jc w:val="center"/>
        <w:tblLook w:val="04A0" w:firstRow="1" w:lastRow="0" w:firstColumn="1" w:lastColumn="0" w:noHBand="0" w:noVBand="1"/>
      </w:tblPr>
      <w:tblGrid>
        <w:gridCol w:w="4048"/>
        <w:gridCol w:w="1534"/>
        <w:gridCol w:w="2094"/>
      </w:tblGrid>
      <w:tr w:rsidR="00664D0A" w:rsidRPr="009D5C14" w14:paraId="09878721" w14:textId="77777777" w:rsidTr="003C72FA">
        <w:trPr>
          <w:trHeight w:val="522"/>
          <w:jc w:val="center"/>
        </w:trPr>
        <w:tc>
          <w:tcPr>
            <w:tcW w:w="4048" w:type="dxa"/>
            <w:hideMark/>
          </w:tcPr>
          <w:p w14:paraId="31824EBC"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Motifs d’utilisation</w:t>
            </w:r>
          </w:p>
        </w:tc>
        <w:tc>
          <w:tcPr>
            <w:tcW w:w="0" w:type="auto"/>
            <w:hideMark/>
          </w:tcPr>
          <w:p w14:paraId="6F134A86"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Effectif (n)</w:t>
            </w:r>
          </w:p>
        </w:tc>
        <w:tc>
          <w:tcPr>
            <w:tcW w:w="0" w:type="auto"/>
            <w:hideMark/>
          </w:tcPr>
          <w:p w14:paraId="521EFAC7"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Fréquence (%)</w:t>
            </w:r>
          </w:p>
        </w:tc>
      </w:tr>
      <w:tr w:rsidR="00664D0A" w:rsidRPr="009D5C14" w14:paraId="0C56EABD" w14:textId="77777777" w:rsidTr="003C72FA">
        <w:trPr>
          <w:trHeight w:val="522"/>
          <w:jc w:val="center"/>
        </w:trPr>
        <w:tc>
          <w:tcPr>
            <w:tcW w:w="4048" w:type="dxa"/>
            <w:hideMark/>
          </w:tcPr>
          <w:p w14:paraId="2F57A081"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Expérience positive d’un proche</w:t>
            </w:r>
          </w:p>
        </w:tc>
        <w:tc>
          <w:tcPr>
            <w:tcW w:w="0" w:type="auto"/>
            <w:hideMark/>
          </w:tcPr>
          <w:p w14:paraId="4FB55273"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125</w:t>
            </w:r>
          </w:p>
        </w:tc>
        <w:tc>
          <w:tcPr>
            <w:tcW w:w="0" w:type="auto"/>
            <w:hideMark/>
          </w:tcPr>
          <w:p w14:paraId="7A28DA98"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78,60%</w:t>
            </w:r>
          </w:p>
        </w:tc>
      </w:tr>
      <w:tr w:rsidR="00664D0A" w:rsidRPr="009D5C14" w14:paraId="255D8F7F" w14:textId="77777777" w:rsidTr="003C72FA">
        <w:trPr>
          <w:trHeight w:val="522"/>
          <w:jc w:val="center"/>
        </w:trPr>
        <w:tc>
          <w:tcPr>
            <w:tcW w:w="4048" w:type="dxa"/>
            <w:hideMark/>
          </w:tcPr>
          <w:p w14:paraId="7D780F53"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Facilité d’obtention</w:t>
            </w:r>
          </w:p>
        </w:tc>
        <w:tc>
          <w:tcPr>
            <w:tcW w:w="0" w:type="auto"/>
            <w:hideMark/>
          </w:tcPr>
          <w:p w14:paraId="01F0EBFA"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21</w:t>
            </w:r>
          </w:p>
        </w:tc>
        <w:tc>
          <w:tcPr>
            <w:tcW w:w="0" w:type="auto"/>
            <w:hideMark/>
          </w:tcPr>
          <w:p w14:paraId="12997D03"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13,20%</w:t>
            </w:r>
          </w:p>
        </w:tc>
      </w:tr>
      <w:tr w:rsidR="00664D0A" w:rsidRPr="009D5C14" w14:paraId="06FD31F6" w14:textId="77777777" w:rsidTr="003C72FA">
        <w:trPr>
          <w:trHeight w:val="522"/>
          <w:jc w:val="center"/>
        </w:trPr>
        <w:tc>
          <w:tcPr>
            <w:tcW w:w="4048" w:type="dxa"/>
            <w:hideMark/>
          </w:tcPr>
          <w:p w14:paraId="1156B67C"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Moins d’effets secondaires</w:t>
            </w:r>
          </w:p>
        </w:tc>
        <w:tc>
          <w:tcPr>
            <w:tcW w:w="0" w:type="auto"/>
            <w:hideMark/>
          </w:tcPr>
          <w:p w14:paraId="46A36121"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12</w:t>
            </w:r>
          </w:p>
        </w:tc>
        <w:tc>
          <w:tcPr>
            <w:tcW w:w="0" w:type="auto"/>
            <w:hideMark/>
          </w:tcPr>
          <w:p w14:paraId="04D1FDAB"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7,60%</w:t>
            </w:r>
          </w:p>
        </w:tc>
      </w:tr>
      <w:tr w:rsidR="00664D0A" w:rsidRPr="009D5C14" w14:paraId="42DCE036" w14:textId="77777777" w:rsidTr="003C72FA">
        <w:trPr>
          <w:trHeight w:val="522"/>
          <w:jc w:val="center"/>
        </w:trPr>
        <w:tc>
          <w:tcPr>
            <w:tcW w:w="4048" w:type="dxa"/>
            <w:hideMark/>
          </w:tcPr>
          <w:p w14:paraId="3A725D9E"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TOTAL</w:t>
            </w:r>
          </w:p>
        </w:tc>
        <w:tc>
          <w:tcPr>
            <w:tcW w:w="0" w:type="auto"/>
            <w:hideMark/>
          </w:tcPr>
          <w:p w14:paraId="507E5987"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158</w:t>
            </w:r>
          </w:p>
        </w:tc>
        <w:tc>
          <w:tcPr>
            <w:tcW w:w="0" w:type="auto"/>
            <w:hideMark/>
          </w:tcPr>
          <w:p w14:paraId="1A3D75CC" w14:textId="77777777" w:rsidR="00664D0A" w:rsidRPr="009D5C14" w:rsidRDefault="00664D0A" w:rsidP="00B139C3">
            <w:pPr>
              <w:rPr>
                <w:rFonts w:ascii="Arial" w:eastAsia="Times New Roman" w:hAnsi="Arial" w:cs="Arial"/>
                <w:sz w:val="20"/>
                <w:szCs w:val="20"/>
                <w:lang w:eastAsia="fr-FR"/>
              </w:rPr>
            </w:pPr>
            <w:r w:rsidRPr="009D5C14">
              <w:rPr>
                <w:rFonts w:ascii="Arial" w:eastAsia="Times New Roman" w:hAnsi="Arial" w:cs="Arial"/>
                <w:sz w:val="20"/>
                <w:szCs w:val="20"/>
                <w:lang w:eastAsia="fr-FR"/>
              </w:rPr>
              <w:t>100%</w:t>
            </w:r>
          </w:p>
        </w:tc>
      </w:tr>
    </w:tbl>
    <w:p w14:paraId="25CC65C5" w14:textId="77777777" w:rsidR="003C72FA" w:rsidRDefault="00664D0A" w:rsidP="003C72FA">
      <w:pPr>
        <w:keepNext/>
      </w:pPr>
      <w:r>
        <w:rPr>
          <w:noProof/>
          <w:lang w:val="fr-FR" w:eastAsia="fr-FR"/>
        </w:rPr>
        <w:drawing>
          <wp:inline distT="0" distB="0" distL="0" distR="0" wp14:anchorId="15E9AB59" wp14:editId="5A51234C">
            <wp:extent cx="4476115" cy="2897109"/>
            <wp:effectExtent l="0" t="0" r="635" b="1778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796C4675" w14:textId="14BC07BB" w:rsidR="003C72FA" w:rsidRPr="003C72FA" w:rsidRDefault="003C72FA" w:rsidP="003C72FA">
      <w:pPr>
        <w:pStyle w:val="Caption"/>
      </w:pPr>
      <w:bookmarkStart w:id="188" w:name="_Toc229617349"/>
      <w:r>
        <w:t xml:space="preserve">Figure </w:t>
      </w:r>
      <w:r>
        <w:fldChar w:fldCharType="begin"/>
      </w:r>
      <w:r>
        <w:instrText xml:space="preserve"> SEQ Figure \* ARABIC </w:instrText>
      </w:r>
      <w:r>
        <w:fldChar w:fldCharType="separate"/>
      </w:r>
      <w:r w:rsidR="00983108">
        <w:rPr>
          <w:noProof/>
        </w:rPr>
        <w:t>60</w:t>
      </w:r>
      <w:r>
        <w:fldChar w:fldCharType="end"/>
      </w:r>
      <w:r>
        <w:t xml:space="preserve"> </w:t>
      </w:r>
      <w:r w:rsidRPr="00B67762">
        <w:t>Distribution des facteurs motivant l’utilisation de la phytothérapie chez les patients diabétiques</w:t>
      </w:r>
      <w:bookmarkEnd w:id="188"/>
    </w:p>
    <w:p w14:paraId="1318815C" w14:textId="77777777" w:rsidR="00664D0A" w:rsidRPr="00664D0A" w:rsidRDefault="00664D0A" w:rsidP="00B139C3">
      <w:pPr>
        <w:rPr>
          <w:rFonts w:ascii="Times New Roman" w:eastAsia="Times New Roman" w:hAnsi="Times New Roman" w:cs="Times New Roman"/>
          <w:sz w:val="28"/>
          <w:szCs w:val="28"/>
          <w:lang w:val="fr-FR" w:eastAsia="fr-FR"/>
        </w:rPr>
      </w:pPr>
      <w:r w:rsidRPr="00664D0A">
        <w:rPr>
          <w:rFonts w:ascii="Times New Roman" w:eastAsia="Times New Roman" w:hAnsi="Times New Roman" w:cs="Times New Roman"/>
          <w:sz w:val="28"/>
          <w:szCs w:val="28"/>
          <w:lang w:val="fr-FR" w:eastAsia="fr-FR"/>
        </w:rPr>
        <w:lastRenderedPageBreak/>
        <w:t>Analyse :</w:t>
      </w:r>
    </w:p>
    <w:p w14:paraId="2E2757E0" w14:textId="77777777" w:rsidR="00664D0A" w:rsidRPr="00F96B82" w:rsidRDefault="00664D0A" w:rsidP="00B139C3">
      <w:pPr>
        <w:rPr>
          <w:lang w:val="fr-FR"/>
        </w:rPr>
      </w:pPr>
      <w:r w:rsidRPr="00F96B82">
        <w:rPr>
          <w:lang w:val="fr-FR"/>
        </w:rPr>
        <w:t>L’analyse des résultats met en évidence que l’adoption de la phytothérapie chez les patients diabétiques est principalement influencée par des facteurs socio-expérientiels plutôt que strictement médicaux. L’expérience positive d’un proche constitue le facteur déterminant, ce qui souligne l’importance du bouche-à-oreille et des recommandations informelles dans les pratiques de santé traditionnelles. Ce phénomène peut s’expliquer par la forte confiance accordée aux expériences vécues au sein du cercle familial ou social, souvent perçues comme plus crédibles que les sources institutionnelles.</w:t>
      </w:r>
    </w:p>
    <w:p w14:paraId="366301B8" w14:textId="77777777" w:rsidR="00664D0A" w:rsidRPr="00F96B82" w:rsidRDefault="00664D0A" w:rsidP="00B139C3">
      <w:pPr>
        <w:rPr>
          <w:lang w:val="fr-FR"/>
        </w:rPr>
      </w:pPr>
      <w:r w:rsidRPr="00F96B82">
        <w:rPr>
          <w:lang w:val="fr-FR"/>
        </w:rPr>
        <w:t>La facilité d’obtention des plantes médicinales représente également un facteur non négligeable, reflétant la disponibilité importante des produits phytothérapeutiques dans le contexte local. Enfin, la perception de moins d’effets secondaires, bien que minoritaire, traduit une représentation favorable de la phytothérapie comme alternative « naturelle » et donc supposée plus sûre.</w:t>
      </w:r>
    </w:p>
    <w:p w14:paraId="0F45C56A" w14:textId="77777777" w:rsidR="00664D0A" w:rsidRPr="00F96B82" w:rsidRDefault="00664D0A" w:rsidP="00B139C3">
      <w:pPr>
        <w:rPr>
          <w:lang w:val="fr-FR"/>
        </w:rPr>
      </w:pPr>
      <w:r w:rsidRPr="00F96B82">
        <w:rPr>
          <w:lang w:val="fr-FR"/>
        </w:rPr>
        <w:t>En total, ces résultats montrent que l’usage de la phytothérapie est davantage motivé par des influences sociales et des perceptions subjectives de sécurité que par une démarche médicale structurée ou encadrée.</w:t>
      </w:r>
    </w:p>
    <w:p w14:paraId="2B61AECB" w14:textId="2E5CC218" w:rsidR="00664D0A" w:rsidRPr="00664D0A" w:rsidRDefault="00664D0A" w:rsidP="00EC1434">
      <w:pPr>
        <w:rPr>
          <w:lang w:val="fr-FR"/>
        </w:rPr>
      </w:pPr>
      <w:r w:rsidRPr="00EC1434">
        <w:rPr>
          <w:b/>
          <w:bCs/>
          <w:sz w:val="28"/>
          <w:szCs w:val="28"/>
          <w:lang w:val="fr-FR"/>
        </w:rPr>
        <w:t xml:space="preserve">B / La répartition des patients </w:t>
      </w:r>
      <w:proofErr w:type="gramStart"/>
      <w:r w:rsidRPr="00EC1434">
        <w:rPr>
          <w:b/>
          <w:bCs/>
          <w:sz w:val="28"/>
          <w:szCs w:val="28"/>
          <w:lang w:val="fr-FR"/>
        </w:rPr>
        <w:t xml:space="preserve">utilisateurs </w:t>
      </w:r>
      <w:r w:rsidR="00EC1434" w:rsidRPr="00EC1434">
        <w:rPr>
          <w:b/>
          <w:bCs/>
          <w:sz w:val="28"/>
          <w:szCs w:val="28"/>
          <w:lang w:val="fr-FR"/>
        </w:rPr>
        <w:t xml:space="preserve"> des</w:t>
      </w:r>
      <w:proofErr w:type="gramEnd"/>
      <w:r w:rsidR="00EC1434" w:rsidRPr="00EC1434">
        <w:rPr>
          <w:b/>
          <w:bCs/>
          <w:sz w:val="28"/>
          <w:szCs w:val="28"/>
          <w:lang w:val="fr-FR"/>
        </w:rPr>
        <w:t xml:space="preserve"> plantes medicinales </w:t>
      </w:r>
      <w:r w:rsidRPr="00EC1434">
        <w:rPr>
          <w:b/>
          <w:bCs/>
          <w:sz w:val="28"/>
          <w:szCs w:val="28"/>
          <w:lang w:val="fr-FR"/>
        </w:rPr>
        <w:t>selon le nombre des plantes utilisées</w:t>
      </w:r>
      <w:r w:rsidRPr="00664D0A">
        <w:rPr>
          <w:sz w:val="32"/>
          <w:szCs w:val="32"/>
          <w:lang w:val="fr-FR"/>
        </w:rPr>
        <w:t> :</w:t>
      </w:r>
    </w:p>
    <w:p w14:paraId="60EE4CF4" w14:textId="6C4EBD0F" w:rsidR="00664D0A" w:rsidRPr="00F96B82" w:rsidRDefault="00664D0A" w:rsidP="0005552C">
      <w:pPr>
        <w:rPr>
          <w:lang w:val="fr-FR"/>
        </w:rPr>
      </w:pPr>
      <w:r w:rsidRPr="00F96B82">
        <w:rPr>
          <w:sz w:val="28"/>
          <w:szCs w:val="28"/>
          <w:lang w:val="fr-FR"/>
        </w:rPr>
        <w:t>Description </w:t>
      </w:r>
      <w:r w:rsidRPr="00F96B82">
        <w:rPr>
          <w:lang w:val="fr-FR"/>
        </w:rPr>
        <w:t>:</w:t>
      </w:r>
      <w:r w:rsidRPr="00F96B82">
        <w:rPr>
          <w:lang w:val="fr-FR"/>
        </w:rPr>
        <w:br/>
        <w:t xml:space="preserve">Dans cet échantillon de 158 patients diabétiques de type 2 utilisant la phytothérapie, on observe que la majorité des patients (60,1 %) utilisent une seule plante médicinale. Ensuite, 23,4 % utilisent deux plantes, tandis que 12,7 % ont recours à trois plantes. Une faible proportion, seulement 3,8 %, </w:t>
      </w:r>
      <w:r w:rsidR="0005552C">
        <w:rPr>
          <w:lang w:val="fr-FR"/>
        </w:rPr>
        <w:t>utilise quatre plantes ou plus.</w:t>
      </w:r>
    </w:p>
    <w:p w14:paraId="329C6484" w14:textId="21CA31A4" w:rsidR="0005552C" w:rsidRDefault="0005552C" w:rsidP="0005552C">
      <w:pPr>
        <w:pStyle w:val="Caption"/>
        <w:keepNext/>
      </w:pPr>
      <w:bookmarkStart w:id="189" w:name="_Toc229617388"/>
      <w:r>
        <w:t xml:space="preserve">Tableau </w:t>
      </w:r>
      <w:r>
        <w:fldChar w:fldCharType="begin"/>
      </w:r>
      <w:r>
        <w:instrText xml:space="preserve"> SEQ Tableau \* ARABIC </w:instrText>
      </w:r>
      <w:r>
        <w:fldChar w:fldCharType="separate"/>
      </w:r>
      <w:r w:rsidR="00983108">
        <w:rPr>
          <w:noProof/>
        </w:rPr>
        <w:t>27</w:t>
      </w:r>
      <w:r>
        <w:fldChar w:fldCharType="end"/>
      </w:r>
      <w:r>
        <w:t xml:space="preserve"> </w:t>
      </w:r>
      <w:r w:rsidRPr="006F786B">
        <w:t xml:space="preserve">Répartition des </w:t>
      </w:r>
      <w:proofErr w:type="gramStart"/>
      <w:r w:rsidRPr="006F786B">
        <w:t>patients  utilisateurs</w:t>
      </w:r>
      <w:proofErr w:type="gramEnd"/>
      <w:r w:rsidRPr="006F786B">
        <w:t xml:space="preserve"> selon le nombre de plantes consommées</w:t>
      </w:r>
      <w:bookmarkEnd w:id="189"/>
    </w:p>
    <w:tbl>
      <w:tblPr>
        <w:tblW w:w="9551" w:type="dxa"/>
        <w:tblLook w:val="04A0" w:firstRow="1" w:lastRow="0" w:firstColumn="1" w:lastColumn="0" w:noHBand="0" w:noVBand="1"/>
      </w:tblPr>
      <w:tblGrid>
        <w:gridCol w:w="4791"/>
        <w:gridCol w:w="2013"/>
        <w:gridCol w:w="2747"/>
      </w:tblGrid>
      <w:tr w:rsidR="00664D0A" w:rsidRPr="0008228B" w14:paraId="4B98E7E4" w14:textId="77777777" w:rsidTr="003C72FA">
        <w:trPr>
          <w:trHeight w:val="688"/>
        </w:trPr>
        <w:tc>
          <w:tcPr>
            <w:tcW w:w="0" w:type="auto"/>
            <w:hideMark/>
          </w:tcPr>
          <w:p w14:paraId="310B13BE"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Nombre de plantes utilisées</w:t>
            </w:r>
          </w:p>
        </w:tc>
        <w:tc>
          <w:tcPr>
            <w:tcW w:w="0" w:type="auto"/>
            <w:hideMark/>
          </w:tcPr>
          <w:p w14:paraId="11013778"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Effectif (n)</w:t>
            </w:r>
          </w:p>
        </w:tc>
        <w:tc>
          <w:tcPr>
            <w:tcW w:w="0" w:type="auto"/>
            <w:hideMark/>
          </w:tcPr>
          <w:p w14:paraId="76B9A918"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Fréquence (%)</w:t>
            </w:r>
          </w:p>
        </w:tc>
      </w:tr>
      <w:tr w:rsidR="00664D0A" w:rsidRPr="0008228B" w14:paraId="207A8A17" w14:textId="77777777" w:rsidTr="003C72FA">
        <w:trPr>
          <w:trHeight w:val="688"/>
        </w:trPr>
        <w:tc>
          <w:tcPr>
            <w:tcW w:w="0" w:type="auto"/>
            <w:hideMark/>
          </w:tcPr>
          <w:p w14:paraId="4404FE81"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1 plante</w:t>
            </w:r>
          </w:p>
        </w:tc>
        <w:tc>
          <w:tcPr>
            <w:tcW w:w="0" w:type="auto"/>
            <w:hideMark/>
          </w:tcPr>
          <w:p w14:paraId="0EA46B31"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95</w:t>
            </w:r>
          </w:p>
        </w:tc>
        <w:tc>
          <w:tcPr>
            <w:tcW w:w="0" w:type="auto"/>
            <w:hideMark/>
          </w:tcPr>
          <w:p w14:paraId="54B0DF7C"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60,1 %</w:t>
            </w:r>
          </w:p>
        </w:tc>
      </w:tr>
      <w:tr w:rsidR="00664D0A" w:rsidRPr="0008228B" w14:paraId="3AED5A35" w14:textId="77777777" w:rsidTr="003C72FA">
        <w:trPr>
          <w:trHeight w:val="688"/>
        </w:trPr>
        <w:tc>
          <w:tcPr>
            <w:tcW w:w="0" w:type="auto"/>
            <w:hideMark/>
          </w:tcPr>
          <w:p w14:paraId="1810595E"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2 plantes</w:t>
            </w:r>
          </w:p>
        </w:tc>
        <w:tc>
          <w:tcPr>
            <w:tcW w:w="0" w:type="auto"/>
            <w:hideMark/>
          </w:tcPr>
          <w:p w14:paraId="464129CA"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37</w:t>
            </w:r>
          </w:p>
        </w:tc>
        <w:tc>
          <w:tcPr>
            <w:tcW w:w="0" w:type="auto"/>
            <w:hideMark/>
          </w:tcPr>
          <w:p w14:paraId="4CECFE87"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23,4 %</w:t>
            </w:r>
          </w:p>
        </w:tc>
      </w:tr>
      <w:tr w:rsidR="00664D0A" w:rsidRPr="0008228B" w14:paraId="7D44DCE2" w14:textId="77777777" w:rsidTr="003C72FA">
        <w:trPr>
          <w:trHeight w:val="688"/>
        </w:trPr>
        <w:tc>
          <w:tcPr>
            <w:tcW w:w="0" w:type="auto"/>
            <w:hideMark/>
          </w:tcPr>
          <w:p w14:paraId="3EAA82F0"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3 plantes</w:t>
            </w:r>
          </w:p>
        </w:tc>
        <w:tc>
          <w:tcPr>
            <w:tcW w:w="0" w:type="auto"/>
            <w:hideMark/>
          </w:tcPr>
          <w:p w14:paraId="2E6E094E"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20</w:t>
            </w:r>
          </w:p>
        </w:tc>
        <w:tc>
          <w:tcPr>
            <w:tcW w:w="0" w:type="auto"/>
            <w:hideMark/>
          </w:tcPr>
          <w:p w14:paraId="4E67C030"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12,7 %</w:t>
            </w:r>
          </w:p>
        </w:tc>
      </w:tr>
      <w:tr w:rsidR="00664D0A" w:rsidRPr="0008228B" w14:paraId="4B93F244" w14:textId="77777777" w:rsidTr="003C72FA">
        <w:trPr>
          <w:trHeight w:val="688"/>
        </w:trPr>
        <w:tc>
          <w:tcPr>
            <w:tcW w:w="0" w:type="auto"/>
            <w:hideMark/>
          </w:tcPr>
          <w:p w14:paraId="55DAB612"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4 plantes</w:t>
            </w:r>
          </w:p>
        </w:tc>
        <w:tc>
          <w:tcPr>
            <w:tcW w:w="0" w:type="auto"/>
            <w:hideMark/>
          </w:tcPr>
          <w:p w14:paraId="4287C700"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6</w:t>
            </w:r>
          </w:p>
        </w:tc>
        <w:tc>
          <w:tcPr>
            <w:tcW w:w="0" w:type="auto"/>
            <w:hideMark/>
          </w:tcPr>
          <w:p w14:paraId="6DEA2B81"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3,8 %</w:t>
            </w:r>
          </w:p>
        </w:tc>
      </w:tr>
      <w:tr w:rsidR="00664D0A" w:rsidRPr="0008228B" w14:paraId="622986FF" w14:textId="77777777" w:rsidTr="003C72FA">
        <w:trPr>
          <w:trHeight w:val="688"/>
        </w:trPr>
        <w:tc>
          <w:tcPr>
            <w:tcW w:w="0" w:type="auto"/>
            <w:hideMark/>
          </w:tcPr>
          <w:p w14:paraId="05C20508"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TOTAL</w:t>
            </w:r>
          </w:p>
        </w:tc>
        <w:tc>
          <w:tcPr>
            <w:tcW w:w="0" w:type="auto"/>
            <w:hideMark/>
          </w:tcPr>
          <w:p w14:paraId="7F47ADB6"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158</w:t>
            </w:r>
          </w:p>
        </w:tc>
        <w:tc>
          <w:tcPr>
            <w:tcW w:w="0" w:type="auto"/>
            <w:hideMark/>
          </w:tcPr>
          <w:p w14:paraId="7BE02CF4" w14:textId="77777777" w:rsidR="00664D0A" w:rsidRPr="0008228B" w:rsidRDefault="00664D0A" w:rsidP="00B139C3">
            <w:pPr>
              <w:rPr>
                <w:rFonts w:ascii="Arial" w:eastAsia="Times New Roman" w:hAnsi="Arial" w:cs="Arial"/>
                <w:sz w:val="20"/>
                <w:szCs w:val="20"/>
                <w:lang w:eastAsia="fr-FR"/>
              </w:rPr>
            </w:pPr>
            <w:r w:rsidRPr="0008228B">
              <w:rPr>
                <w:rFonts w:ascii="Arial" w:eastAsia="Times New Roman" w:hAnsi="Arial" w:cs="Arial"/>
                <w:sz w:val="20"/>
                <w:szCs w:val="20"/>
                <w:lang w:eastAsia="fr-FR"/>
              </w:rPr>
              <w:t>100 %</w:t>
            </w:r>
          </w:p>
        </w:tc>
      </w:tr>
    </w:tbl>
    <w:p w14:paraId="1565883F" w14:textId="5F157458" w:rsidR="003C72FA" w:rsidRDefault="00664D0A" w:rsidP="003C72FA">
      <w:pPr>
        <w:keepNext/>
      </w:pPr>
      <w:r>
        <w:rPr>
          <w:noProof/>
          <w:lang w:val="fr-FR" w:eastAsia="fr-FR"/>
        </w:rPr>
        <w:lastRenderedPageBreak/>
        <w:drawing>
          <wp:inline distT="0" distB="0" distL="0" distR="0" wp14:anchorId="218472A5" wp14:editId="66A6AB16">
            <wp:extent cx="5948127" cy="3114392"/>
            <wp:effectExtent l="0" t="0" r="14605" b="1016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492636DE" w14:textId="170044DD" w:rsidR="00664D0A" w:rsidRDefault="003C72FA" w:rsidP="003C72FA">
      <w:pPr>
        <w:pStyle w:val="Caption"/>
      </w:pPr>
      <w:bookmarkStart w:id="190" w:name="_Toc229617350"/>
      <w:r>
        <w:t xml:space="preserve">Figure </w:t>
      </w:r>
      <w:r>
        <w:fldChar w:fldCharType="begin"/>
      </w:r>
      <w:r>
        <w:instrText xml:space="preserve"> SEQ Figure \* ARABIC </w:instrText>
      </w:r>
      <w:r>
        <w:fldChar w:fldCharType="separate"/>
      </w:r>
      <w:r w:rsidR="00983108">
        <w:rPr>
          <w:noProof/>
        </w:rPr>
        <w:t>61</w:t>
      </w:r>
      <w:r>
        <w:fldChar w:fldCharType="end"/>
      </w:r>
      <w:r>
        <w:t xml:space="preserve"> </w:t>
      </w:r>
      <w:r w:rsidRPr="00D63F33">
        <w:t xml:space="preserve">27 Répartition des </w:t>
      </w:r>
      <w:proofErr w:type="gramStart"/>
      <w:r w:rsidRPr="00D63F33">
        <w:t>patients  utilisateurs</w:t>
      </w:r>
      <w:proofErr w:type="gramEnd"/>
      <w:r w:rsidRPr="00D63F33">
        <w:t xml:space="preserve"> selon le nombre de plantes consommées</w:t>
      </w:r>
      <w:bookmarkEnd w:id="190"/>
    </w:p>
    <w:p w14:paraId="5A13B5E4" w14:textId="77777777" w:rsidR="00664D0A" w:rsidRPr="00F96B82" w:rsidRDefault="00664D0A" w:rsidP="00B139C3">
      <w:pPr>
        <w:rPr>
          <w:lang w:val="fr-FR"/>
        </w:rPr>
      </w:pPr>
      <w:r w:rsidRPr="00F96B82">
        <w:rPr>
          <w:sz w:val="28"/>
          <w:szCs w:val="28"/>
          <w:lang w:val="fr-FR"/>
        </w:rPr>
        <w:t>Analyse </w:t>
      </w:r>
      <w:r w:rsidRPr="00F96B82">
        <w:rPr>
          <w:lang w:val="fr-FR"/>
        </w:rPr>
        <w:t>:</w:t>
      </w:r>
      <w:r w:rsidRPr="00F96B82">
        <w:rPr>
          <w:lang w:val="fr-FR"/>
        </w:rPr>
        <w:br/>
        <w:t xml:space="preserve">Ces résultats montrent une tendance nette vers l’utilisation simple de la phytothérapie, avec une prédominance de l’utilisation   d’une seule </w:t>
      </w:r>
      <w:proofErr w:type="gramStart"/>
      <w:r w:rsidRPr="00F96B82">
        <w:rPr>
          <w:lang w:val="fr-FR"/>
        </w:rPr>
        <w:t>plante .</w:t>
      </w:r>
      <w:proofErr w:type="gramEnd"/>
      <w:r w:rsidRPr="00F96B82">
        <w:rPr>
          <w:lang w:val="fr-FR"/>
        </w:rPr>
        <w:t xml:space="preserve"> Cela peut s’expliquer par :</w:t>
      </w:r>
      <w:r w:rsidRPr="00F96B82">
        <w:rPr>
          <w:lang w:val="fr-FR"/>
        </w:rPr>
        <w:br/>
        <w:t>une meilleure connaissance populaire limitée des associations de plantes,</w:t>
      </w:r>
      <w:r w:rsidRPr="00F96B82">
        <w:rPr>
          <w:lang w:val="fr-FR"/>
        </w:rPr>
        <w:br/>
        <w:t>une volonté de sécurité et simplicité thérapeutique chez les patients,</w:t>
      </w:r>
      <w:r w:rsidRPr="00F96B82">
        <w:rPr>
          <w:lang w:val="fr-FR"/>
        </w:rPr>
        <w:br/>
        <w:t>ou encore un accès facilité à une seule plante disponible localement.</w:t>
      </w:r>
    </w:p>
    <w:p w14:paraId="4135E477" w14:textId="3BC22B68" w:rsidR="00664D0A" w:rsidRPr="00EC1434" w:rsidRDefault="00664D0A" w:rsidP="00EC1434">
      <w:pPr>
        <w:rPr>
          <w:b/>
          <w:bCs/>
          <w:sz w:val="28"/>
          <w:szCs w:val="28"/>
          <w:lang w:val="fr-FR"/>
        </w:rPr>
      </w:pPr>
      <w:r w:rsidRPr="00EC1434">
        <w:rPr>
          <w:b/>
          <w:bCs/>
          <w:sz w:val="28"/>
          <w:szCs w:val="28"/>
          <w:lang w:val="fr-FR"/>
        </w:rPr>
        <w:t xml:space="preserve">C / Distribution des patients utilisateurs </w:t>
      </w:r>
      <w:r w:rsidR="00EC1434" w:rsidRPr="00EC1434">
        <w:rPr>
          <w:b/>
          <w:bCs/>
          <w:sz w:val="28"/>
          <w:szCs w:val="28"/>
          <w:lang w:val="fr-FR"/>
        </w:rPr>
        <w:t xml:space="preserve">des plantes medicinales </w:t>
      </w:r>
      <w:r w:rsidRPr="00EC1434">
        <w:rPr>
          <w:b/>
          <w:bCs/>
          <w:sz w:val="28"/>
          <w:szCs w:val="28"/>
          <w:lang w:val="fr-FR"/>
        </w:rPr>
        <w:t>en fonction de la durée d'utilisation :</w:t>
      </w:r>
    </w:p>
    <w:p w14:paraId="4B8A6DA4" w14:textId="77777777" w:rsidR="00664D0A" w:rsidRPr="00664D0A" w:rsidRDefault="00664D0A" w:rsidP="00B139C3">
      <w:pPr>
        <w:rPr>
          <w:rFonts w:ascii="Times New Roman" w:eastAsia="Times New Roman" w:hAnsi="Times New Roman" w:cs="Times New Roman"/>
          <w:sz w:val="28"/>
          <w:szCs w:val="28"/>
          <w:lang w:val="fr-FR" w:eastAsia="fr-FR"/>
        </w:rPr>
      </w:pPr>
      <w:r w:rsidRPr="00664D0A">
        <w:rPr>
          <w:rFonts w:ascii="Times New Roman" w:eastAsia="Times New Roman" w:hAnsi="Times New Roman" w:cs="Times New Roman"/>
          <w:sz w:val="28"/>
          <w:szCs w:val="28"/>
          <w:lang w:val="fr-FR" w:eastAsia="fr-FR"/>
        </w:rPr>
        <w:t>Description :</w:t>
      </w:r>
    </w:p>
    <w:p w14:paraId="36DC40F6" w14:textId="22FE4894" w:rsidR="00664D0A" w:rsidRDefault="00664D0A" w:rsidP="0005552C">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La répartition de la durée d’utilisation de la phytothérapie chez les 158 patients diabétiques utilisateurs montre une utilisation majoritairement prolongée plutôt qu’occasionnelle. La catégorie la plus représentée est celle comprise entre un mois et un an, qui regroupe 44 patients (27,8 %), suivie de la durée de 1 à 3 ans avec 35 patients (22,2 %). Une proportion importante de patients rapporte également une utilisation de longue durée, notamment entre 5 et 10 ans (20,3 %) et au-delà de 10 ans (8,9 %). À l’inverse, l’utilisation récente de moins d’un mois demeure peu fréquente, ne concernant que 6,3 % des utilisateurs. Dans l’ensemble, plus des deux tiers des participants (66,0 %) déclarent un recours à la phytothérapie depuis au moins une année, ce qui traduit une pratique durable, intégrée dans la stratégie thérapeutique de</w:t>
      </w:r>
      <w:r w:rsidR="0005552C">
        <w:rPr>
          <w:rFonts w:ascii="Times New Roman" w:eastAsia="Times New Roman" w:hAnsi="Times New Roman" w:cs="Times New Roman"/>
          <w:lang w:val="fr-FR" w:eastAsia="fr-FR"/>
        </w:rPr>
        <w:t xml:space="preserve"> nombreux patients diabétiques.</w:t>
      </w:r>
    </w:p>
    <w:p w14:paraId="10332A96" w14:textId="77777777" w:rsidR="003C72FA" w:rsidRPr="00664D0A" w:rsidRDefault="003C72FA" w:rsidP="0005552C">
      <w:pPr>
        <w:rPr>
          <w:rFonts w:ascii="Times New Roman" w:eastAsia="Times New Roman" w:hAnsi="Times New Roman" w:cs="Times New Roman"/>
          <w:lang w:val="fr-FR" w:eastAsia="fr-FR"/>
        </w:rPr>
      </w:pPr>
    </w:p>
    <w:p w14:paraId="68BF221C" w14:textId="32939292" w:rsidR="0005552C" w:rsidRDefault="0005552C" w:rsidP="0005552C">
      <w:pPr>
        <w:pStyle w:val="Caption"/>
        <w:keepNext/>
      </w:pPr>
      <w:bookmarkStart w:id="191" w:name="_Toc229617389"/>
      <w:r>
        <w:lastRenderedPageBreak/>
        <w:t xml:space="preserve">Tableau </w:t>
      </w:r>
      <w:r>
        <w:fldChar w:fldCharType="begin"/>
      </w:r>
      <w:r>
        <w:instrText xml:space="preserve"> SEQ Tableau \* ARABIC </w:instrText>
      </w:r>
      <w:r>
        <w:fldChar w:fldCharType="separate"/>
      </w:r>
      <w:r w:rsidR="00983108">
        <w:rPr>
          <w:noProof/>
        </w:rPr>
        <w:t>28</w:t>
      </w:r>
      <w:r>
        <w:fldChar w:fldCharType="end"/>
      </w:r>
      <w:r>
        <w:t xml:space="preserve"> </w:t>
      </w:r>
      <w:r w:rsidRPr="00B71A19">
        <w:t>: Répartition de la durée d’utilisation de la phytothérapie chez les patients diabétiques utilisateurs</w:t>
      </w:r>
      <w:bookmarkEnd w:id="191"/>
    </w:p>
    <w:tbl>
      <w:tblPr>
        <w:tblW w:w="7792" w:type="dxa"/>
        <w:tblLook w:val="04A0" w:firstRow="1" w:lastRow="0" w:firstColumn="1" w:lastColumn="0" w:noHBand="0" w:noVBand="1"/>
      </w:tblPr>
      <w:tblGrid>
        <w:gridCol w:w="3186"/>
        <w:gridCol w:w="2030"/>
        <w:gridCol w:w="2576"/>
      </w:tblGrid>
      <w:tr w:rsidR="00664D0A" w:rsidRPr="005B3A9B" w14:paraId="5A3C4BE0" w14:textId="77777777" w:rsidTr="00784D29">
        <w:trPr>
          <w:trHeight w:val="425"/>
        </w:trPr>
        <w:tc>
          <w:tcPr>
            <w:tcW w:w="0" w:type="auto"/>
            <w:hideMark/>
          </w:tcPr>
          <w:p w14:paraId="3AB4F2DC"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Durée d’utilisation</w:t>
            </w:r>
          </w:p>
        </w:tc>
        <w:tc>
          <w:tcPr>
            <w:tcW w:w="0" w:type="auto"/>
            <w:hideMark/>
          </w:tcPr>
          <w:p w14:paraId="4AD5C56D"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Effectif (n)</w:t>
            </w:r>
          </w:p>
        </w:tc>
        <w:tc>
          <w:tcPr>
            <w:tcW w:w="0" w:type="auto"/>
            <w:hideMark/>
          </w:tcPr>
          <w:p w14:paraId="0603C8D5"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Fréquence (%)</w:t>
            </w:r>
          </w:p>
        </w:tc>
      </w:tr>
      <w:tr w:rsidR="00664D0A" w:rsidRPr="005B3A9B" w14:paraId="1904A237" w14:textId="77777777" w:rsidTr="00784D29">
        <w:trPr>
          <w:trHeight w:val="425"/>
        </w:trPr>
        <w:tc>
          <w:tcPr>
            <w:tcW w:w="0" w:type="auto"/>
            <w:hideMark/>
          </w:tcPr>
          <w:p w14:paraId="5637A891"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&lt; 1 mois</w:t>
            </w:r>
          </w:p>
        </w:tc>
        <w:tc>
          <w:tcPr>
            <w:tcW w:w="0" w:type="auto"/>
            <w:hideMark/>
          </w:tcPr>
          <w:p w14:paraId="304A9480"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10</w:t>
            </w:r>
          </w:p>
        </w:tc>
        <w:tc>
          <w:tcPr>
            <w:tcW w:w="0" w:type="auto"/>
            <w:hideMark/>
          </w:tcPr>
          <w:p w14:paraId="382FB377"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6,3 %</w:t>
            </w:r>
          </w:p>
        </w:tc>
      </w:tr>
      <w:tr w:rsidR="00664D0A" w:rsidRPr="005B3A9B" w14:paraId="112F40B0" w14:textId="77777777" w:rsidTr="00784D29">
        <w:trPr>
          <w:trHeight w:val="425"/>
        </w:trPr>
        <w:tc>
          <w:tcPr>
            <w:tcW w:w="0" w:type="auto"/>
            <w:hideMark/>
          </w:tcPr>
          <w:p w14:paraId="61CFE47B"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 xml:space="preserve">[1 </w:t>
            </w:r>
            <w:proofErr w:type="gramStart"/>
            <w:r w:rsidRPr="005B3A9B">
              <w:rPr>
                <w:rFonts w:ascii="Times New Roman" w:eastAsia="Times New Roman" w:hAnsi="Times New Roman" w:cs="Times New Roman"/>
                <w:lang w:eastAsia="fr-FR"/>
              </w:rPr>
              <w:t>mois ;</w:t>
            </w:r>
            <w:proofErr w:type="gramEnd"/>
            <w:r w:rsidRPr="005B3A9B">
              <w:rPr>
                <w:rFonts w:ascii="Times New Roman" w:eastAsia="Times New Roman" w:hAnsi="Times New Roman" w:cs="Times New Roman"/>
                <w:lang w:eastAsia="fr-FR"/>
              </w:rPr>
              <w:t xml:space="preserve"> 1 an[</w:t>
            </w:r>
          </w:p>
        </w:tc>
        <w:tc>
          <w:tcPr>
            <w:tcW w:w="0" w:type="auto"/>
            <w:hideMark/>
          </w:tcPr>
          <w:p w14:paraId="7F7D2DFA"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44</w:t>
            </w:r>
          </w:p>
        </w:tc>
        <w:tc>
          <w:tcPr>
            <w:tcW w:w="0" w:type="auto"/>
            <w:hideMark/>
          </w:tcPr>
          <w:p w14:paraId="0059D439"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27,8 %</w:t>
            </w:r>
          </w:p>
        </w:tc>
      </w:tr>
      <w:tr w:rsidR="00664D0A" w:rsidRPr="005B3A9B" w14:paraId="0597F532" w14:textId="77777777" w:rsidTr="00784D29">
        <w:trPr>
          <w:trHeight w:val="425"/>
        </w:trPr>
        <w:tc>
          <w:tcPr>
            <w:tcW w:w="0" w:type="auto"/>
            <w:hideMark/>
          </w:tcPr>
          <w:p w14:paraId="5CD15955"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 xml:space="preserve">[1 </w:t>
            </w:r>
            <w:proofErr w:type="gramStart"/>
            <w:r w:rsidRPr="005B3A9B">
              <w:rPr>
                <w:rFonts w:ascii="Times New Roman" w:eastAsia="Times New Roman" w:hAnsi="Times New Roman" w:cs="Times New Roman"/>
                <w:lang w:eastAsia="fr-FR"/>
              </w:rPr>
              <w:t>an ;</w:t>
            </w:r>
            <w:proofErr w:type="gramEnd"/>
            <w:r w:rsidRPr="005B3A9B">
              <w:rPr>
                <w:rFonts w:ascii="Times New Roman" w:eastAsia="Times New Roman" w:hAnsi="Times New Roman" w:cs="Times New Roman"/>
                <w:lang w:eastAsia="fr-FR"/>
              </w:rPr>
              <w:t xml:space="preserve"> 3 ans]</w:t>
            </w:r>
          </w:p>
        </w:tc>
        <w:tc>
          <w:tcPr>
            <w:tcW w:w="0" w:type="auto"/>
            <w:hideMark/>
          </w:tcPr>
          <w:p w14:paraId="665CFF54"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35</w:t>
            </w:r>
          </w:p>
        </w:tc>
        <w:tc>
          <w:tcPr>
            <w:tcW w:w="0" w:type="auto"/>
            <w:hideMark/>
          </w:tcPr>
          <w:p w14:paraId="18BC29B0"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22,2 %</w:t>
            </w:r>
          </w:p>
        </w:tc>
      </w:tr>
      <w:tr w:rsidR="00664D0A" w:rsidRPr="005B3A9B" w14:paraId="6B94965E" w14:textId="77777777" w:rsidTr="00784D29">
        <w:trPr>
          <w:trHeight w:val="425"/>
        </w:trPr>
        <w:tc>
          <w:tcPr>
            <w:tcW w:w="0" w:type="auto"/>
            <w:hideMark/>
          </w:tcPr>
          <w:p w14:paraId="31A631BE"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 xml:space="preserve">]3 </w:t>
            </w:r>
            <w:proofErr w:type="gramStart"/>
            <w:r w:rsidRPr="005B3A9B">
              <w:rPr>
                <w:rFonts w:ascii="Times New Roman" w:eastAsia="Times New Roman" w:hAnsi="Times New Roman" w:cs="Times New Roman"/>
                <w:lang w:eastAsia="fr-FR"/>
              </w:rPr>
              <w:t>ans ;</w:t>
            </w:r>
            <w:proofErr w:type="gramEnd"/>
            <w:r w:rsidRPr="005B3A9B">
              <w:rPr>
                <w:rFonts w:ascii="Times New Roman" w:eastAsia="Times New Roman" w:hAnsi="Times New Roman" w:cs="Times New Roman"/>
                <w:lang w:eastAsia="fr-FR"/>
              </w:rPr>
              <w:t xml:space="preserve"> 5 ans]</w:t>
            </w:r>
          </w:p>
        </w:tc>
        <w:tc>
          <w:tcPr>
            <w:tcW w:w="0" w:type="auto"/>
            <w:hideMark/>
          </w:tcPr>
          <w:p w14:paraId="4FCF10CD"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23</w:t>
            </w:r>
          </w:p>
        </w:tc>
        <w:tc>
          <w:tcPr>
            <w:tcW w:w="0" w:type="auto"/>
            <w:hideMark/>
          </w:tcPr>
          <w:p w14:paraId="55C46CF3"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14,6 %</w:t>
            </w:r>
          </w:p>
        </w:tc>
      </w:tr>
      <w:tr w:rsidR="00664D0A" w:rsidRPr="005B3A9B" w14:paraId="35BD3FAC" w14:textId="77777777" w:rsidTr="00784D29">
        <w:trPr>
          <w:trHeight w:val="425"/>
        </w:trPr>
        <w:tc>
          <w:tcPr>
            <w:tcW w:w="0" w:type="auto"/>
            <w:hideMark/>
          </w:tcPr>
          <w:p w14:paraId="3E598A29"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 xml:space="preserve">]5 </w:t>
            </w:r>
            <w:proofErr w:type="gramStart"/>
            <w:r w:rsidRPr="005B3A9B">
              <w:rPr>
                <w:rFonts w:ascii="Times New Roman" w:eastAsia="Times New Roman" w:hAnsi="Times New Roman" w:cs="Times New Roman"/>
                <w:lang w:eastAsia="fr-FR"/>
              </w:rPr>
              <w:t>ans ;</w:t>
            </w:r>
            <w:proofErr w:type="gramEnd"/>
            <w:r w:rsidRPr="005B3A9B">
              <w:rPr>
                <w:rFonts w:ascii="Times New Roman" w:eastAsia="Times New Roman" w:hAnsi="Times New Roman" w:cs="Times New Roman"/>
                <w:lang w:eastAsia="fr-FR"/>
              </w:rPr>
              <w:t xml:space="preserve"> 10 ans[</w:t>
            </w:r>
          </w:p>
        </w:tc>
        <w:tc>
          <w:tcPr>
            <w:tcW w:w="0" w:type="auto"/>
            <w:hideMark/>
          </w:tcPr>
          <w:p w14:paraId="0C162409"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32</w:t>
            </w:r>
          </w:p>
        </w:tc>
        <w:tc>
          <w:tcPr>
            <w:tcW w:w="0" w:type="auto"/>
            <w:hideMark/>
          </w:tcPr>
          <w:p w14:paraId="48711847"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20,3 %</w:t>
            </w:r>
          </w:p>
        </w:tc>
      </w:tr>
      <w:tr w:rsidR="00664D0A" w:rsidRPr="005B3A9B" w14:paraId="4DD20167" w14:textId="77777777" w:rsidTr="00784D29">
        <w:trPr>
          <w:trHeight w:val="425"/>
        </w:trPr>
        <w:tc>
          <w:tcPr>
            <w:tcW w:w="0" w:type="auto"/>
            <w:hideMark/>
          </w:tcPr>
          <w:p w14:paraId="38408832"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 10 ans</w:t>
            </w:r>
          </w:p>
        </w:tc>
        <w:tc>
          <w:tcPr>
            <w:tcW w:w="0" w:type="auto"/>
            <w:hideMark/>
          </w:tcPr>
          <w:p w14:paraId="1EB5B06C"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14</w:t>
            </w:r>
          </w:p>
        </w:tc>
        <w:tc>
          <w:tcPr>
            <w:tcW w:w="0" w:type="auto"/>
            <w:hideMark/>
          </w:tcPr>
          <w:p w14:paraId="3B3DD2EF"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8,9 %</w:t>
            </w:r>
          </w:p>
        </w:tc>
      </w:tr>
      <w:tr w:rsidR="00664D0A" w:rsidRPr="005B3A9B" w14:paraId="633C7837" w14:textId="77777777" w:rsidTr="00784D29">
        <w:trPr>
          <w:trHeight w:val="425"/>
        </w:trPr>
        <w:tc>
          <w:tcPr>
            <w:tcW w:w="0" w:type="auto"/>
            <w:hideMark/>
          </w:tcPr>
          <w:p w14:paraId="0C8C9973"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TOTAL</w:t>
            </w:r>
          </w:p>
        </w:tc>
        <w:tc>
          <w:tcPr>
            <w:tcW w:w="0" w:type="auto"/>
            <w:hideMark/>
          </w:tcPr>
          <w:p w14:paraId="08E779C4"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158</w:t>
            </w:r>
          </w:p>
        </w:tc>
        <w:tc>
          <w:tcPr>
            <w:tcW w:w="0" w:type="auto"/>
            <w:hideMark/>
          </w:tcPr>
          <w:p w14:paraId="33371564" w14:textId="77777777" w:rsidR="00664D0A" w:rsidRPr="005B3A9B" w:rsidRDefault="00664D0A" w:rsidP="00B139C3">
            <w:pPr>
              <w:rPr>
                <w:rFonts w:ascii="Times New Roman" w:eastAsia="Times New Roman" w:hAnsi="Times New Roman" w:cs="Times New Roman"/>
                <w:lang w:eastAsia="fr-FR"/>
              </w:rPr>
            </w:pPr>
            <w:r w:rsidRPr="005B3A9B">
              <w:rPr>
                <w:rFonts w:ascii="Times New Roman" w:eastAsia="Times New Roman" w:hAnsi="Times New Roman" w:cs="Times New Roman"/>
                <w:lang w:eastAsia="fr-FR"/>
              </w:rPr>
              <w:t>100,0 %</w:t>
            </w:r>
          </w:p>
        </w:tc>
      </w:tr>
    </w:tbl>
    <w:p w14:paraId="21DCBC7C" w14:textId="77777777" w:rsidR="00664D0A" w:rsidRPr="005B3A9B" w:rsidRDefault="00664D0A" w:rsidP="00B139C3">
      <w:pPr>
        <w:rPr>
          <w:rFonts w:ascii="Times New Roman" w:eastAsia="Times New Roman" w:hAnsi="Times New Roman" w:cs="Times New Roman"/>
          <w:lang w:eastAsia="fr-FR"/>
        </w:rPr>
      </w:pPr>
    </w:p>
    <w:p w14:paraId="467B884D" w14:textId="77777777" w:rsidR="003C72FA" w:rsidRDefault="00664D0A" w:rsidP="003C72FA">
      <w:pPr>
        <w:keepNext/>
      </w:pPr>
      <w:r>
        <w:rPr>
          <w:noProof/>
          <w:lang w:val="fr-FR" w:eastAsia="fr-FR"/>
        </w:rPr>
        <w:drawing>
          <wp:inline distT="0" distB="0" distL="0" distR="0" wp14:anchorId="2E7AE4FE" wp14:editId="3BAFA10A">
            <wp:extent cx="5715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2C37A71B" w14:textId="33F106BD" w:rsidR="00664D0A" w:rsidRPr="00821082" w:rsidRDefault="003C72FA" w:rsidP="003C72FA">
      <w:pPr>
        <w:pStyle w:val="Caption"/>
      </w:pPr>
      <w:bookmarkStart w:id="192" w:name="_Toc229617351"/>
      <w:r>
        <w:t xml:space="preserve">Figure </w:t>
      </w:r>
      <w:r>
        <w:fldChar w:fldCharType="begin"/>
      </w:r>
      <w:r>
        <w:instrText xml:space="preserve"> SEQ Figure \* ARABIC </w:instrText>
      </w:r>
      <w:r>
        <w:fldChar w:fldCharType="separate"/>
      </w:r>
      <w:r w:rsidR="00983108">
        <w:rPr>
          <w:noProof/>
        </w:rPr>
        <w:t>62</w:t>
      </w:r>
      <w:r>
        <w:fldChar w:fldCharType="end"/>
      </w:r>
      <w:r>
        <w:t xml:space="preserve"> </w:t>
      </w:r>
      <w:r w:rsidRPr="00A703A5">
        <w:t>: Répartition de la durée d’utilisation de la phytothérapie chez les patients diabétiques utilisateurs</w:t>
      </w:r>
      <w:bookmarkEnd w:id="192"/>
    </w:p>
    <w:p w14:paraId="6E128A47" w14:textId="77777777" w:rsidR="00664D0A" w:rsidRPr="00664D0A" w:rsidRDefault="00664D0A" w:rsidP="00B139C3">
      <w:pPr>
        <w:rPr>
          <w:lang w:val="fr-FR"/>
        </w:rPr>
      </w:pPr>
      <w:r w:rsidRPr="00664D0A">
        <w:rPr>
          <w:lang w:val="fr-FR"/>
        </w:rPr>
        <w:t>Figure : Distribution de la durée de recours à la phytothérapie chez les patients diabétiques utilisateurs</w:t>
      </w:r>
    </w:p>
    <w:p w14:paraId="584FACF8" w14:textId="77777777" w:rsidR="00664D0A" w:rsidRPr="00664D0A" w:rsidRDefault="00664D0A" w:rsidP="00B139C3">
      <w:pPr>
        <w:rPr>
          <w:sz w:val="28"/>
          <w:szCs w:val="28"/>
          <w:lang w:val="fr-FR"/>
        </w:rPr>
      </w:pPr>
      <w:r w:rsidRPr="00664D0A">
        <w:rPr>
          <w:sz w:val="28"/>
          <w:szCs w:val="28"/>
          <w:lang w:val="fr-FR"/>
        </w:rPr>
        <w:t>Analyse :</w:t>
      </w:r>
    </w:p>
    <w:p w14:paraId="03AB8495" w14:textId="77777777" w:rsidR="00664D0A" w:rsidRPr="00664D0A" w:rsidRDefault="00664D0A" w:rsidP="00B139C3">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 xml:space="preserve">L’étude de la durée d’utilisation met en évidence que la phytothérapie n’est pas utilisée de façon ponctuelle, mais s’inscrit le plus souvent dans une démarche thérapeutique continue. La prédominance des durées intermédiaires (1 mois à 3 ans) suggère que de nombreux patients adoptent les plantes médicinales après une phase d’expérimentation initiale, puis poursuivent leur utilisation lorsqu’ils perçoivent un bénéfice clinique, notamment sur la glycémie ou le bien-être général. Par ailleurs, la proportion non négligeable de patients utilisant la phytothérapie </w:t>
      </w:r>
      <w:r w:rsidRPr="00664D0A">
        <w:rPr>
          <w:rFonts w:ascii="Times New Roman" w:eastAsia="Times New Roman" w:hAnsi="Times New Roman" w:cs="Times New Roman"/>
          <w:lang w:val="fr-FR" w:eastAsia="fr-FR"/>
        </w:rPr>
        <w:lastRenderedPageBreak/>
        <w:t>depuis plus de 5 ans, représentant 29,1 % de l’échantillon, témoigne d’une forte fidélisation à ces pratiques.</w:t>
      </w:r>
    </w:p>
    <w:p w14:paraId="614B1D77" w14:textId="31E79889" w:rsidR="00664D0A" w:rsidRPr="007277D4" w:rsidRDefault="00664D0A" w:rsidP="007277D4">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Cette persistance peut s’expliquer par plusieurs facteurs : satisfaction subjective quant à l’efficacité, accessibilité des plantes, faible coût, transmission familiale des connaissances et perception d’une meilleure tolérance par rapport aux traitements conventionnels. À l’inverse, la faible proportion d’utilisateurs récents pourrait refléter soit une adoption progressive de la phytothérapie, soit une tendance à l’abandon rapide chez les patients qui n’en perçoivent pas de bénéfice. Globalement, ces résultats indiquent que la phytothérapie occupe chez une partie importante des patients une place durable et complémentaire dans la prise en charge du diabète, suggérant une intégration profonde de ces pratiques dan</w:t>
      </w:r>
      <w:r w:rsidR="007277D4">
        <w:rPr>
          <w:rFonts w:ascii="Times New Roman" w:eastAsia="Times New Roman" w:hAnsi="Times New Roman" w:cs="Times New Roman"/>
          <w:lang w:val="fr-FR" w:eastAsia="fr-FR"/>
        </w:rPr>
        <w:t>s les habitudes thérapeutiques.</w:t>
      </w:r>
    </w:p>
    <w:p w14:paraId="19B6402A" w14:textId="073CBA67" w:rsidR="00664D0A" w:rsidRPr="00240EFB" w:rsidRDefault="00664D0A" w:rsidP="00EC1434">
      <w:pPr>
        <w:rPr>
          <w:b/>
          <w:bCs/>
          <w:sz w:val="28"/>
          <w:szCs w:val="28"/>
          <w:lang w:val="fr-FR"/>
        </w:rPr>
      </w:pPr>
      <w:r w:rsidRPr="00240EFB">
        <w:rPr>
          <w:b/>
          <w:bCs/>
          <w:sz w:val="28"/>
          <w:szCs w:val="28"/>
          <w:lang w:val="fr-FR"/>
        </w:rPr>
        <w:t xml:space="preserve">D / Répartition des patients utilisateurs </w:t>
      </w:r>
      <w:r w:rsidR="00EC1434" w:rsidRPr="00EC1434">
        <w:rPr>
          <w:b/>
          <w:bCs/>
          <w:sz w:val="28"/>
          <w:szCs w:val="28"/>
          <w:lang w:val="fr-FR"/>
        </w:rPr>
        <w:t>des plantes medicinales</w:t>
      </w:r>
      <w:r w:rsidR="00EC1434" w:rsidRPr="00664D0A">
        <w:rPr>
          <w:sz w:val="28"/>
          <w:szCs w:val="28"/>
          <w:lang w:val="fr-FR"/>
        </w:rPr>
        <w:t xml:space="preserve"> </w:t>
      </w:r>
      <w:r w:rsidRPr="00240EFB">
        <w:rPr>
          <w:b/>
          <w:bCs/>
          <w:sz w:val="28"/>
          <w:szCs w:val="28"/>
          <w:lang w:val="fr-FR"/>
        </w:rPr>
        <w:t>en fonction de la fréquence d'utilisation :</w:t>
      </w:r>
    </w:p>
    <w:p w14:paraId="7FC84E3D" w14:textId="77777777" w:rsidR="00664D0A" w:rsidRPr="00664D0A" w:rsidRDefault="00664D0A" w:rsidP="00B139C3">
      <w:pPr>
        <w:rPr>
          <w:sz w:val="28"/>
          <w:szCs w:val="28"/>
          <w:lang w:val="fr-FR"/>
        </w:rPr>
      </w:pPr>
      <w:r w:rsidRPr="00664D0A">
        <w:rPr>
          <w:sz w:val="28"/>
          <w:szCs w:val="28"/>
          <w:lang w:val="fr-FR"/>
        </w:rPr>
        <w:t>Description :</w:t>
      </w:r>
    </w:p>
    <w:p w14:paraId="426E8933" w14:textId="77777777" w:rsidR="00664D0A" w:rsidRPr="00664D0A" w:rsidRDefault="00664D0A" w:rsidP="00B139C3">
      <w:pPr>
        <w:rPr>
          <w:lang w:val="fr-FR"/>
        </w:rPr>
      </w:pPr>
      <w:r w:rsidRPr="00664D0A">
        <w:rPr>
          <w:lang w:val="fr-FR"/>
        </w:rPr>
        <w:t>La répartition de la fréquence d’utilisation de la phytothérapie chez les 158 patients diabétiques utilisateurs montre une nette prédominance d’un recours occasionnel. En effet, 95 patients, soit 60,1 % de l’échantillon, déclarent utiliser les plantes médicinales de manière ponctuelle, ce qui constitue le mode d’utilisation le plus fréquent. L’usage plusieurs fois par semaine concerne 43 patients (27,2 %), tandis que l’utilisation quotidienne est rapportée par 20 patients (12,7 %) seulement. Ces résultats indiquent que, pour la majorité des participants, la phytothérapie est employée de façon intermittente plutôt que systématique, suggérant un recours souvent adapté à certaines périodes, à des fluctuations de la glycémie ou à des besoins spécifiques ressentis par les patients.</w:t>
      </w:r>
    </w:p>
    <w:p w14:paraId="259239ED" w14:textId="798F15FB" w:rsidR="00664D0A" w:rsidRPr="00664D0A" w:rsidRDefault="0005552C" w:rsidP="00B139C3">
      <w:pPr>
        <w:rPr>
          <w:lang w:val="fr-FR"/>
        </w:rPr>
      </w:pPr>
      <w:r>
        <w:rPr>
          <w:lang w:val="fr-FR"/>
        </w:rPr>
        <w:t xml:space="preserve"> </w:t>
      </w:r>
    </w:p>
    <w:p w14:paraId="0477D654" w14:textId="6381BB6A" w:rsidR="0005552C" w:rsidRDefault="0005552C" w:rsidP="0005552C">
      <w:pPr>
        <w:pStyle w:val="Caption"/>
        <w:keepNext/>
      </w:pPr>
      <w:bookmarkStart w:id="193" w:name="_Toc229617390"/>
      <w:r>
        <w:t xml:space="preserve">Tableau </w:t>
      </w:r>
      <w:r>
        <w:fldChar w:fldCharType="begin"/>
      </w:r>
      <w:r>
        <w:instrText xml:space="preserve"> SEQ Tableau \* ARABIC </w:instrText>
      </w:r>
      <w:r>
        <w:fldChar w:fldCharType="separate"/>
      </w:r>
      <w:r w:rsidR="00983108">
        <w:rPr>
          <w:noProof/>
        </w:rPr>
        <w:t>29</w:t>
      </w:r>
      <w:r>
        <w:fldChar w:fldCharType="end"/>
      </w:r>
      <w:r>
        <w:t xml:space="preserve"> </w:t>
      </w:r>
      <w:r w:rsidRPr="004B4053">
        <w:t>répartition de la fréquence d’utilisation de la phytothérapie chez les patients diabétiques utilisateurs</w:t>
      </w:r>
      <w:bookmarkEnd w:id="193"/>
    </w:p>
    <w:tbl>
      <w:tblPr>
        <w:tblW w:w="6436" w:type="dxa"/>
        <w:tblLook w:val="04A0" w:firstRow="1" w:lastRow="0" w:firstColumn="1" w:lastColumn="0" w:noHBand="0" w:noVBand="1"/>
      </w:tblPr>
      <w:tblGrid>
        <w:gridCol w:w="3154"/>
        <w:gridCol w:w="1388"/>
        <w:gridCol w:w="1894"/>
      </w:tblGrid>
      <w:tr w:rsidR="00664D0A" w:rsidRPr="00147626" w14:paraId="4D70FFD1" w14:textId="77777777" w:rsidTr="00784D29">
        <w:trPr>
          <w:trHeight w:val="523"/>
        </w:trPr>
        <w:tc>
          <w:tcPr>
            <w:tcW w:w="0" w:type="auto"/>
            <w:hideMark/>
          </w:tcPr>
          <w:p w14:paraId="75C50F1D"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Fréquence d’utilisation</w:t>
            </w:r>
          </w:p>
        </w:tc>
        <w:tc>
          <w:tcPr>
            <w:tcW w:w="0" w:type="auto"/>
            <w:hideMark/>
          </w:tcPr>
          <w:p w14:paraId="23E1B975"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Effectif (n)</w:t>
            </w:r>
          </w:p>
        </w:tc>
        <w:tc>
          <w:tcPr>
            <w:tcW w:w="0" w:type="auto"/>
            <w:hideMark/>
          </w:tcPr>
          <w:p w14:paraId="259482F7"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Fréquence (%)</w:t>
            </w:r>
          </w:p>
        </w:tc>
      </w:tr>
      <w:tr w:rsidR="00664D0A" w:rsidRPr="00147626" w14:paraId="1039B1EB" w14:textId="77777777" w:rsidTr="00784D29">
        <w:trPr>
          <w:trHeight w:val="523"/>
        </w:trPr>
        <w:tc>
          <w:tcPr>
            <w:tcW w:w="0" w:type="auto"/>
            <w:hideMark/>
          </w:tcPr>
          <w:p w14:paraId="0312D6B6"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Occasionnelle</w:t>
            </w:r>
          </w:p>
        </w:tc>
        <w:tc>
          <w:tcPr>
            <w:tcW w:w="0" w:type="auto"/>
            <w:hideMark/>
          </w:tcPr>
          <w:p w14:paraId="04C3B92C"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95</w:t>
            </w:r>
          </w:p>
        </w:tc>
        <w:tc>
          <w:tcPr>
            <w:tcW w:w="0" w:type="auto"/>
            <w:hideMark/>
          </w:tcPr>
          <w:p w14:paraId="63A3712D"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60,1 %</w:t>
            </w:r>
          </w:p>
        </w:tc>
      </w:tr>
      <w:tr w:rsidR="00664D0A" w:rsidRPr="00147626" w14:paraId="6398C6C4" w14:textId="77777777" w:rsidTr="00784D29">
        <w:trPr>
          <w:trHeight w:val="523"/>
        </w:trPr>
        <w:tc>
          <w:tcPr>
            <w:tcW w:w="0" w:type="auto"/>
            <w:hideMark/>
          </w:tcPr>
          <w:p w14:paraId="106B421E"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Plusieurs fois par semaine</w:t>
            </w:r>
          </w:p>
        </w:tc>
        <w:tc>
          <w:tcPr>
            <w:tcW w:w="0" w:type="auto"/>
            <w:hideMark/>
          </w:tcPr>
          <w:p w14:paraId="7DD41FC8"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43</w:t>
            </w:r>
          </w:p>
        </w:tc>
        <w:tc>
          <w:tcPr>
            <w:tcW w:w="0" w:type="auto"/>
            <w:hideMark/>
          </w:tcPr>
          <w:p w14:paraId="4DD44646"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27,2 %</w:t>
            </w:r>
          </w:p>
        </w:tc>
      </w:tr>
      <w:tr w:rsidR="00664D0A" w:rsidRPr="00147626" w14:paraId="2F1FD25B" w14:textId="77777777" w:rsidTr="00784D29">
        <w:trPr>
          <w:trHeight w:val="523"/>
        </w:trPr>
        <w:tc>
          <w:tcPr>
            <w:tcW w:w="0" w:type="auto"/>
            <w:hideMark/>
          </w:tcPr>
          <w:p w14:paraId="770E3726"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Quotidienne</w:t>
            </w:r>
          </w:p>
        </w:tc>
        <w:tc>
          <w:tcPr>
            <w:tcW w:w="0" w:type="auto"/>
            <w:hideMark/>
          </w:tcPr>
          <w:p w14:paraId="7766A6DC"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20</w:t>
            </w:r>
          </w:p>
        </w:tc>
        <w:tc>
          <w:tcPr>
            <w:tcW w:w="0" w:type="auto"/>
            <w:hideMark/>
          </w:tcPr>
          <w:p w14:paraId="381C4214"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12,7 %</w:t>
            </w:r>
          </w:p>
        </w:tc>
      </w:tr>
      <w:tr w:rsidR="00664D0A" w:rsidRPr="00147626" w14:paraId="1DD9FAED" w14:textId="77777777" w:rsidTr="00784D29">
        <w:trPr>
          <w:trHeight w:val="523"/>
        </w:trPr>
        <w:tc>
          <w:tcPr>
            <w:tcW w:w="0" w:type="auto"/>
            <w:hideMark/>
          </w:tcPr>
          <w:p w14:paraId="72D5C5C5"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TOTAL</w:t>
            </w:r>
          </w:p>
        </w:tc>
        <w:tc>
          <w:tcPr>
            <w:tcW w:w="0" w:type="auto"/>
            <w:hideMark/>
          </w:tcPr>
          <w:p w14:paraId="0E11192B"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158</w:t>
            </w:r>
          </w:p>
        </w:tc>
        <w:tc>
          <w:tcPr>
            <w:tcW w:w="0" w:type="auto"/>
            <w:hideMark/>
          </w:tcPr>
          <w:p w14:paraId="40FF512D" w14:textId="77777777" w:rsidR="00664D0A" w:rsidRPr="00147626" w:rsidRDefault="00664D0A" w:rsidP="00B139C3">
            <w:pPr>
              <w:rPr>
                <w:rFonts w:ascii="Arial" w:eastAsia="Times New Roman" w:hAnsi="Arial" w:cs="Arial"/>
                <w:sz w:val="20"/>
                <w:szCs w:val="20"/>
                <w:lang w:eastAsia="fr-FR"/>
              </w:rPr>
            </w:pPr>
            <w:r w:rsidRPr="00147626">
              <w:rPr>
                <w:rFonts w:ascii="Arial" w:eastAsia="Times New Roman" w:hAnsi="Arial" w:cs="Arial"/>
                <w:sz w:val="20"/>
                <w:szCs w:val="20"/>
                <w:lang w:eastAsia="fr-FR"/>
              </w:rPr>
              <w:t>100,0 %</w:t>
            </w:r>
          </w:p>
        </w:tc>
      </w:tr>
    </w:tbl>
    <w:p w14:paraId="6AFE7DC9" w14:textId="77777777" w:rsidR="003C72FA" w:rsidRDefault="00664D0A" w:rsidP="003C72FA">
      <w:pPr>
        <w:keepNext/>
      </w:pPr>
      <w:r>
        <w:rPr>
          <w:noProof/>
          <w:lang w:val="fr-FR" w:eastAsia="fr-FR"/>
        </w:rPr>
        <w:lastRenderedPageBreak/>
        <w:drawing>
          <wp:inline distT="0" distB="0" distL="0" distR="0" wp14:anchorId="5BC1E262" wp14:editId="3816BD11">
            <wp:extent cx="3949700" cy="22860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13E83444" w14:textId="474A141F" w:rsidR="00664D0A" w:rsidRPr="003C72FA" w:rsidRDefault="003C72FA" w:rsidP="003C72FA">
      <w:pPr>
        <w:pStyle w:val="Caption"/>
      </w:pPr>
      <w:bookmarkStart w:id="194" w:name="_Toc229617352"/>
      <w:r>
        <w:t xml:space="preserve">Figure </w:t>
      </w:r>
      <w:r>
        <w:fldChar w:fldCharType="begin"/>
      </w:r>
      <w:r>
        <w:instrText xml:space="preserve"> SEQ Figure \* ARABIC </w:instrText>
      </w:r>
      <w:r>
        <w:fldChar w:fldCharType="separate"/>
      </w:r>
      <w:r w:rsidR="00983108">
        <w:rPr>
          <w:noProof/>
        </w:rPr>
        <w:t>63</w:t>
      </w:r>
      <w:r>
        <w:fldChar w:fldCharType="end"/>
      </w:r>
      <w:r>
        <w:t xml:space="preserve"> </w:t>
      </w:r>
      <w:r w:rsidRPr="005D687B">
        <w:t>Distribution de la fréquence de recours à la phytothérapie chez les patients diabétiques utilisateurs</w:t>
      </w:r>
      <w:bookmarkEnd w:id="194"/>
    </w:p>
    <w:p w14:paraId="4E29CBC6" w14:textId="77777777" w:rsidR="00664D0A" w:rsidRPr="00664D0A" w:rsidRDefault="00664D0A" w:rsidP="00B139C3">
      <w:pPr>
        <w:rPr>
          <w:rFonts w:ascii="Times New Roman" w:eastAsia="Times New Roman" w:hAnsi="Times New Roman" w:cs="Times New Roman"/>
          <w:sz w:val="28"/>
          <w:szCs w:val="28"/>
          <w:lang w:val="fr-FR" w:eastAsia="fr-FR"/>
        </w:rPr>
      </w:pPr>
      <w:r w:rsidRPr="00664D0A">
        <w:rPr>
          <w:rFonts w:ascii="Times New Roman" w:eastAsia="Times New Roman" w:hAnsi="Times New Roman" w:cs="Times New Roman"/>
          <w:sz w:val="28"/>
          <w:szCs w:val="28"/>
          <w:lang w:val="fr-FR" w:eastAsia="fr-FR"/>
        </w:rPr>
        <w:t xml:space="preserve">Analyse : </w:t>
      </w:r>
    </w:p>
    <w:p w14:paraId="347B582D" w14:textId="77777777" w:rsidR="00664D0A" w:rsidRPr="00664D0A" w:rsidRDefault="00664D0A" w:rsidP="00B139C3">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L’analyse de la fréquence d’utilisation montre une prédominance nette du recours occasionnel à la phytothérapie (60,1 %), largement supérieure à l’utilisation plusieurs fois par semaine (27,2 %) et à l’usage quotidien (12,7 %). Cette distribution suggère que la phytothérapie est principalement utilisée comme approche complémentaire et flexible, plutôt que comme un traitement intégré de façon systématique dans la prise en charge du diabète.</w:t>
      </w:r>
    </w:p>
    <w:p w14:paraId="459B1E3B" w14:textId="60E580D3" w:rsidR="00664D0A" w:rsidRPr="00664D0A" w:rsidRDefault="00664D0A" w:rsidP="007277D4">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 xml:space="preserve">Cette tendance peut s’expliquer par le caractère empirique de ces pratiques, souvent guidées par les symptômes ressentis, les fluctuations perçues de la glycémie ou les recommandations de l’entourage. Les contraintes liées à la préparation des plantes, leur disponibilité variable et l’absence de schémas posologiques standardisés peuvent également limiter une utilisation régulière. À l’inverse, les patients ayant recours à la phytothérapie de façon fréquente ou quotidienne semblent avoir développé une plus grande confiance dans son efficacité et l’ont intégrée durablement à </w:t>
      </w:r>
      <w:r w:rsidR="007277D4">
        <w:rPr>
          <w:rFonts w:ascii="Times New Roman" w:eastAsia="Times New Roman" w:hAnsi="Times New Roman" w:cs="Times New Roman"/>
          <w:lang w:val="fr-FR" w:eastAsia="fr-FR"/>
        </w:rPr>
        <w:t>leurs habitudes thérapeutiques.</w:t>
      </w:r>
    </w:p>
    <w:p w14:paraId="6AE39FF6" w14:textId="6C313E53" w:rsidR="00664D0A" w:rsidRPr="00664D0A" w:rsidRDefault="00664D0A" w:rsidP="00EC1434">
      <w:pPr>
        <w:rPr>
          <w:sz w:val="28"/>
          <w:szCs w:val="28"/>
          <w:lang w:val="fr-FR"/>
        </w:rPr>
      </w:pPr>
      <w:r w:rsidRPr="00664D0A">
        <w:rPr>
          <w:sz w:val="32"/>
          <w:szCs w:val="32"/>
          <w:lang w:val="fr-FR"/>
        </w:rPr>
        <w:t xml:space="preserve"> </w:t>
      </w:r>
      <w:r w:rsidRPr="00EC1434">
        <w:rPr>
          <w:b/>
          <w:bCs/>
          <w:sz w:val="28"/>
          <w:szCs w:val="28"/>
          <w:lang w:val="fr-FR"/>
        </w:rPr>
        <w:t xml:space="preserve">E / Distribution des patients utilisateurs </w:t>
      </w:r>
      <w:r w:rsidR="00EC1434" w:rsidRPr="00EC1434">
        <w:rPr>
          <w:b/>
          <w:bCs/>
          <w:sz w:val="28"/>
          <w:szCs w:val="28"/>
          <w:lang w:val="fr-FR"/>
        </w:rPr>
        <w:t xml:space="preserve">des plantes medicinales </w:t>
      </w:r>
      <w:r w:rsidRPr="00EC1434">
        <w:rPr>
          <w:b/>
          <w:bCs/>
          <w:sz w:val="28"/>
          <w:szCs w:val="28"/>
          <w:lang w:val="fr-FR"/>
        </w:rPr>
        <w:t>selon la source de la plante</w:t>
      </w:r>
      <w:r w:rsidRPr="00664D0A">
        <w:rPr>
          <w:sz w:val="28"/>
          <w:szCs w:val="28"/>
          <w:lang w:val="fr-FR"/>
        </w:rPr>
        <w:t> :</w:t>
      </w:r>
    </w:p>
    <w:p w14:paraId="397C9B1A" w14:textId="77777777" w:rsidR="00664D0A" w:rsidRPr="00664D0A" w:rsidRDefault="00664D0A" w:rsidP="00B139C3">
      <w:pPr>
        <w:rPr>
          <w:sz w:val="28"/>
          <w:szCs w:val="28"/>
          <w:lang w:val="fr-FR"/>
        </w:rPr>
      </w:pPr>
      <w:r w:rsidRPr="00664D0A">
        <w:rPr>
          <w:sz w:val="28"/>
          <w:szCs w:val="28"/>
          <w:lang w:val="fr-FR"/>
        </w:rPr>
        <w:t>Decription :</w:t>
      </w:r>
    </w:p>
    <w:p w14:paraId="6F2E6394" w14:textId="121AA047" w:rsidR="00664D0A" w:rsidRPr="00664D0A" w:rsidRDefault="00664D0A" w:rsidP="0005552C">
      <w:pPr>
        <w:rPr>
          <w:lang w:val="fr-FR"/>
        </w:rPr>
      </w:pPr>
      <w:r w:rsidRPr="00664D0A">
        <w:rPr>
          <w:lang w:val="fr-FR"/>
        </w:rPr>
        <w:t>La répartition des sources d’approvisionnement en plantes médicinales chez les 158 patients diabétiques utilisateurs montre que l’herboriste constitue la principale source de procuration, citée par 84 patients, soit 53,2 % de l’échantillon. La cueillette directe des plantes occupe une place presque équivalente, rapportée par 73 patients (46,2 %), traduisant une forte implication personnelle dans l’obtention des remèdes traditionnels. En revanche, le recours au pharmacien demeure exceptionnel, avec un seul patient (0,6 %). Ces résultats mettent en évidence une prédominance des circuits traditionnels d’approvisionnement, fondés soit sur l’achat auprès d’herboristes, soit sur la collecte directe des pl</w:t>
      </w:r>
      <w:r w:rsidR="0005552C">
        <w:rPr>
          <w:lang w:val="fr-FR"/>
        </w:rPr>
        <w:t>antes dans leur milieu naturel.</w:t>
      </w:r>
    </w:p>
    <w:p w14:paraId="7FE096B2" w14:textId="7ED54B8B" w:rsidR="0005552C" w:rsidRDefault="0005552C" w:rsidP="0005552C">
      <w:pPr>
        <w:pStyle w:val="Caption"/>
        <w:keepNext/>
      </w:pPr>
      <w:bookmarkStart w:id="195" w:name="_Toc229617391"/>
      <w:r>
        <w:lastRenderedPageBreak/>
        <w:t xml:space="preserve">Tableau </w:t>
      </w:r>
      <w:r>
        <w:fldChar w:fldCharType="begin"/>
      </w:r>
      <w:r>
        <w:instrText xml:space="preserve"> SEQ Tableau \* ARABIC </w:instrText>
      </w:r>
      <w:r>
        <w:fldChar w:fldCharType="separate"/>
      </w:r>
      <w:r w:rsidR="00983108">
        <w:rPr>
          <w:noProof/>
        </w:rPr>
        <w:t>30</w:t>
      </w:r>
      <w:r>
        <w:fldChar w:fldCharType="end"/>
      </w:r>
      <w:r>
        <w:t xml:space="preserve"> </w:t>
      </w:r>
      <w:r w:rsidRPr="00CC1EDC">
        <w:t>Répartition des sources d’approvisionnement en plantes médicinales chez les patients diabétiques utilisateurs</w:t>
      </w:r>
      <w:bookmarkEnd w:id="195"/>
    </w:p>
    <w:tbl>
      <w:tblPr>
        <w:tblW w:w="6456" w:type="dxa"/>
        <w:tblInd w:w="-5" w:type="dxa"/>
        <w:tblLook w:val="04A0" w:firstRow="1" w:lastRow="0" w:firstColumn="1" w:lastColumn="0" w:noHBand="0" w:noVBand="1"/>
      </w:tblPr>
      <w:tblGrid>
        <w:gridCol w:w="2098"/>
        <w:gridCol w:w="1843"/>
        <w:gridCol w:w="2515"/>
      </w:tblGrid>
      <w:tr w:rsidR="00664D0A" w:rsidRPr="00005A67" w14:paraId="2A361AD3" w14:textId="77777777" w:rsidTr="003C72FA">
        <w:trPr>
          <w:trHeight w:val="490"/>
        </w:trPr>
        <w:tc>
          <w:tcPr>
            <w:tcW w:w="0" w:type="auto"/>
            <w:hideMark/>
          </w:tcPr>
          <w:p w14:paraId="61AF1A1A"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 xml:space="preserve">Source </w:t>
            </w:r>
          </w:p>
        </w:tc>
        <w:tc>
          <w:tcPr>
            <w:tcW w:w="0" w:type="auto"/>
            <w:hideMark/>
          </w:tcPr>
          <w:p w14:paraId="158942AC"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Effectif (n)</w:t>
            </w:r>
          </w:p>
        </w:tc>
        <w:tc>
          <w:tcPr>
            <w:tcW w:w="0" w:type="auto"/>
            <w:hideMark/>
          </w:tcPr>
          <w:p w14:paraId="4DCF7130"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Fréquence (%)</w:t>
            </w:r>
          </w:p>
        </w:tc>
      </w:tr>
      <w:tr w:rsidR="00664D0A" w:rsidRPr="00005A67" w14:paraId="10022C15" w14:textId="77777777" w:rsidTr="003C72FA">
        <w:trPr>
          <w:trHeight w:val="490"/>
        </w:trPr>
        <w:tc>
          <w:tcPr>
            <w:tcW w:w="0" w:type="auto"/>
            <w:hideMark/>
          </w:tcPr>
          <w:p w14:paraId="78AFE911"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Herboriste</w:t>
            </w:r>
          </w:p>
        </w:tc>
        <w:tc>
          <w:tcPr>
            <w:tcW w:w="0" w:type="auto"/>
            <w:hideMark/>
          </w:tcPr>
          <w:p w14:paraId="0F8D17E8"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84</w:t>
            </w:r>
          </w:p>
        </w:tc>
        <w:tc>
          <w:tcPr>
            <w:tcW w:w="0" w:type="auto"/>
            <w:hideMark/>
          </w:tcPr>
          <w:p w14:paraId="32DAD3F5"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53,2 %</w:t>
            </w:r>
          </w:p>
        </w:tc>
      </w:tr>
      <w:tr w:rsidR="00664D0A" w:rsidRPr="00005A67" w14:paraId="2CF7B91C" w14:textId="77777777" w:rsidTr="003C72FA">
        <w:trPr>
          <w:trHeight w:val="490"/>
        </w:trPr>
        <w:tc>
          <w:tcPr>
            <w:tcW w:w="0" w:type="auto"/>
            <w:hideMark/>
          </w:tcPr>
          <w:p w14:paraId="3E61DF72"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Cueillette</w:t>
            </w:r>
          </w:p>
        </w:tc>
        <w:tc>
          <w:tcPr>
            <w:tcW w:w="0" w:type="auto"/>
            <w:hideMark/>
          </w:tcPr>
          <w:p w14:paraId="4BC5ECA2"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73</w:t>
            </w:r>
          </w:p>
        </w:tc>
        <w:tc>
          <w:tcPr>
            <w:tcW w:w="0" w:type="auto"/>
            <w:hideMark/>
          </w:tcPr>
          <w:p w14:paraId="0313E2FD"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46,2 %</w:t>
            </w:r>
          </w:p>
        </w:tc>
      </w:tr>
      <w:tr w:rsidR="00664D0A" w:rsidRPr="00005A67" w14:paraId="3E1E3171" w14:textId="77777777" w:rsidTr="003C72FA">
        <w:trPr>
          <w:trHeight w:val="490"/>
        </w:trPr>
        <w:tc>
          <w:tcPr>
            <w:tcW w:w="0" w:type="auto"/>
            <w:hideMark/>
          </w:tcPr>
          <w:p w14:paraId="36853FAA"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Pharmacien</w:t>
            </w:r>
          </w:p>
        </w:tc>
        <w:tc>
          <w:tcPr>
            <w:tcW w:w="0" w:type="auto"/>
            <w:hideMark/>
          </w:tcPr>
          <w:p w14:paraId="30E83B18"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1</w:t>
            </w:r>
          </w:p>
        </w:tc>
        <w:tc>
          <w:tcPr>
            <w:tcW w:w="0" w:type="auto"/>
            <w:hideMark/>
          </w:tcPr>
          <w:p w14:paraId="582FD57E"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0,6 %</w:t>
            </w:r>
          </w:p>
        </w:tc>
      </w:tr>
      <w:tr w:rsidR="00664D0A" w:rsidRPr="00005A67" w14:paraId="4136B675" w14:textId="77777777" w:rsidTr="003C72FA">
        <w:trPr>
          <w:trHeight w:val="490"/>
        </w:trPr>
        <w:tc>
          <w:tcPr>
            <w:tcW w:w="0" w:type="auto"/>
            <w:hideMark/>
          </w:tcPr>
          <w:p w14:paraId="275BA0C2"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TOTAL</w:t>
            </w:r>
          </w:p>
        </w:tc>
        <w:tc>
          <w:tcPr>
            <w:tcW w:w="0" w:type="auto"/>
            <w:hideMark/>
          </w:tcPr>
          <w:p w14:paraId="0132EAC0"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158</w:t>
            </w:r>
          </w:p>
        </w:tc>
        <w:tc>
          <w:tcPr>
            <w:tcW w:w="0" w:type="auto"/>
            <w:hideMark/>
          </w:tcPr>
          <w:p w14:paraId="19648B0A" w14:textId="77777777" w:rsidR="00664D0A" w:rsidRPr="00005A67" w:rsidRDefault="00664D0A" w:rsidP="00B139C3">
            <w:pPr>
              <w:rPr>
                <w:rFonts w:ascii="Arial" w:eastAsia="Times New Roman" w:hAnsi="Arial" w:cs="Arial"/>
                <w:sz w:val="20"/>
                <w:szCs w:val="20"/>
                <w:lang w:eastAsia="fr-FR"/>
              </w:rPr>
            </w:pPr>
            <w:r w:rsidRPr="00005A67">
              <w:rPr>
                <w:rFonts w:ascii="Arial" w:eastAsia="Times New Roman" w:hAnsi="Arial" w:cs="Arial"/>
                <w:sz w:val="20"/>
                <w:szCs w:val="20"/>
                <w:lang w:eastAsia="fr-FR"/>
              </w:rPr>
              <w:t>100,0 %</w:t>
            </w:r>
          </w:p>
        </w:tc>
      </w:tr>
    </w:tbl>
    <w:p w14:paraId="57D64AA0" w14:textId="5F8C0BE5" w:rsidR="00664D0A" w:rsidRDefault="00664D0A" w:rsidP="00B139C3"/>
    <w:p w14:paraId="77EE46F5" w14:textId="77777777" w:rsidR="003C72FA" w:rsidRDefault="00664D0A" w:rsidP="003C72FA">
      <w:pPr>
        <w:keepNext/>
      </w:pPr>
      <w:r>
        <w:rPr>
          <w:noProof/>
          <w:lang w:val="fr-FR" w:eastAsia="fr-FR"/>
        </w:rPr>
        <w:drawing>
          <wp:inline distT="0" distB="0" distL="0" distR="0" wp14:anchorId="5B600B7E" wp14:editId="0EA5C435">
            <wp:extent cx="4572000" cy="274320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52F9D057" w14:textId="71B5B933" w:rsidR="00664D0A" w:rsidRDefault="003C72FA" w:rsidP="003C72FA">
      <w:pPr>
        <w:pStyle w:val="Caption"/>
      </w:pPr>
      <w:bookmarkStart w:id="196" w:name="_Toc229617353"/>
      <w:r>
        <w:t xml:space="preserve">Figure </w:t>
      </w:r>
      <w:r>
        <w:fldChar w:fldCharType="begin"/>
      </w:r>
      <w:r>
        <w:instrText xml:space="preserve"> SEQ Figure \* ARABIC </w:instrText>
      </w:r>
      <w:r>
        <w:fldChar w:fldCharType="separate"/>
      </w:r>
      <w:r w:rsidR="00983108">
        <w:rPr>
          <w:noProof/>
        </w:rPr>
        <w:t>64</w:t>
      </w:r>
      <w:r>
        <w:fldChar w:fldCharType="end"/>
      </w:r>
      <w:r>
        <w:t xml:space="preserve"> </w:t>
      </w:r>
      <w:r w:rsidRPr="00182BDA">
        <w:t>Distribution des sources des plantes médicinales chez les patients diabétiques utilisateurs</w:t>
      </w:r>
      <w:bookmarkEnd w:id="196"/>
    </w:p>
    <w:p w14:paraId="54BA68E1" w14:textId="3A5F5A57" w:rsidR="00664D0A" w:rsidRPr="00664D0A" w:rsidRDefault="00664D0A" w:rsidP="003C72FA">
      <w:pPr>
        <w:rPr>
          <w:lang w:val="fr-FR"/>
        </w:rPr>
      </w:pPr>
    </w:p>
    <w:p w14:paraId="0E566053" w14:textId="77777777" w:rsidR="00664D0A" w:rsidRPr="00664D0A" w:rsidRDefault="00664D0A" w:rsidP="00B139C3">
      <w:pPr>
        <w:rPr>
          <w:rFonts w:ascii="Times New Roman" w:eastAsia="Times New Roman" w:hAnsi="Times New Roman" w:cs="Times New Roman"/>
          <w:sz w:val="28"/>
          <w:szCs w:val="28"/>
          <w:lang w:val="fr-FR" w:eastAsia="fr-FR"/>
        </w:rPr>
      </w:pPr>
      <w:r w:rsidRPr="00664D0A">
        <w:rPr>
          <w:rFonts w:ascii="Times New Roman" w:eastAsia="Times New Roman" w:hAnsi="Times New Roman" w:cs="Times New Roman"/>
          <w:sz w:val="28"/>
          <w:szCs w:val="28"/>
          <w:lang w:val="fr-FR" w:eastAsia="fr-FR"/>
        </w:rPr>
        <w:t>Analyse :</w:t>
      </w:r>
    </w:p>
    <w:p w14:paraId="22BA08CD" w14:textId="77777777" w:rsidR="00664D0A" w:rsidRPr="00664D0A" w:rsidRDefault="00664D0A" w:rsidP="00B139C3">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L’analyse de cette distribution montre que les patients privilégient largement les sources traditionnelles d’approvisionnement, avec une légère prédominance de l’herboriste par rapport à la cueillette (53,2 % versus 46,2 %). Cette proximité des fréquences indique que les deux modes d’accès occupent une place centrale et complémentaire dans les pratiques phytothérapeutiques locales. Le recours à l’herboriste peut s’expliquer par la facilité d’accès, la disponibilité d’un large choix de plantes et la confiance accordée à son savoir empirique. La cueillette, quant à elle, reflète la disponibilité des espèces médicinales dans l’environnement local ainsi que la persistance de connaissances traditionnelles transmises au sein des familles.</w:t>
      </w:r>
    </w:p>
    <w:p w14:paraId="43E9B3BC" w14:textId="78E8036E" w:rsidR="00664D0A" w:rsidRPr="00664D0A" w:rsidRDefault="00664D0A" w:rsidP="00B139C3">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 xml:space="preserve">À l’opposé, la quasi-absence du pharmacien comme source d’approvisionnement souligne la faible intégration de la phytothérapie dans les circuits pharmaceutiques conventionnels. Cette situation peut être liée à la disponibilité limitée de produits phytothérapeutiques standardisés en officine, à leur coût potentiellement plus élevé ou à une préférence des patients pour les formes </w:t>
      </w:r>
      <w:r w:rsidRPr="00664D0A">
        <w:rPr>
          <w:rFonts w:ascii="Times New Roman" w:eastAsia="Times New Roman" w:hAnsi="Times New Roman" w:cs="Times New Roman"/>
          <w:lang w:val="fr-FR" w:eastAsia="fr-FR"/>
        </w:rPr>
        <w:lastRenderedPageBreak/>
        <w:t>traditionnelles jugées plus authentiques et accessibles. Globalement, ces résultats confirment que l’utilisation des plantes médicinales repose essentiellement sur des réseaux informels et communautaires, fortement enracinés dans les hab</w:t>
      </w:r>
      <w:r w:rsidR="007C4445">
        <w:rPr>
          <w:rFonts w:ascii="Times New Roman" w:eastAsia="Times New Roman" w:hAnsi="Times New Roman" w:cs="Times New Roman"/>
          <w:lang w:val="fr-FR" w:eastAsia="fr-FR"/>
        </w:rPr>
        <w:t xml:space="preserve">itudes socioculturelles </w:t>
      </w:r>
      <w:proofErr w:type="gramStart"/>
      <w:r w:rsidR="007C4445">
        <w:rPr>
          <w:rFonts w:ascii="Times New Roman" w:eastAsia="Times New Roman" w:hAnsi="Times New Roman" w:cs="Times New Roman"/>
          <w:lang w:val="fr-FR" w:eastAsia="fr-FR"/>
        </w:rPr>
        <w:t>locales .</w:t>
      </w:r>
      <w:proofErr w:type="gramEnd"/>
    </w:p>
    <w:p w14:paraId="77A11899" w14:textId="48D25988" w:rsidR="00664D0A" w:rsidRPr="00664D0A" w:rsidRDefault="00664D0A" w:rsidP="00EC1434">
      <w:pPr>
        <w:rPr>
          <w:rFonts w:ascii="Times New Roman" w:eastAsia="Calibri" w:hAnsi="Times New Roman" w:cs="Times New Roman"/>
          <w:sz w:val="28"/>
          <w:szCs w:val="28"/>
          <w:lang w:val="fr-FR"/>
        </w:rPr>
      </w:pPr>
      <w:r w:rsidRPr="00EC1434">
        <w:rPr>
          <w:rFonts w:ascii="Times New Roman" w:eastAsia="Calibri" w:hAnsi="Times New Roman" w:cs="Times New Roman"/>
          <w:b/>
          <w:bCs/>
          <w:sz w:val="28"/>
          <w:szCs w:val="28"/>
          <w:lang w:val="fr-FR"/>
        </w:rPr>
        <w:t xml:space="preserve"> F / Distribution des patients utilisateurs </w:t>
      </w:r>
      <w:r w:rsidR="00EC1434" w:rsidRPr="00EC1434">
        <w:rPr>
          <w:b/>
          <w:bCs/>
          <w:sz w:val="28"/>
          <w:szCs w:val="28"/>
          <w:lang w:val="fr-FR"/>
        </w:rPr>
        <w:t xml:space="preserve">des plantes medicinales </w:t>
      </w:r>
      <w:r w:rsidRPr="00EC1434">
        <w:rPr>
          <w:rFonts w:ascii="Times New Roman" w:eastAsia="Calibri" w:hAnsi="Times New Roman" w:cs="Times New Roman"/>
          <w:b/>
          <w:bCs/>
          <w:sz w:val="28"/>
          <w:szCs w:val="28"/>
          <w:lang w:val="fr-FR"/>
        </w:rPr>
        <w:t>en fonction de la prise conjointe des plantes médicinales avec les médicaments conventionnels</w:t>
      </w:r>
      <w:r w:rsidRPr="00664D0A">
        <w:rPr>
          <w:rFonts w:ascii="Times New Roman" w:eastAsia="Calibri" w:hAnsi="Times New Roman" w:cs="Times New Roman"/>
          <w:sz w:val="28"/>
          <w:szCs w:val="28"/>
          <w:lang w:val="fr-FR"/>
        </w:rPr>
        <w:t> :</w:t>
      </w:r>
    </w:p>
    <w:p w14:paraId="7A39A110" w14:textId="77777777" w:rsidR="00664D0A" w:rsidRPr="00664D0A" w:rsidRDefault="00664D0A" w:rsidP="00B139C3">
      <w:pPr>
        <w:rPr>
          <w:rFonts w:ascii="Times New Roman" w:eastAsia="Times New Roman" w:hAnsi="Times New Roman" w:cs="Times New Roman"/>
          <w:sz w:val="28"/>
          <w:szCs w:val="28"/>
          <w:lang w:val="fr-FR" w:eastAsia="fr-FR"/>
        </w:rPr>
      </w:pPr>
      <w:r w:rsidRPr="00664D0A">
        <w:rPr>
          <w:rFonts w:ascii="Times New Roman" w:eastAsia="Times New Roman" w:hAnsi="Times New Roman" w:cs="Times New Roman"/>
          <w:sz w:val="28"/>
          <w:szCs w:val="28"/>
          <w:lang w:val="fr-FR" w:eastAsia="fr-FR"/>
        </w:rPr>
        <w:t>Description :</w:t>
      </w:r>
    </w:p>
    <w:p w14:paraId="57200DA7" w14:textId="5379E8B5" w:rsidR="00664D0A" w:rsidRPr="00664D0A" w:rsidRDefault="00664D0A" w:rsidP="0005552C">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La répartition de la prise conjointe des plantes médicinales avec le traitement antidiabétique conventionnel montre qu’une très large majorité des patients utilisateurs associent la phytothérapie à leur traitement médical habituel. En effet, 139 patients, soit 88,0 % de l’échantillon, déclarent utiliser les plantes médicinales en parallèle de leurs médicaments antidiabétiques, tandis que 19 patients (12,0 %) rapportent une utilisation indépendante de tout traitement conventionnel. Ces résultats indiquent que, dans la population étudiée, la phytothérapie est principalement envisagée comme une approche complémentaire plutôt que comme une alternative exclu</w:t>
      </w:r>
      <w:r w:rsidR="0005552C">
        <w:rPr>
          <w:rFonts w:ascii="Times New Roman" w:eastAsia="Times New Roman" w:hAnsi="Times New Roman" w:cs="Times New Roman"/>
          <w:lang w:val="fr-FR" w:eastAsia="fr-FR"/>
        </w:rPr>
        <w:t>sive aux traitements prescrits.</w:t>
      </w:r>
    </w:p>
    <w:p w14:paraId="02BB11EA" w14:textId="6F17AE1E" w:rsidR="0005552C" w:rsidRDefault="0005552C" w:rsidP="0005552C">
      <w:pPr>
        <w:pStyle w:val="Caption"/>
        <w:keepNext/>
      </w:pPr>
      <w:bookmarkStart w:id="197" w:name="_Toc229617392"/>
      <w:r>
        <w:t xml:space="preserve">Tableau </w:t>
      </w:r>
      <w:r>
        <w:fldChar w:fldCharType="begin"/>
      </w:r>
      <w:r>
        <w:instrText xml:space="preserve"> SEQ Tableau \* ARABIC </w:instrText>
      </w:r>
      <w:r>
        <w:fldChar w:fldCharType="separate"/>
      </w:r>
      <w:r w:rsidR="00983108">
        <w:rPr>
          <w:noProof/>
        </w:rPr>
        <w:t>31</w:t>
      </w:r>
      <w:r>
        <w:fldChar w:fldCharType="end"/>
      </w:r>
      <w:r>
        <w:t xml:space="preserve"> </w:t>
      </w:r>
      <w:r w:rsidRPr="00E10964">
        <w:t>Répartition de la prise conjointe de la phytothérapie et du traitement antidiabétique conventionnel chez les patients utilisateurs</w:t>
      </w:r>
      <w:bookmarkEnd w:id="197"/>
    </w:p>
    <w:tbl>
      <w:tblPr>
        <w:tblW w:w="8369" w:type="dxa"/>
        <w:tblLook w:val="04A0" w:firstRow="1" w:lastRow="0" w:firstColumn="1" w:lastColumn="0" w:noHBand="0" w:noVBand="1"/>
      </w:tblPr>
      <w:tblGrid>
        <w:gridCol w:w="5215"/>
        <w:gridCol w:w="1390"/>
        <w:gridCol w:w="1764"/>
      </w:tblGrid>
      <w:tr w:rsidR="00664D0A" w:rsidRPr="006729F4" w14:paraId="7C1A1682" w14:textId="77777777" w:rsidTr="00784D29">
        <w:trPr>
          <w:trHeight w:val="520"/>
        </w:trPr>
        <w:tc>
          <w:tcPr>
            <w:tcW w:w="0" w:type="auto"/>
            <w:hideMark/>
          </w:tcPr>
          <w:p w14:paraId="03B8A3A0" w14:textId="77777777" w:rsidR="00664D0A" w:rsidRPr="00BD7816" w:rsidRDefault="00664D0A" w:rsidP="00B139C3">
            <w:pPr>
              <w:rPr>
                <w:rFonts w:ascii="Times New Roman" w:eastAsia="Times New Roman" w:hAnsi="Times New Roman" w:cs="Times New Roman"/>
                <w:lang w:val="fr-FR" w:eastAsia="fr-FR"/>
              </w:rPr>
            </w:pPr>
            <w:r w:rsidRPr="00BD7816">
              <w:rPr>
                <w:rFonts w:ascii="Times New Roman" w:eastAsia="Times New Roman" w:hAnsi="Times New Roman" w:cs="Times New Roman"/>
                <w:lang w:val="fr-FR" w:eastAsia="fr-FR"/>
              </w:rPr>
              <w:t>Prise conjointe avec le traitement conventionnel</w:t>
            </w:r>
          </w:p>
        </w:tc>
        <w:tc>
          <w:tcPr>
            <w:tcW w:w="0" w:type="auto"/>
            <w:hideMark/>
          </w:tcPr>
          <w:p w14:paraId="5D69F070" w14:textId="77777777" w:rsidR="00664D0A" w:rsidRPr="006729F4" w:rsidRDefault="00664D0A" w:rsidP="00B139C3">
            <w:pPr>
              <w:rPr>
                <w:rFonts w:ascii="Times New Roman" w:eastAsia="Times New Roman" w:hAnsi="Times New Roman" w:cs="Times New Roman"/>
                <w:lang w:eastAsia="fr-FR"/>
              </w:rPr>
            </w:pPr>
            <w:r w:rsidRPr="006729F4">
              <w:rPr>
                <w:rFonts w:ascii="Times New Roman" w:eastAsia="Times New Roman" w:hAnsi="Times New Roman" w:cs="Times New Roman"/>
                <w:lang w:eastAsia="fr-FR"/>
              </w:rPr>
              <w:t>Effectif (n)</w:t>
            </w:r>
          </w:p>
        </w:tc>
        <w:tc>
          <w:tcPr>
            <w:tcW w:w="0" w:type="auto"/>
            <w:hideMark/>
          </w:tcPr>
          <w:p w14:paraId="4439E52F" w14:textId="77777777" w:rsidR="00664D0A" w:rsidRPr="006729F4" w:rsidRDefault="00664D0A" w:rsidP="00B139C3">
            <w:pPr>
              <w:rPr>
                <w:rFonts w:ascii="Times New Roman" w:eastAsia="Times New Roman" w:hAnsi="Times New Roman" w:cs="Times New Roman"/>
                <w:lang w:eastAsia="fr-FR"/>
              </w:rPr>
            </w:pPr>
            <w:r w:rsidRPr="006729F4">
              <w:rPr>
                <w:rFonts w:ascii="Times New Roman" w:eastAsia="Times New Roman" w:hAnsi="Times New Roman" w:cs="Times New Roman"/>
                <w:lang w:eastAsia="fr-FR"/>
              </w:rPr>
              <w:t>Fréquence (%)</w:t>
            </w:r>
          </w:p>
        </w:tc>
      </w:tr>
      <w:tr w:rsidR="00664D0A" w:rsidRPr="006729F4" w14:paraId="2444E779" w14:textId="77777777" w:rsidTr="00784D29">
        <w:trPr>
          <w:trHeight w:val="520"/>
        </w:trPr>
        <w:tc>
          <w:tcPr>
            <w:tcW w:w="0" w:type="auto"/>
            <w:hideMark/>
          </w:tcPr>
          <w:p w14:paraId="0FDE82A6" w14:textId="77777777" w:rsidR="00664D0A" w:rsidRPr="006729F4" w:rsidRDefault="00664D0A" w:rsidP="00B139C3">
            <w:pPr>
              <w:rPr>
                <w:rFonts w:ascii="Times New Roman" w:eastAsia="Times New Roman" w:hAnsi="Times New Roman" w:cs="Times New Roman"/>
                <w:lang w:eastAsia="fr-FR"/>
              </w:rPr>
            </w:pPr>
            <w:r w:rsidRPr="006729F4">
              <w:rPr>
                <w:rFonts w:ascii="Times New Roman" w:eastAsia="Times New Roman" w:hAnsi="Times New Roman" w:cs="Times New Roman"/>
                <w:lang w:eastAsia="fr-FR"/>
              </w:rPr>
              <w:t>Oui</w:t>
            </w:r>
          </w:p>
        </w:tc>
        <w:tc>
          <w:tcPr>
            <w:tcW w:w="0" w:type="auto"/>
            <w:hideMark/>
          </w:tcPr>
          <w:p w14:paraId="6646D2E0" w14:textId="77777777" w:rsidR="00664D0A" w:rsidRPr="006729F4" w:rsidRDefault="00664D0A" w:rsidP="00B139C3">
            <w:pPr>
              <w:rPr>
                <w:rFonts w:ascii="Times New Roman" w:eastAsia="Times New Roman" w:hAnsi="Times New Roman" w:cs="Times New Roman"/>
                <w:lang w:eastAsia="fr-FR"/>
              </w:rPr>
            </w:pPr>
            <w:r w:rsidRPr="006729F4">
              <w:rPr>
                <w:rFonts w:ascii="Times New Roman" w:eastAsia="Times New Roman" w:hAnsi="Times New Roman" w:cs="Times New Roman"/>
                <w:lang w:eastAsia="fr-FR"/>
              </w:rPr>
              <w:t>139</w:t>
            </w:r>
          </w:p>
        </w:tc>
        <w:tc>
          <w:tcPr>
            <w:tcW w:w="0" w:type="auto"/>
            <w:hideMark/>
          </w:tcPr>
          <w:p w14:paraId="4614BA89" w14:textId="77777777" w:rsidR="00664D0A" w:rsidRPr="006729F4" w:rsidRDefault="00664D0A" w:rsidP="00B139C3">
            <w:pPr>
              <w:rPr>
                <w:rFonts w:ascii="Times New Roman" w:eastAsia="Times New Roman" w:hAnsi="Times New Roman" w:cs="Times New Roman"/>
                <w:lang w:eastAsia="fr-FR"/>
              </w:rPr>
            </w:pPr>
            <w:r w:rsidRPr="006729F4">
              <w:rPr>
                <w:rFonts w:ascii="Times New Roman" w:eastAsia="Times New Roman" w:hAnsi="Times New Roman" w:cs="Times New Roman"/>
                <w:lang w:eastAsia="fr-FR"/>
              </w:rPr>
              <w:t>88,0 %</w:t>
            </w:r>
          </w:p>
        </w:tc>
      </w:tr>
      <w:tr w:rsidR="00664D0A" w:rsidRPr="006729F4" w14:paraId="2A5AC249" w14:textId="77777777" w:rsidTr="00784D29">
        <w:trPr>
          <w:trHeight w:val="520"/>
        </w:trPr>
        <w:tc>
          <w:tcPr>
            <w:tcW w:w="0" w:type="auto"/>
            <w:hideMark/>
          </w:tcPr>
          <w:p w14:paraId="0270CE4C" w14:textId="77777777" w:rsidR="00664D0A" w:rsidRPr="006729F4" w:rsidRDefault="00664D0A" w:rsidP="00B139C3">
            <w:pPr>
              <w:rPr>
                <w:rFonts w:ascii="Times New Roman" w:eastAsia="Times New Roman" w:hAnsi="Times New Roman" w:cs="Times New Roman"/>
                <w:lang w:eastAsia="fr-FR"/>
              </w:rPr>
            </w:pPr>
            <w:r w:rsidRPr="006729F4">
              <w:rPr>
                <w:rFonts w:ascii="Times New Roman" w:eastAsia="Times New Roman" w:hAnsi="Times New Roman" w:cs="Times New Roman"/>
                <w:lang w:eastAsia="fr-FR"/>
              </w:rPr>
              <w:t>Non</w:t>
            </w:r>
          </w:p>
        </w:tc>
        <w:tc>
          <w:tcPr>
            <w:tcW w:w="0" w:type="auto"/>
            <w:hideMark/>
          </w:tcPr>
          <w:p w14:paraId="3CA6FC12" w14:textId="77777777" w:rsidR="00664D0A" w:rsidRPr="006729F4" w:rsidRDefault="00664D0A" w:rsidP="00B139C3">
            <w:pPr>
              <w:rPr>
                <w:rFonts w:ascii="Times New Roman" w:eastAsia="Times New Roman" w:hAnsi="Times New Roman" w:cs="Times New Roman"/>
                <w:lang w:eastAsia="fr-FR"/>
              </w:rPr>
            </w:pPr>
            <w:r w:rsidRPr="006729F4">
              <w:rPr>
                <w:rFonts w:ascii="Times New Roman" w:eastAsia="Times New Roman" w:hAnsi="Times New Roman" w:cs="Times New Roman"/>
                <w:lang w:eastAsia="fr-FR"/>
              </w:rPr>
              <w:t>19</w:t>
            </w:r>
          </w:p>
        </w:tc>
        <w:tc>
          <w:tcPr>
            <w:tcW w:w="0" w:type="auto"/>
            <w:hideMark/>
          </w:tcPr>
          <w:p w14:paraId="6D211CCC" w14:textId="77777777" w:rsidR="00664D0A" w:rsidRPr="006729F4" w:rsidRDefault="00664D0A" w:rsidP="00B139C3">
            <w:pPr>
              <w:rPr>
                <w:rFonts w:ascii="Times New Roman" w:eastAsia="Times New Roman" w:hAnsi="Times New Roman" w:cs="Times New Roman"/>
                <w:lang w:eastAsia="fr-FR"/>
              </w:rPr>
            </w:pPr>
            <w:r w:rsidRPr="006729F4">
              <w:rPr>
                <w:rFonts w:ascii="Times New Roman" w:eastAsia="Times New Roman" w:hAnsi="Times New Roman" w:cs="Times New Roman"/>
                <w:lang w:eastAsia="fr-FR"/>
              </w:rPr>
              <w:t>12,0 %</w:t>
            </w:r>
          </w:p>
        </w:tc>
      </w:tr>
      <w:tr w:rsidR="00664D0A" w:rsidRPr="006729F4" w14:paraId="084E3463" w14:textId="77777777" w:rsidTr="00784D29">
        <w:trPr>
          <w:trHeight w:val="520"/>
        </w:trPr>
        <w:tc>
          <w:tcPr>
            <w:tcW w:w="0" w:type="auto"/>
            <w:hideMark/>
          </w:tcPr>
          <w:p w14:paraId="76DC2DE1" w14:textId="77777777" w:rsidR="00664D0A" w:rsidRPr="006729F4" w:rsidRDefault="00664D0A" w:rsidP="00B139C3">
            <w:pPr>
              <w:rPr>
                <w:rFonts w:ascii="Times New Roman" w:eastAsia="Times New Roman" w:hAnsi="Times New Roman" w:cs="Times New Roman"/>
                <w:lang w:eastAsia="fr-FR"/>
              </w:rPr>
            </w:pPr>
            <w:r w:rsidRPr="006729F4">
              <w:rPr>
                <w:rFonts w:ascii="Times New Roman" w:eastAsia="Times New Roman" w:hAnsi="Times New Roman" w:cs="Times New Roman"/>
                <w:lang w:eastAsia="fr-FR"/>
              </w:rPr>
              <w:t>TOTAL</w:t>
            </w:r>
          </w:p>
        </w:tc>
        <w:tc>
          <w:tcPr>
            <w:tcW w:w="0" w:type="auto"/>
            <w:hideMark/>
          </w:tcPr>
          <w:p w14:paraId="77D8F5E3" w14:textId="77777777" w:rsidR="00664D0A" w:rsidRPr="006729F4" w:rsidRDefault="00664D0A" w:rsidP="00B139C3">
            <w:pPr>
              <w:rPr>
                <w:rFonts w:ascii="Times New Roman" w:eastAsia="Times New Roman" w:hAnsi="Times New Roman" w:cs="Times New Roman"/>
                <w:lang w:eastAsia="fr-FR"/>
              </w:rPr>
            </w:pPr>
            <w:r w:rsidRPr="006729F4">
              <w:rPr>
                <w:rFonts w:ascii="Times New Roman" w:eastAsia="Times New Roman" w:hAnsi="Times New Roman" w:cs="Times New Roman"/>
                <w:lang w:eastAsia="fr-FR"/>
              </w:rPr>
              <w:t>158</w:t>
            </w:r>
          </w:p>
        </w:tc>
        <w:tc>
          <w:tcPr>
            <w:tcW w:w="0" w:type="auto"/>
            <w:hideMark/>
          </w:tcPr>
          <w:p w14:paraId="595E0E0F" w14:textId="77777777" w:rsidR="00664D0A" w:rsidRPr="006729F4" w:rsidRDefault="00664D0A" w:rsidP="00B139C3">
            <w:pPr>
              <w:rPr>
                <w:rFonts w:ascii="Times New Roman" w:eastAsia="Times New Roman" w:hAnsi="Times New Roman" w:cs="Times New Roman"/>
                <w:lang w:eastAsia="fr-FR"/>
              </w:rPr>
            </w:pPr>
            <w:r w:rsidRPr="006729F4">
              <w:rPr>
                <w:rFonts w:ascii="Times New Roman" w:eastAsia="Times New Roman" w:hAnsi="Times New Roman" w:cs="Times New Roman"/>
                <w:lang w:eastAsia="fr-FR"/>
              </w:rPr>
              <w:t>100,0 %</w:t>
            </w:r>
          </w:p>
        </w:tc>
      </w:tr>
    </w:tbl>
    <w:p w14:paraId="204AE35D" w14:textId="77777777" w:rsidR="003C72FA" w:rsidRDefault="00664D0A" w:rsidP="003C72FA">
      <w:pPr>
        <w:keepNext/>
      </w:pPr>
      <w:r>
        <w:rPr>
          <w:noProof/>
          <w:lang w:val="fr-FR" w:eastAsia="fr-FR"/>
        </w:rPr>
        <w:drawing>
          <wp:inline distT="0" distB="0" distL="0" distR="0" wp14:anchorId="0864DA28" wp14:editId="2011ED27">
            <wp:extent cx="4298950" cy="235585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3B3C72C3" w14:textId="3146F2A4" w:rsidR="00664D0A" w:rsidRDefault="003C72FA" w:rsidP="003C72FA">
      <w:pPr>
        <w:pStyle w:val="Caption"/>
        <w:rPr>
          <w:rFonts w:ascii="Times New Roman" w:eastAsia="Times New Roman" w:hAnsi="Times New Roman" w:cs="Times New Roman"/>
          <w:lang w:eastAsia="fr-FR"/>
        </w:rPr>
      </w:pPr>
      <w:bookmarkStart w:id="198" w:name="_Toc229617354"/>
      <w:r>
        <w:t xml:space="preserve">Figure </w:t>
      </w:r>
      <w:r>
        <w:fldChar w:fldCharType="begin"/>
      </w:r>
      <w:r>
        <w:instrText xml:space="preserve"> SEQ Figure \* ARABIC </w:instrText>
      </w:r>
      <w:r>
        <w:fldChar w:fldCharType="separate"/>
      </w:r>
      <w:r w:rsidR="00983108">
        <w:rPr>
          <w:noProof/>
        </w:rPr>
        <w:t>65</w:t>
      </w:r>
      <w:r>
        <w:fldChar w:fldCharType="end"/>
      </w:r>
      <w:r>
        <w:t xml:space="preserve"> </w:t>
      </w:r>
      <w:r w:rsidRPr="007060A3">
        <w:t>Répartition de la prise conjointe de la phytothérapie et du traitement antidiabétique conventionnel chez les patients utilisateurs</w:t>
      </w:r>
      <w:bookmarkEnd w:id="198"/>
    </w:p>
    <w:p w14:paraId="190B708B" w14:textId="77777777" w:rsidR="00664D0A" w:rsidRPr="00664D0A" w:rsidRDefault="00664D0A" w:rsidP="00B139C3">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lastRenderedPageBreak/>
        <w:t xml:space="preserve">   Figure : Distribution de la prise conjointe des plantes médicinales avec le traitement antidiabétique conventionnel chez les patients diabétiques utilisateurs</w:t>
      </w:r>
    </w:p>
    <w:p w14:paraId="66E945D5" w14:textId="77777777" w:rsidR="00664D0A" w:rsidRPr="00664D0A" w:rsidRDefault="00664D0A" w:rsidP="00B139C3">
      <w:pPr>
        <w:rPr>
          <w:rFonts w:ascii="Times New Roman" w:eastAsia="Times New Roman" w:hAnsi="Times New Roman" w:cs="Times New Roman"/>
          <w:sz w:val="28"/>
          <w:szCs w:val="28"/>
          <w:lang w:val="fr-FR" w:eastAsia="fr-FR"/>
        </w:rPr>
      </w:pPr>
      <w:r w:rsidRPr="00664D0A">
        <w:rPr>
          <w:rFonts w:ascii="Times New Roman" w:eastAsia="Times New Roman" w:hAnsi="Times New Roman" w:cs="Times New Roman"/>
          <w:sz w:val="28"/>
          <w:szCs w:val="28"/>
          <w:lang w:val="fr-FR" w:eastAsia="fr-FR"/>
        </w:rPr>
        <w:t>Analyse :</w:t>
      </w:r>
    </w:p>
    <w:p w14:paraId="1E28E535" w14:textId="77777777" w:rsidR="00664D0A" w:rsidRPr="002C607D" w:rsidRDefault="00664D0A" w:rsidP="00B139C3">
      <w:pPr>
        <w:rPr>
          <w:rFonts w:ascii="Times New Roman" w:eastAsia="Times New Roman" w:hAnsi="Times New Roman" w:cs="Times New Roman"/>
          <w:lang w:val="fr-FR" w:eastAsia="fr-FR"/>
        </w:rPr>
      </w:pPr>
      <w:r w:rsidRPr="002C607D">
        <w:rPr>
          <w:rFonts w:ascii="Times New Roman" w:eastAsia="Times New Roman" w:hAnsi="Times New Roman" w:cs="Times New Roman"/>
          <w:lang w:val="fr-FR" w:eastAsia="fr-FR"/>
        </w:rPr>
        <w:t>L’analyse de ces résultats met en évidence une prédominance très marquée de l’usage concomitant de la phytothérapie et du traitement conventionnel, avec une fréquence plus de sept fois supérieure à celle de l’utilisation non associée (88,0 % contre 12,0 % ; p &lt; 0,001). Cette différence statistiquement hautement significative montre que la grande majorité des patients considèrent les plantes médicinales comme une approche complémentaire plutôt que comme une alternative au traitement antidiabétique prescrit.</w:t>
      </w:r>
    </w:p>
    <w:p w14:paraId="21EDDA27" w14:textId="77777777" w:rsidR="00664D0A" w:rsidRPr="002C607D" w:rsidRDefault="00664D0A" w:rsidP="00B139C3">
      <w:pPr>
        <w:rPr>
          <w:rFonts w:ascii="Times New Roman" w:eastAsia="Times New Roman" w:hAnsi="Times New Roman" w:cs="Times New Roman"/>
          <w:lang w:val="fr-FR" w:eastAsia="fr-FR"/>
        </w:rPr>
      </w:pPr>
      <w:r w:rsidRPr="002C607D">
        <w:rPr>
          <w:rFonts w:ascii="Times New Roman" w:eastAsia="Times New Roman" w:hAnsi="Times New Roman" w:cs="Times New Roman"/>
          <w:lang w:val="fr-FR" w:eastAsia="fr-FR"/>
        </w:rPr>
        <w:t>Cette tendance suggère que les patients accordent une place importante à la médecine conventionnelle tout en cherchant à renforcer le contrôle glycémique par des moyens naturels perçus comme bénéfiques. L’association des deux approches peut traduire une volonté d’optimiser la prise en charge du diabète, de potentialiser les effets thérapeutiques ou de bénéficier d’un meilleur équilibre métabolique. Elle reflète également l’influence persistante des pratiques traditionnelles et des croyances culturelles, profondément ancrées dans les habitudes de santé.</w:t>
      </w:r>
    </w:p>
    <w:p w14:paraId="181BD340" w14:textId="1E6ECF7D" w:rsidR="00664D0A" w:rsidRPr="007277D4" w:rsidRDefault="00664D0A" w:rsidP="007277D4">
      <w:pPr>
        <w:rPr>
          <w:rFonts w:ascii="Times New Roman" w:eastAsia="Times New Roman" w:hAnsi="Times New Roman" w:cs="Times New Roman"/>
          <w:lang w:val="fr-FR" w:eastAsia="fr-FR"/>
        </w:rPr>
      </w:pPr>
      <w:r w:rsidRPr="002C607D">
        <w:rPr>
          <w:rFonts w:ascii="Times New Roman" w:eastAsia="Times New Roman" w:hAnsi="Times New Roman" w:cs="Times New Roman"/>
          <w:lang w:val="fr-FR" w:eastAsia="fr-FR"/>
        </w:rPr>
        <w:t>À l’inverse, la faible proportion de patients n’associant pas la phytothérapie aux médicaments conventionnels pourrait correspondre à une utilisation ponctuelle des plantes, à une crainte des interactions médicamenteuses ou à une préférence pour une approche alternative exclusive. Globalement, ces résultats confirment que la phytothérapie est principalement utilisée comme stratégie adjuvante, intégrée au traitement médical conventionnel dans une logique d</w:t>
      </w:r>
      <w:r w:rsidR="007277D4">
        <w:rPr>
          <w:rFonts w:ascii="Times New Roman" w:eastAsia="Times New Roman" w:hAnsi="Times New Roman" w:cs="Times New Roman"/>
          <w:lang w:val="fr-FR" w:eastAsia="fr-FR"/>
        </w:rPr>
        <w:t>e complémentarité thérapeutique</w:t>
      </w:r>
    </w:p>
    <w:p w14:paraId="7E83FC36" w14:textId="436042B9" w:rsidR="00664D0A" w:rsidRPr="00EC1434" w:rsidRDefault="00664D0A" w:rsidP="00EC1434">
      <w:pPr>
        <w:rPr>
          <w:b/>
          <w:bCs/>
          <w:sz w:val="28"/>
          <w:szCs w:val="28"/>
          <w:lang w:val="fr-FR"/>
        </w:rPr>
      </w:pPr>
      <w:r w:rsidRPr="00EC1434">
        <w:rPr>
          <w:b/>
          <w:bCs/>
          <w:sz w:val="28"/>
          <w:szCs w:val="28"/>
          <w:lang w:val="fr-FR"/>
        </w:rPr>
        <w:t xml:space="preserve">G / Distribution des patients utilisateurs </w:t>
      </w:r>
      <w:r w:rsidR="00EC1434" w:rsidRPr="00EC1434">
        <w:rPr>
          <w:b/>
          <w:bCs/>
          <w:sz w:val="28"/>
          <w:szCs w:val="28"/>
          <w:lang w:val="fr-FR"/>
        </w:rPr>
        <w:t xml:space="preserve">des plantes medicinales </w:t>
      </w:r>
      <w:r w:rsidRPr="00EC1434">
        <w:rPr>
          <w:b/>
          <w:bCs/>
          <w:sz w:val="28"/>
          <w:szCs w:val="28"/>
          <w:lang w:val="fr-FR"/>
        </w:rPr>
        <w:t>en fonction de l'information du médecin traitant :</w:t>
      </w:r>
    </w:p>
    <w:p w14:paraId="286FAC23" w14:textId="77777777" w:rsidR="00664D0A" w:rsidRPr="00664D0A" w:rsidRDefault="00664D0A" w:rsidP="00B139C3">
      <w:pPr>
        <w:rPr>
          <w:rFonts w:ascii="Times New Roman" w:eastAsia="Times New Roman" w:hAnsi="Times New Roman" w:cs="Times New Roman"/>
          <w:sz w:val="28"/>
          <w:szCs w:val="28"/>
          <w:lang w:val="fr-FR" w:eastAsia="fr-FR"/>
        </w:rPr>
      </w:pPr>
      <w:r w:rsidRPr="00664D0A">
        <w:rPr>
          <w:rFonts w:ascii="Times New Roman" w:eastAsia="Times New Roman" w:hAnsi="Times New Roman" w:cs="Times New Roman"/>
          <w:sz w:val="28"/>
          <w:szCs w:val="28"/>
          <w:lang w:val="fr-FR" w:eastAsia="fr-FR"/>
        </w:rPr>
        <w:t>Description :</w:t>
      </w:r>
    </w:p>
    <w:p w14:paraId="5F2B92C1" w14:textId="77777777" w:rsidR="00664D0A" w:rsidRPr="00664D0A" w:rsidRDefault="00664D0A" w:rsidP="00B139C3">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La répartition de l’information du médecin traitant concernant l’utilisation de la phytothérapie montre qu’une très faible proportion des patients utilisateurs informe leur médecin de cette pratique. En effet, seuls 10 patients, soit 6,3 % de l’échantillon, déclarent avoir signalé à leur médecin traitant l’usage de plantes médicinales, alors que 148 patients (93,7 %) ne l’ont pas fait. Ces résultats indiquent que le recours à la phytothérapie demeure, dans la grande majorité des cas, une pratique non communiquée au professionnel de santé chargé du suivi du diabète.</w:t>
      </w:r>
    </w:p>
    <w:p w14:paraId="25A9E05D" w14:textId="5F626B06" w:rsidR="00664D0A" w:rsidRDefault="00664D0A" w:rsidP="0005552C">
      <w:pPr>
        <w:rPr>
          <w:rFonts w:ascii="Times New Roman" w:eastAsia="Times New Roman" w:hAnsi="Times New Roman" w:cs="Times New Roman"/>
          <w:lang w:val="fr-FR" w:eastAsia="fr-FR"/>
        </w:rPr>
      </w:pPr>
    </w:p>
    <w:p w14:paraId="5DB0B44C" w14:textId="5F01AFC2" w:rsidR="003C72FA" w:rsidRDefault="003C72FA" w:rsidP="0005552C">
      <w:pPr>
        <w:rPr>
          <w:rFonts w:ascii="Times New Roman" w:eastAsia="Times New Roman" w:hAnsi="Times New Roman" w:cs="Times New Roman"/>
          <w:lang w:val="fr-FR" w:eastAsia="fr-FR"/>
        </w:rPr>
      </w:pPr>
    </w:p>
    <w:p w14:paraId="5EC091BF" w14:textId="77777777" w:rsidR="003C72FA" w:rsidRPr="00664D0A" w:rsidRDefault="003C72FA" w:rsidP="0005552C">
      <w:pPr>
        <w:rPr>
          <w:rFonts w:ascii="Times New Roman" w:eastAsia="Times New Roman" w:hAnsi="Times New Roman" w:cs="Times New Roman"/>
          <w:lang w:val="fr-FR" w:eastAsia="fr-FR"/>
        </w:rPr>
      </w:pPr>
    </w:p>
    <w:p w14:paraId="23340F7A" w14:textId="4A46FC51" w:rsidR="0005552C" w:rsidRDefault="0005552C" w:rsidP="0005552C">
      <w:pPr>
        <w:pStyle w:val="Caption"/>
        <w:keepNext/>
      </w:pPr>
      <w:bookmarkStart w:id="199" w:name="_Toc229617393"/>
      <w:r>
        <w:lastRenderedPageBreak/>
        <w:t xml:space="preserve">Tableau </w:t>
      </w:r>
      <w:r>
        <w:fldChar w:fldCharType="begin"/>
      </w:r>
      <w:r>
        <w:instrText xml:space="preserve"> SEQ Tableau \* ARABIC </w:instrText>
      </w:r>
      <w:r>
        <w:fldChar w:fldCharType="separate"/>
      </w:r>
      <w:r w:rsidR="00983108">
        <w:rPr>
          <w:noProof/>
        </w:rPr>
        <w:t>32</w:t>
      </w:r>
      <w:r>
        <w:fldChar w:fldCharType="end"/>
      </w:r>
      <w:r>
        <w:t xml:space="preserve"> </w:t>
      </w:r>
      <w:r w:rsidRPr="00E44075">
        <w:t xml:space="preserve">Répartition des patients utilisateurs de la phytothérapie en fonction </w:t>
      </w:r>
      <w:proofErr w:type="gramStart"/>
      <w:r w:rsidRPr="00E44075">
        <w:t>de  l’information</w:t>
      </w:r>
      <w:proofErr w:type="gramEnd"/>
      <w:r w:rsidRPr="00E44075">
        <w:t xml:space="preserve"> du médecin traitant concernant cette utilisation</w:t>
      </w:r>
      <w:bookmarkEnd w:id="199"/>
    </w:p>
    <w:tbl>
      <w:tblPr>
        <w:tblW w:w="6485" w:type="dxa"/>
        <w:tblLook w:val="04A0" w:firstRow="1" w:lastRow="0" w:firstColumn="1" w:lastColumn="0" w:noHBand="0" w:noVBand="1"/>
      </w:tblPr>
      <w:tblGrid>
        <w:gridCol w:w="3419"/>
        <w:gridCol w:w="1297"/>
        <w:gridCol w:w="1769"/>
      </w:tblGrid>
      <w:tr w:rsidR="00664D0A" w:rsidRPr="00936622" w14:paraId="36BA8A37" w14:textId="77777777" w:rsidTr="00784D29">
        <w:trPr>
          <w:trHeight w:val="532"/>
        </w:trPr>
        <w:tc>
          <w:tcPr>
            <w:tcW w:w="0" w:type="auto"/>
            <w:hideMark/>
          </w:tcPr>
          <w:p w14:paraId="011118FF"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Information du médecin traitant</w:t>
            </w:r>
          </w:p>
        </w:tc>
        <w:tc>
          <w:tcPr>
            <w:tcW w:w="0" w:type="auto"/>
            <w:hideMark/>
          </w:tcPr>
          <w:p w14:paraId="07F88D83"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Effectif (n)</w:t>
            </w:r>
          </w:p>
        </w:tc>
        <w:tc>
          <w:tcPr>
            <w:tcW w:w="0" w:type="auto"/>
            <w:hideMark/>
          </w:tcPr>
          <w:p w14:paraId="655987C5"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Fréquence (%)</w:t>
            </w:r>
          </w:p>
        </w:tc>
      </w:tr>
      <w:tr w:rsidR="00664D0A" w:rsidRPr="00936622" w14:paraId="4C63FDA4" w14:textId="77777777" w:rsidTr="00784D29">
        <w:trPr>
          <w:trHeight w:val="532"/>
        </w:trPr>
        <w:tc>
          <w:tcPr>
            <w:tcW w:w="0" w:type="auto"/>
            <w:hideMark/>
          </w:tcPr>
          <w:p w14:paraId="2D552285"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Oui</w:t>
            </w:r>
          </w:p>
        </w:tc>
        <w:tc>
          <w:tcPr>
            <w:tcW w:w="0" w:type="auto"/>
            <w:hideMark/>
          </w:tcPr>
          <w:p w14:paraId="361A072F"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10</w:t>
            </w:r>
          </w:p>
        </w:tc>
        <w:tc>
          <w:tcPr>
            <w:tcW w:w="0" w:type="auto"/>
            <w:hideMark/>
          </w:tcPr>
          <w:p w14:paraId="1F9258C3"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6,3 %</w:t>
            </w:r>
          </w:p>
        </w:tc>
      </w:tr>
      <w:tr w:rsidR="00664D0A" w:rsidRPr="00936622" w14:paraId="39BAA68C" w14:textId="77777777" w:rsidTr="00784D29">
        <w:trPr>
          <w:trHeight w:val="532"/>
        </w:trPr>
        <w:tc>
          <w:tcPr>
            <w:tcW w:w="0" w:type="auto"/>
            <w:hideMark/>
          </w:tcPr>
          <w:p w14:paraId="33065D63"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Non</w:t>
            </w:r>
          </w:p>
        </w:tc>
        <w:tc>
          <w:tcPr>
            <w:tcW w:w="0" w:type="auto"/>
            <w:hideMark/>
          </w:tcPr>
          <w:p w14:paraId="16396C85"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148</w:t>
            </w:r>
          </w:p>
        </w:tc>
        <w:tc>
          <w:tcPr>
            <w:tcW w:w="0" w:type="auto"/>
            <w:hideMark/>
          </w:tcPr>
          <w:p w14:paraId="3404DDB8"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93,7 %</w:t>
            </w:r>
          </w:p>
        </w:tc>
      </w:tr>
      <w:tr w:rsidR="00664D0A" w:rsidRPr="00936622" w14:paraId="1B521B2F" w14:textId="77777777" w:rsidTr="00784D29">
        <w:trPr>
          <w:trHeight w:val="532"/>
        </w:trPr>
        <w:tc>
          <w:tcPr>
            <w:tcW w:w="0" w:type="auto"/>
            <w:hideMark/>
          </w:tcPr>
          <w:p w14:paraId="4894265F"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Total</w:t>
            </w:r>
          </w:p>
        </w:tc>
        <w:tc>
          <w:tcPr>
            <w:tcW w:w="0" w:type="auto"/>
            <w:hideMark/>
          </w:tcPr>
          <w:p w14:paraId="7690D85C"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158</w:t>
            </w:r>
          </w:p>
        </w:tc>
        <w:tc>
          <w:tcPr>
            <w:tcW w:w="0" w:type="auto"/>
            <w:hideMark/>
          </w:tcPr>
          <w:p w14:paraId="2DC93710" w14:textId="77777777" w:rsidR="00664D0A" w:rsidRPr="00936622" w:rsidRDefault="00664D0A" w:rsidP="00B139C3">
            <w:pPr>
              <w:rPr>
                <w:rFonts w:ascii="Arial" w:eastAsia="Times New Roman" w:hAnsi="Arial" w:cs="Arial"/>
                <w:sz w:val="20"/>
                <w:szCs w:val="20"/>
                <w:lang w:eastAsia="fr-FR"/>
              </w:rPr>
            </w:pPr>
            <w:r w:rsidRPr="00936622">
              <w:rPr>
                <w:rFonts w:ascii="Arial" w:eastAsia="Times New Roman" w:hAnsi="Arial" w:cs="Arial"/>
                <w:sz w:val="20"/>
                <w:szCs w:val="20"/>
                <w:lang w:eastAsia="fr-FR"/>
              </w:rPr>
              <w:t>100,0 %</w:t>
            </w:r>
          </w:p>
        </w:tc>
      </w:tr>
    </w:tbl>
    <w:p w14:paraId="7B9C94F5" w14:textId="77777777" w:rsidR="003C72FA" w:rsidRDefault="00664D0A" w:rsidP="003C72FA">
      <w:pPr>
        <w:keepNext/>
      </w:pPr>
      <w:r>
        <w:rPr>
          <w:noProof/>
          <w:lang w:val="fr-FR" w:eastAsia="fr-FR"/>
        </w:rPr>
        <w:drawing>
          <wp:inline distT="0" distB="0" distL="0" distR="0" wp14:anchorId="6AC3A29E" wp14:editId="02589257">
            <wp:extent cx="5504180" cy="1928388"/>
            <wp:effectExtent l="0" t="0" r="1270" b="1524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F0C43B3" w14:textId="2BA81EFF" w:rsidR="00664D0A" w:rsidRDefault="003C72FA" w:rsidP="003C72FA">
      <w:pPr>
        <w:pStyle w:val="Caption"/>
        <w:rPr>
          <w:rFonts w:ascii="Times New Roman" w:eastAsia="Times New Roman" w:hAnsi="Times New Roman" w:cs="Times New Roman"/>
          <w:lang w:eastAsia="fr-FR"/>
        </w:rPr>
      </w:pPr>
      <w:bookmarkStart w:id="200" w:name="_Toc229617355"/>
      <w:r>
        <w:t xml:space="preserve">Figure </w:t>
      </w:r>
      <w:r>
        <w:fldChar w:fldCharType="begin"/>
      </w:r>
      <w:r>
        <w:instrText xml:space="preserve"> SEQ Figure \* ARABIC </w:instrText>
      </w:r>
      <w:r>
        <w:fldChar w:fldCharType="separate"/>
      </w:r>
      <w:r w:rsidR="00983108">
        <w:rPr>
          <w:noProof/>
        </w:rPr>
        <w:t>66</w:t>
      </w:r>
      <w:r>
        <w:fldChar w:fldCharType="end"/>
      </w:r>
      <w:r>
        <w:t xml:space="preserve"> </w:t>
      </w:r>
      <w:r w:rsidRPr="007E77E3">
        <w:t xml:space="preserve">Répartition des patients utilisateurs de la phytothérapie en fonction </w:t>
      </w:r>
      <w:proofErr w:type="gramStart"/>
      <w:r w:rsidRPr="007E77E3">
        <w:t>de  l’information</w:t>
      </w:r>
      <w:proofErr w:type="gramEnd"/>
      <w:r w:rsidRPr="007E77E3">
        <w:t xml:space="preserve"> du médecin traitant concernant cette utilisation</w:t>
      </w:r>
      <w:bookmarkEnd w:id="200"/>
    </w:p>
    <w:p w14:paraId="748E0B0E" w14:textId="77777777" w:rsidR="00664D0A" w:rsidRPr="003C72FA" w:rsidRDefault="00664D0A" w:rsidP="00B139C3">
      <w:pPr>
        <w:rPr>
          <w:rFonts w:ascii="Times New Roman" w:eastAsia="Times New Roman" w:hAnsi="Times New Roman" w:cs="Times New Roman"/>
          <w:lang w:val="fr-FR" w:eastAsia="fr-FR"/>
        </w:rPr>
      </w:pPr>
    </w:p>
    <w:p w14:paraId="084B20E9" w14:textId="77777777" w:rsidR="00664D0A" w:rsidRPr="00664D0A" w:rsidRDefault="00664D0A" w:rsidP="00B139C3">
      <w:pPr>
        <w:rPr>
          <w:rFonts w:ascii="Times New Roman" w:eastAsia="Times New Roman" w:hAnsi="Times New Roman" w:cs="Times New Roman"/>
          <w:lang w:val="fr-FR" w:eastAsia="fr-FR"/>
        </w:rPr>
      </w:pPr>
      <w:r w:rsidRPr="00664D0A">
        <w:rPr>
          <w:rFonts w:ascii="Times New Roman" w:eastAsia="Times New Roman" w:hAnsi="Times New Roman" w:cs="Times New Roman"/>
          <w:lang w:val="fr-FR" w:eastAsia="fr-FR"/>
        </w:rPr>
        <w:t>Figure : Distribution des patients utilisateurs de la phytothérapie en fonction de l’information du médecin traitant concernant cette utilisation</w:t>
      </w:r>
    </w:p>
    <w:p w14:paraId="453A31D5" w14:textId="77777777" w:rsidR="00664D0A" w:rsidRPr="00664D0A" w:rsidRDefault="00664D0A" w:rsidP="00B139C3">
      <w:pPr>
        <w:rPr>
          <w:rFonts w:ascii="Times New Roman" w:eastAsia="Times New Roman" w:hAnsi="Times New Roman" w:cs="Times New Roman"/>
          <w:lang w:val="fr-FR" w:eastAsia="fr-FR"/>
        </w:rPr>
      </w:pPr>
    </w:p>
    <w:p w14:paraId="64969224" w14:textId="77777777" w:rsidR="00664D0A" w:rsidRPr="00664D0A" w:rsidRDefault="00664D0A" w:rsidP="00B139C3">
      <w:pPr>
        <w:rPr>
          <w:rFonts w:ascii="Times New Roman" w:eastAsia="Times New Roman" w:hAnsi="Times New Roman" w:cs="Times New Roman"/>
          <w:sz w:val="28"/>
          <w:szCs w:val="28"/>
          <w:lang w:val="fr-FR" w:eastAsia="fr-FR"/>
        </w:rPr>
      </w:pPr>
      <w:r w:rsidRPr="00664D0A">
        <w:rPr>
          <w:rFonts w:ascii="Times New Roman" w:eastAsia="Times New Roman" w:hAnsi="Times New Roman" w:cs="Times New Roman"/>
          <w:sz w:val="28"/>
          <w:szCs w:val="28"/>
          <w:lang w:val="fr-FR" w:eastAsia="fr-FR"/>
        </w:rPr>
        <w:t>Analyse :</w:t>
      </w:r>
    </w:p>
    <w:p w14:paraId="7F716024" w14:textId="77777777" w:rsidR="00664D0A" w:rsidRPr="00F96B82" w:rsidRDefault="00664D0A" w:rsidP="00B139C3">
      <w:pPr>
        <w:rPr>
          <w:lang w:val="fr-FR"/>
        </w:rPr>
      </w:pPr>
      <w:r w:rsidRPr="00F96B82">
        <w:rPr>
          <w:lang w:val="fr-FR"/>
        </w:rPr>
        <w:t>L’analyse met en évidence une prédominance très marquée de la non-divulgation de l’usage de la phytothérapie au médecin traitant, avec une fréquence près de quinze fois supérieure à celle de l’information du praticien (93,7 % contre 6,3 % ; p &lt; 0,001). Cette différence statistiquement hautement significative montre que, dans la grande majorité des cas, le recours aux plantes médicinales demeure une pratique non communiquée au professionnel de santé chargé du suivi du diabète.</w:t>
      </w:r>
    </w:p>
    <w:p w14:paraId="3B8248F4" w14:textId="77777777" w:rsidR="00664D0A" w:rsidRPr="002C607D" w:rsidRDefault="00664D0A" w:rsidP="00B139C3">
      <w:pPr>
        <w:rPr>
          <w:rFonts w:ascii="Times New Roman" w:eastAsia="Times New Roman" w:hAnsi="Times New Roman" w:cs="Times New Roman"/>
          <w:lang w:val="fr-FR" w:eastAsia="fr-FR"/>
        </w:rPr>
      </w:pPr>
      <w:r w:rsidRPr="002C607D">
        <w:rPr>
          <w:rFonts w:ascii="Times New Roman" w:eastAsia="Times New Roman" w:hAnsi="Times New Roman" w:cs="Times New Roman"/>
          <w:lang w:val="fr-FR" w:eastAsia="fr-FR"/>
        </w:rPr>
        <w:t>Plusieurs facteurs peuvent expliquer cette situation. Les patients peuvent considérer la phytothérapie comme une pratique naturelle et traditionnelle ne nécessitant pas d’encadrement médical. Certains peuvent craindre une réaction négative ou une désapprobation de la part du médecin, tandis que d’autres estiment que cette information n’est pas pertinente ou ne sont tout simplement pas interrogés sur ce sujet au cours des consultations. La transmission familiale des savoirs et la banalisation culturelle de l’usage des plantes peuvent également renforcer cette autonomie décisionnelle.</w:t>
      </w:r>
    </w:p>
    <w:p w14:paraId="71580FA2" w14:textId="60E26EFB" w:rsidR="00664D0A" w:rsidRDefault="00664D0A" w:rsidP="007277D4">
      <w:pPr>
        <w:rPr>
          <w:rFonts w:ascii="Times New Roman" w:eastAsia="Times New Roman" w:hAnsi="Times New Roman" w:cs="Times New Roman"/>
          <w:lang w:val="fr-FR" w:eastAsia="fr-FR"/>
        </w:rPr>
      </w:pPr>
      <w:r w:rsidRPr="002C607D">
        <w:rPr>
          <w:rFonts w:ascii="Times New Roman" w:eastAsia="Times New Roman" w:hAnsi="Times New Roman" w:cs="Times New Roman"/>
          <w:lang w:val="fr-FR" w:eastAsia="fr-FR"/>
        </w:rPr>
        <w:lastRenderedPageBreak/>
        <w:t>Cette faible communication représente un enjeu clinique important, car l’association non signalée des plantes médicinales avec les traitements antidiabétiques peut exposer à des interactions pharmacologiques, à des effets indésirables ou à des variations imprévues du contrôle glycémique. Globalement, ces résultats soulignent la nécessité d’un dialogue plus ouvert entre patients et professionnels de santé, ainsi que l’intégration systématique du questionnement sur l’usage des médecines complémentaires dans</w:t>
      </w:r>
      <w:r w:rsidR="007277D4">
        <w:rPr>
          <w:rFonts w:ascii="Times New Roman" w:eastAsia="Times New Roman" w:hAnsi="Times New Roman" w:cs="Times New Roman"/>
          <w:lang w:val="fr-FR" w:eastAsia="fr-FR"/>
        </w:rPr>
        <w:t xml:space="preserve"> la prise en charge du diabète.</w:t>
      </w:r>
    </w:p>
    <w:p w14:paraId="69C86C45" w14:textId="77777777" w:rsidR="007277D4" w:rsidRPr="00C464A1" w:rsidRDefault="007277D4" w:rsidP="007277D4">
      <w:pPr>
        <w:rPr>
          <w:rFonts w:ascii="Times New Roman" w:eastAsia="Times New Roman" w:hAnsi="Times New Roman" w:cs="Times New Roman"/>
          <w:lang w:val="fr-FR" w:eastAsia="fr-FR"/>
        </w:rPr>
      </w:pPr>
    </w:p>
    <w:p w14:paraId="5A5CA6F2" w14:textId="36501B7C" w:rsidR="00664D0A" w:rsidRPr="00664D0A" w:rsidRDefault="00664D0A" w:rsidP="00EC1434">
      <w:pPr>
        <w:rPr>
          <w:sz w:val="28"/>
          <w:szCs w:val="28"/>
          <w:lang w:val="fr-FR"/>
        </w:rPr>
      </w:pPr>
      <w:r w:rsidRPr="00EC1434">
        <w:rPr>
          <w:b/>
          <w:bCs/>
          <w:sz w:val="28"/>
          <w:szCs w:val="28"/>
          <w:lang w:val="fr-FR"/>
        </w:rPr>
        <w:t xml:space="preserve">H / Distribution des patients utilisateurs </w:t>
      </w:r>
      <w:r w:rsidR="00EC1434" w:rsidRPr="00EC1434">
        <w:rPr>
          <w:b/>
          <w:bCs/>
          <w:sz w:val="28"/>
          <w:szCs w:val="28"/>
          <w:lang w:val="fr-FR"/>
        </w:rPr>
        <w:t xml:space="preserve">des plantes medicinales </w:t>
      </w:r>
      <w:r w:rsidRPr="00EC1434">
        <w:rPr>
          <w:b/>
          <w:bCs/>
          <w:sz w:val="28"/>
          <w:szCs w:val="28"/>
          <w:lang w:val="fr-FR"/>
        </w:rPr>
        <w:t>en fonction de l'efficacité perçue</w:t>
      </w:r>
      <w:r w:rsidRPr="00664D0A">
        <w:rPr>
          <w:lang w:val="fr-FR"/>
        </w:rPr>
        <w:t> </w:t>
      </w:r>
      <w:r w:rsidRPr="00664D0A">
        <w:rPr>
          <w:sz w:val="28"/>
          <w:szCs w:val="28"/>
          <w:lang w:val="fr-FR"/>
        </w:rPr>
        <w:t>:</w:t>
      </w:r>
    </w:p>
    <w:p w14:paraId="2F7D7DBD" w14:textId="77777777" w:rsidR="00664D0A" w:rsidRPr="00F96B82" w:rsidRDefault="00664D0A" w:rsidP="00B139C3">
      <w:pPr>
        <w:rPr>
          <w:lang w:val="fr-FR"/>
        </w:rPr>
      </w:pPr>
      <w:r w:rsidRPr="00F96B82">
        <w:rPr>
          <w:lang w:val="fr-FR"/>
        </w:rPr>
        <w:t>Description</w:t>
      </w:r>
    </w:p>
    <w:p w14:paraId="7C4D7DBE" w14:textId="77777777" w:rsidR="00664D0A" w:rsidRPr="00F96B82" w:rsidRDefault="00664D0A" w:rsidP="00B139C3">
      <w:pPr>
        <w:rPr>
          <w:lang w:val="fr-FR"/>
        </w:rPr>
      </w:pPr>
      <w:r w:rsidRPr="00F96B82">
        <w:rPr>
          <w:lang w:val="fr-FR"/>
        </w:rPr>
        <w:t xml:space="preserve">Parmi les 158 patients diabétiques de type 2 utilisant des plantes médicinales, la grande majorité, soit 147 patients (93,0 %), ont déclaré percevoir leur utilisation comme efficace dans la prise en charge de leur diabète. En revanche, une minorité de 11 patients (7,0 %) ont estimé que le recours à la phytothérapie n'avait apporté aucune amélioration perceptible de leur état de </w:t>
      </w:r>
      <w:proofErr w:type="gramStart"/>
      <w:r w:rsidRPr="00F96B82">
        <w:rPr>
          <w:lang w:val="fr-FR"/>
        </w:rPr>
        <w:t>santé .</w:t>
      </w:r>
      <w:proofErr w:type="gramEnd"/>
      <w:r w:rsidRPr="00F96B82">
        <w:rPr>
          <w:lang w:val="fr-FR"/>
        </w:rPr>
        <w:t xml:space="preserve"> Ces résultats témoignent d'une perception très favorable de l'efficacité des plantes médicinales au sein de cette population, ce qui peut en partie expliquer la persistance et la pérennité de ces pratiques traditionnelles dans la région de Laghouat.</w:t>
      </w:r>
    </w:p>
    <w:p w14:paraId="124A50E9" w14:textId="77777777" w:rsidR="007277D4" w:rsidRPr="00F96B82" w:rsidRDefault="007277D4" w:rsidP="00B139C3">
      <w:pPr>
        <w:rPr>
          <w:rStyle w:val="Strong"/>
          <w:lang w:val="fr-FR"/>
        </w:rPr>
      </w:pPr>
    </w:p>
    <w:p w14:paraId="43DDEA2B" w14:textId="56D8A8F1" w:rsidR="00664D0A" w:rsidRPr="007277D4" w:rsidRDefault="00664D0A" w:rsidP="0005552C">
      <w:pPr>
        <w:rPr>
          <w:lang w:val="fr-FR"/>
        </w:rPr>
      </w:pPr>
    </w:p>
    <w:p w14:paraId="16A9BE9A" w14:textId="4D950FAA" w:rsidR="0005552C" w:rsidRDefault="0005552C" w:rsidP="0005552C">
      <w:pPr>
        <w:pStyle w:val="Caption"/>
        <w:keepNext/>
      </w:pPr>
      <w:bookmarkStart w:id="201" w:name="_Toc229617394"/>
      <w:r>
        <w:t xml:space="preserve">Tableau </w:t>
      </w:r>
      <w:r>
        <w:fldChar w:fldCharType="begin"/>
      </w:r>
      <w:r>
        <w:instrText xml:space="preserve"> SEQ Tableau \* ARABIC </w:instrText>
      </w:r>
      <w:r>
        <w:fldChar w:fldCharType="separate"/>
      </w:r>
      <w:r w:rsidR="00983108">
        <w:rPr>
          <w:noProof/>
        </w:rPr>
        <w:t>33</w:t>
      </w:r>
      <w:r>
        <w:fldChar w:fldCharType="end"/>
      </w:r>
      <w:r>
        <w:t xml:space="preserve"> </w:t>
      </w:r>
      <w:r w:rsidRPr="00D53D7C">
        <w:t>Répartition des patients selon l'efficacité perçue de l'utilisation des plantes médicinales</w:t>
      </w:r>
      <w:bookmarkEnd w:id="201"/>
    </w:p>
    <w:tbl>
      <w:tblPr>
        <w:tblW w:w="5810" w:type="dxa"/>
        <w:tblInd w:w="-5" w:type="dxa"/>
        <w:tblLook w:val="04A0" w:firstRow="1" w:lastRow="0" w:firstColumn="1" w:lastColumn="0" w:noHBand="0" w:noVBand="1"/>
      </w:tblPr>
      <w:tblGrid>
        <w:gridCol w:w="2258"/>
        <w:gridCol w:w="1502"/>
        <w:gridCol w:w="2050"/>
      </w:tblGrid>
      <w:tr w:rsidR="00664D0A" w:rsidRPr="00060A43" w14:paraId="64A4D35D" w14:textId="77777777" w:rsidTr="0059682C">
        <w:trPr>
          <w:trHeight w:val="639"/>
        </w:trPr>
        <w:tc>
          <w:tcPr>
            <w:tcW w:w="0" w:type="auto"/>
            <w:hideMark/>
          </w:tcPr>
          <w:p w14:paraId="336D4F1C"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Efficacité perçue</w:t>
            </w:r>
          </w:p>
        </w:tc>
        <w:tc>
          <w:tcPr>
            <w:tcW w:w="0" w:type="auto"/>
            <w:hideMark/>
          </w:tcPr>
          <w:p w14:paraId="0380B6B3"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Effectif (n)</w:t>
            </w:r>
          </w:p>
        </w:tc>
        <w:tc>
          <w:tcPr>
            <w:tcW w:w="0" w:type="auto"/>
            <w:hideMark/>
          </w:tcPr>
          <w:p w14:paraId="7BED961D"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Fréquence (%)</w:t>
            </w:r>
          </w:p>
        </w:tc>
      </w:tr>
      <w:tr w:rsidR="00664D0A" w:rsidRPr="00060A43" w14:paraId="67C06ECC" w14:textId="77777777" w:rsidTr="0059682C">
        <w:trPr>
          <w:trHeight w:val="639"/>
        </w:trPr>
        <w:tc>
          <w:tcPr>
            <w:tcW w:w="0" w:type="auto"/>
            <w:hideMark/>
          </w:tcPr>
          <w:p w14:paraId="224D884E"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Efficace</w:t>
            </w:r>
          </w:p>
        </w:tc>
        <w:tc>
          <w:tcPr>
            <w:tcW w:w="0" w:type="auto"/>
            <w:hideMark/>
          </w:tcPr>
          <w:p w14:paraId="1372D2EF"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147</w:t>
            </w:r>
          </w:p>
        </w:tc>
        <w:tc>
          <w:tcPr>
            <w:tcW w:w="0" w:type="auto"/>
            <w:hideMark/>
          </w:tcPr>
          <w:p w14:paraId="3712CFF3"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93,0 %</w:t>
            </w:r>
          </w:p>
        </w:tc>
      </w:tr>
      <w:tr w:rsidR="00664D0A" w:rsidRPr="00060A43" w14:paraId="27653E3C" w14:textId="77777777" w:rsidTr="0059682C">
        <w:trPr>
          <w:trHeight w:val="639"/>
        </w:trPr>
        <w:tc>
          <w:tcPr>
            <w:tcW w:w="0" w:type="auto"/>
            <w:hideMark/>
          </w:tcPr>
          <w:p w14:paraId="5C6779ED"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Inefficace</w:t>
            </w:r>
          </w:p>
        </w:tc>
        <w:tc>
          <w:tcPr>
            <w:tcW w:w="0" w:type="auto"/>
            <w:hideMark/>
          </w:tcPr>
          <w:p w14:paraId="08BD4F92"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11</w:t>
            </w:r>
          </w:p>
        </w:tc>
        <w:tc>
          <w:tcPr>
            <w:tcW w:w="0" w:type="auto"/>
            <w:hideMark/>
          </w:tcPr>
          <w:p w14:paraId="61A238AD"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7,0 %</w:t>
            </w:r>
          </w:p>
        </w:tc>
      </w:tr>
      <w:tr w:rsidR="00664D0A" w:rsidRPr="00060A43" w14:paraId="0DC31A7A" w14:textId="77777777" w:rsidTr="0059682C">
        <w:trPr>
          <w:trHeight w:val="639"/>
        </w:trPr>
        <w:tc>
          <w:tcPr>
            <w:tcW w:w="0" w:type="auto"/>
            <w:hideMark/>
          </w:tcPr>
          <w:p w14:paraId="72114129"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TOTAL</w:t>
            </w:r>
          </w:p>
        </w:tc>
        <w:tc>
          <w:tcPr>
            <w:tcW w:w="0" w:type="auto"/>
            <w:hideMark/>
          </w:tcPr>
          <w:p w14:paraId="1AFDB908"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158</w:t>
            </w:r>
          </w:p>
        </w:tc>
        <w:tc>
          <w:tcPr>
            <w:tcW w:w="0" w:type="auto"/>
            <w:hideMark/>
          </w:tcPr>
          <w:p w14:paraId="12B03A8E" w14:textId="77777777" w:rsidR="00664D0A" w:rsidRPr="00060A43" w:rsidRDefault="00664D0A" w:rsidP="00B139C3">
            <w:pPr>
              <w:rPr>
                <w:rFonts w:ascii="Arial" w:eastAsia="Times New Roman" w:hAnsi="Arial" w:cs="Arial"/>
                <w:sz w:val="20"/>
                <w:szCs w:val="20"/>
                <w:lang w:eastAsia="fr-FR"/>
              </w:rPr>
            </w:pPr>
            <w:r w:rsidRPr="00060A43">
              <w:rPr>
                <w:rFonts w:ascii="Arial" w:eastAsia="Times New Roman" w:hAnsi="Arial" w:cs="Arial"/>
                <w:sz w:val="20"/>
                <w:szCs w:val="20"/>
                <w:lang w:eastAsia="fr-FR"/>
              </w:rPr>
              <w:t>100,0 %</w:t>
            </w:r>
          </w:p>
        </w:tc>
      </w:tr>
    </w:tbl>
    <w:p w14:paraId="3DBFBECD" w14:textId="77777777" w:rsidR="003C72FA" w:rsidRDefault="00664D0A" w:rsidP="003C72FA">
      <w:pPr>
        <w:keepNext/>
      </w:pPr>
      <w:r>
        <w:rPr>
          <w:noProof/>
          <w:lang w:val="fr-FR" w:eastAsia="fr-FR"/>
        </w:rPr>
        <w:lastRenderedPageBreak/>
        <w:drawing>
          <wp:inline distT="0" distB="0" distL="0" distR="0" wp14:anchorId="08AC7861" wp14:editId="5B92E57F">
            <wp:extent cx="4121150" cy="2258705"/>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4ECAA8DD" w14:textId="0A9BE345" w:rsidR="00664D0A" w:rsidRDefault="003C72FA" w:rsidP="003C72FA">
      <w:pPr>
        <w:pStyle w:val="Caption"/>
        <w:rPr>
          <w:sz w:val="28"/>
          <w:szCs w:val="28"/>
        </w:rPr>
      </w:pPr>
      <w:bookmarkStart w:id="202" w:name="_Toc229617356"/>
      <w:r>
        <w:t xml:space="preserve">Figure </w:t>
      </w:r>
      <w:r>
        <w:fldChar w:fldCharType="begin"/>
      </w:r>
      <w:r>
        <w:instrText xml:space="preserve"> SEQ Figure \* ARABIC </w:instrText>
      </w:r>
      <w:r>
        <w:fldChar w:fldCharType="separate"/>
      </w:r>
      <w:r w:rsidR="00983108">
        <w:rPr>
          <w:noProof/>
        </w:rPr>
        <w:t>67</w:t>
      </w:r>
      <w:r>
        <w:fldChar w:fldCharType="end"/>
      </w:r>
      <w:r>
        <w:t xml:space="preserve"> </w:t>
      </w:r>
      <w:r w:rsidRPr="00B423A8">
        <w:t>Répartition des patients selon l'efficacité perçue de l'utilisation des plantes médicinales</w:t>
      </w:r>
      <w:bookmarkEnd w:id="202"/>
    </w:p>
    <w:p w14:paraId="4FBD1135" w14:textId="77777777" w:rsidR="00664D0A" w:rsidRPr="00664D0A" w:rsidRDefault="00664D0A" w:rsidP="00B139C3">
      <w:pPr>
        <w:rPr>
          <w:lang w:val="fr-FR"/>
        </w:rPr>
      </w:pPr>
      <w:r w:rsidRPr="00664D0A">
        <w:rPr>
          <w:lang w:val="fr-FR"/>
        </w:rPr>
        <w:t xml:space="preserve"> Figure : Distribution des patients utilisateurs de la phytothérapie en fonction de l'efficacité perçue des plantes médicinales</w:t>
      </w:r>
    </w:p>
    <w:p w14:paraId="68E79511" w14:textId="036971AF" w:rsidR="00664D0A" w:rsidRPr="00F96B82" w:rsidRDefault="00664D0A" w:rsidP="00B139C3">
      <w:pPr>
        <w:rPr>
          <w:lang w:val="fr-FR"/>
        </w:rPr>
      </w:pPr>
    </w:p>
    <w:p w14:paraId="174EAA75" w14:textId="77777777" w:rsidR="00664D0A" w:rsidRPr="00F96B82" w:rsidRDefault="00664D0A" w:rsidP="00B139C3">
      <w:pPr>
        <w:rPr>
          <w:sz w:val="28"/>
          <w:szCs w:val="28"/>
          <w:lang w:val="fr-FR"/>
        </w:rPr>
      </w:pPr>
      <w:r w:rsidRPr="00F96B82">
        <w:rPr>
          <w:sz w:val="28"/>
          <w:szCs w:val="28"/>
          <w:lang w:val="fr-FR"/>
        </w:rPr>
        <w:t xml:space="preserve">Analyse : </w:t>
      </w:r>
    </w:p>
    <w:p w14:paraId="3FEE18F4" w14:textId="77777777" w:rsidR="00664D0A" w:rsidRPr="00F96B82" w:rsidRDefault="00664D0A" w:rsidP="00B139C3">
      <w:pPr>
        <w:rPr>
          <w:lang w:val="fr-FR"/>
        </w:rPr>
      </w:pPr>
      <w:r w:rsidRPr="00F96B82">
        <w:rPr>
          <w:lang w:val="fr-FR"/>
        </w:rPr>
        <w:t>Les résultats montrent qu’une très large majorité des patients utilisateurs considère la phytothérapie comme efficace, avec 93,0 % de réponses favorables contre 7,0 % d’avis défavorables (p &lt; 0,001). Cet écart hautement significatif indique que la perception positive de l’efficacité constitue un élément central dans le maintien de cette pratique.</w:t>
      </w:r>
    </w:p>
    <w:p w14:paraId="2C40294D" w14:textId="59AFA18E" w:rsidR="00664D0A" w:rsidRPr="00F96B82" w:rsidRDefault="00664D0A" w:rsidP="00B139C3">
      <w:pPr>
        <w:rPr>
          <w:lang w:val="fr-FR"/>
        </w:rPr>
      </w:pPr>
      <w:r w:rsidRPr="00F96B82">
        <w:rPr>
          <w:lang w:val="fr-FR"/>
        </w:rPr>
        <w:t xml:space="preserve">Cette appréciation favorable peut s’expliquer par les bénéfices subjectivement ressentis, l’amélioration perçue du contrôle glycémique, ainsi que l’influence des croyances culturelles et des expériences rapportées par l’entourage. À l’inverse, la faible proportion de patients jugeant la phytothérapie inefficace pourrait être liée à une absence de résultats perceptibles ou à une utilisation insuffisamment régulière. Globalement, ces résultats suggèrent que la perception d’efficacité joue un rôle déterminant dans l’adoption et la poursuite du recours à la phytothérapie chez les patients diabétiques. </w:t>
      </w:r>
    </w:p>
    <w:p w14:paraId="41D5BB7F" w14:textId="3F86DB17" w:rsidR="007277D4" w:rsidRPr="00F96B82" w:rsidRDefault="007277D4" w:rsidP="00B139C3">
      <w:pPr>
        <w:rPr>
          <w:lang w:val="fr-FR"/>
        </w:rPr>
      </w:pPr>
    </w:p>
    <w:p w14:paraId="338FE709" w14:textId="77777777" w:rsidR="007277D4" w:rsidRPr="00F96B82" w:rsidRDefault="007277D4" w:rsidP="00B139C3">
      <w:pPr>
        <w:rPr>
          <w:lang w:val="fr-FR"/>
        </w:rPr>
      </w:pPr>
    </w:p>
    <w:p w14:paraId="5EF01C09" w14:textId="61ADE00C" w:rsidR="00A33DED" w:rsidRPr="007277D4" w:rsidRDefault="00A33DED" w:rsidP="00B139C3">
      <w:pPr>
        <w:rPr>
          <w:b/>
          <w:bCs/>
          <w:sz w:val="32"/>
          <w:szCs w:val="32"/>
          <w:lang w:val="fr-FR"/>
        </w:rPr>
      </w:pPr>
      <w:r w:rsidRPr="007277D4">
        <w:rPr>
          <w:b/>
          <w:bCs/>
          <w:sz w:val="32"/>
          <w:szCs w:val="32"/>
          <w:lang w:val="fr-FR"/>
        </w:rPr>
        <w:t xml:space="preserve">14/Répartition des patients diabétiques selon la profession :  </w:t>
      </w:r>
    </w:p>
    <w:p w14:paraId="3C70767D" w14:textId="77777777" w:rsidR="00A33DED" w:rsidRPr="00664D0A" w:rsidRDefault="00A33DED" w:rsidP="00B139C3">
      <w:pPr>
        <w:rPr>
          <w:color w:val="44546A" w:themeColor="text2"/>
          <w:sz w:val="28"/>
          <w:szCs w:val="28"/>
          <w:lang w:val="fr-FR"/>
        </w:rPr>
      </w:pPr>
      <w:proofErr w:type="gramStart"/>
      <w:r w:rsidRPr="00664D0A">
        <w:rPr>
          <w:color w:val="44546A" w:themeColor="text2"/>
          <w:sz w:val="28"/>
          <w:szCs w:val="28"/>
          <w:lang w:val="fr-FR"/>
        </w:rPr>
        <w:t>description:</w:t>
      </w:r>
      <w:proofErr w:type="gramEnd"/>
    </w:p>
    <w:p w14:paraId="417E5E7F" w14:textId="77777777" w:rsidR="00A33DED" w:rsidRPr="00F96B82" w:rsidRDefault="00A33DED" w:rsidP="00B139C3">
      <w:pPr>
        <w:rPr>
          <w:lang w:val="fr-FR"/>
        </w:rPr>
      </w:pPr>
      <w:r w:rsidRPr="00F96B82">
        <w:rPr>
          <w:lang w:val="fr-FR"/>
        </w:rPr>
        <w:t>Parmi les 158 patients diabétiques de type 2 utilisant la phytothérapie, la répartition selon la profession montre une nette prédominance des femmes au foyer, suivies des retraités. Les autres catégories professionnelles, telles que les travailleurs libres, les agents administratifs, les enseignants, les militaires et les chômeurs, sont faiblement représentées.</w:t>
      </w:r>
    </w:p>
    <w:p w14:paraId="07C2B66A" w14:textId="134BBEE1" w:rsidR="00A33DED" w:rsidRPr="0059682C" w:rsidRDefault="00A33DED" w:rsidP="0059682C">
      <w:pPr>
        <w:rPr>
          <w:lang w:val="fr-FR"/>
        </w:rPr>
      </w:pPr>
      <w:r w:rsidRPr="00664D0A">
        <w:rPr>
          <w:lang w:val="fr-FR"/>
        </w:rPr>
        <w:lastRenderedPageBreak/>
        <w:t xml:space="preserve">Chez les 93 patients non-utilisateurs de phytothérapie, on observe également une prédominance des femmes au foyer, suivies des travailleurs libres et des retraités. Les autres catégories professionnelles restent minoritaires, avec une distribution globalement similaire à celle </w:t>
      </w:r>
      <w:r w:rsidR="0059682C">
        <w:rPr>
          <w:lang w:val="fr-FR"/>
        </w:rPr>
        <w:t>observée chez les utilisateurs.</w:t>
      </w:r>
    </w:p>
    <w:p w14:paraId="613B1EE0" w14:textId="15476309" w:rsidR="0059682C" w:rsidRDefault="0059682C" w:rsidP="0059682C">
      <w:pPr>
        <w:pStyle w:val="Caption"/>
        <w:keepNext/>
      </w:pPr>
      <w:bookmarkStart w:id="203" w:name="_Toc229617395"/>
      <w:r>
        <w:t xml:space="preserve">Tableau </w:t>
      </w:r>
      <w:r>
        <w:fldChar w:fldCharType="begin"/>
      </w:r>
      <w:r>
        <w:instrText xml:space="preserve"> SEQ Tableau \* ARABIC </w:instrText>
      </w:r>
      <w:r>
        <w:fldChar w:fldCharType="separate"/>
      </w:r>
      <w:r w:rsidR="00983108">
        <w:rPr>
          <w:noProof/>
        </w:rPr>
        <w:t>34</w:t>
      </w:r>
      <w:r>
        <w:fldChar w:fldCharType="end"/>
      </w:r>
      <w:r>
        <w:t xml:space="preserve"> </w:t>
      </w:r>
      <w:r w:rsidRPr="00E5363A">
        <w:t>Répartition des patients par profession et usage de la phytothérapie (N = 251)</w:t>
      </w:r>
      <w:bookmarkEnd w:id="203"/>
    </w:p>
    <w:tbl>
      <w:tblPr>
        <w:tblW w:w="9148" w:type="dxa"/>
        <w:tblCellMar>
          <w:left w:w="0" w:type="dxa"/>
          <w:right w:w="0" w:type="dxa"/>
        </w:tblCellMar>
        <w:tblLook w:val="04A0" w:firstRow="1" w:lastRow="0" w:firstColumn="1" w:lastColumn="0" w:noHBand="0" w:noVBand="1"/>
      </w:tblPr>
      <w:tblGrid>
        <w:gridCol w:w="2103"/>
        <w:gridCol w:w="1930"/>
        <w:gridCol w:w="1452"/>
        <w:gridCol w:w="2211"/>
        <w:gridCol w:w="1452"/>
      </w:tblGrid>
      <w:tr w:rsidR="00A33DED" w:rsidRPr="00F82874" w14:paraId="448A99AD"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3DCB3A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Profession</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4E61CB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Utilisateurs (n=158)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AE9422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19C5EB7"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Non-utilisateurs (n=93)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6EA45F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r>
      <w:tr w:rsidR="00A33DED" w:rsidRPr="00F82874" w14:paraId="135C8DA8"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43666B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Femme au foyer (Faf)</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60ECD9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0F247FE"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43,67 %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9C093D8"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BF4A4A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40,86 %</w:t>
            </w:r>
          </w:p>
        </w:tc>
      </w:tr>
      <w:tr w:rsidR="00A33DED" w:rsidRPr="00F82874" w14:paraId="516A6D0F"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0B31F5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Retraité</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2C697C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7BAD16B"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24,68 %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500BAF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21</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8110E9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22,58 %</w:t>
            </w:r>
          </w:p>
        </w:tc>
      </w:tr>
      <w:tr w:rsidR="00A33DED" w:rsidRPr="00F82874" w14:paraId="5B6F5A2E"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AE6B1F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Travaux libres</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F47131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4B38390"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14,56 %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5CB060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8B3F949"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23,66 %</w:t>
            </w:r>
          </w:p>
        </w:tc>
      </w:tr>
      <w:tr w:rsidR="00A33DED" w:rsidRPr="00F82874" w14:paraId="56FBAF86"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9E38FCB"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Chômeur</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A104CF8"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E6580F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5,06 %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7123AE9"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16ABDAE"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3,23 %</w:t>
            </w:r>
          </w:p>
        </w:tc>
      </w:tr>
      <w:tr w:rsidR="00A33DED" w:rsidRPr="00F82874" w14:paraId="5C9F7407"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089966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Administratif</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95C98E9"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062D6C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3,80 %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AD713C5"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81E473B"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3,23 %</w:t>
            </w:r>
          </w:p>
        </w:tc>
      </w:tr>
      <w:tr w:rsidR="00A33DED" w:rsidRPr="00F82874" w14:paraId="4890E694"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C332953"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Enseignant</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1C54DDE"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948E2BE"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3,16 %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C2F4321"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C2F2AF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2,15 %</w:t>
            </w:r>
          </w:p>
        </w:tc>
      </w:tr>
      <w:tr w:rsidR="00A33DED" w:rsidRPr="00F82874" w14:paraId="14FCA7F2"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9EA9E38"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Agent</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8C4BE1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EBE041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2,53 %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AAF26D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C70F890"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3,23 %</w:t>
            </w:r>
          </w:p>
        </w:tc>
      </w:tr>
      <w:tr w:rsidR="00A33DED" w:rsidRPr="00F82874" w14:paraId="1219DD88"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BC3BDA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Militaire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F4FF8E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A0D7198"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2,53 %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0CB915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C9458A7"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1,08 %</w:t>
            </w:r>
          </w:p>
        </w:tc>
      </w:tr>
      <w:tr w:rsidR="00A33DED" w:rsidRPr="00F82874" w14:paraId="4B079D1A"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5545C63"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Total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068FB5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67FD78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17B5CF6"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4AA0ED3"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r>
    </w:tbl>
    <w:p w14:paraId="3CA994DE" w14:textId="77777777" w:rsidR="003C72FA" w:rsidRDefault="00A33DED" w:rsidP="003C72FA">
      <w:pPr>
        <w:keepNext/>
      </w:pPr>
      <w:r w:rsidRPr="00C30B46">
        <w:rPr>
          <w:noProof/>
          <w:lang w:val="fr-FR" w:eastAsia="fr-FR"/>
        </w:rPr>
        <w:lastRenderedPageBreak/>
        <w:drawing>
          <wp:inline distT="0" distB="0" distL="0" distR="0" wp14:anchorId="49E01651" wp14:editId="168CD331">
            <wp:extent cx="6122035" cy="3962400"/>
            <wp:effectExtent l="0" t="0" r="12065" b="0"/>
            <wp:docPr id="13"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7E22D039" w14:textId="0AA131EB" w:rsidR="00A33DED" w:rsidRDefault="003C72FA" w:rsidP="003C72FA">
      <w:pPr>
        <w:pStyle w:val="Caption"/>
      </w:pPr>
      <w:bookmarkStart w:id="204" w:name="_Toc229617357"/>
      <w:r>
        <w:t xml:space="preserve">Figure </w:t>
      </w:r>
      <w:r>
        <w:fldChar w:fldCharType="begin"/>
      </w:r>
      <w:r>
        <w:instrText xml:space="preserve"> SEQ Figure \* ARABIC </w:instrText>
      </w:r>
      <w:r>
        <w:fldChar w:fldCharType="separate"/>
      </w:r>
      <w:r w:rsidR="00983108">
        <w:rPr>
          <w:noProof/>
        </w:rPr>
        <w:t>68</w:t>
      </w:r>
      <w:r>
        <w:fldChar w:fldCharType="end"/>
      </w:r>
      <w:r>
        <w:t xml:space="preserve"> </w:t>
      </w:r>
      <w:r w:rsidRPr="00077922">
        <w:t>Répartition des patients par profession et usage de la phytothérapie (N = 251)</w:t>
      </w:r>
      <w:bookmarkEnd w:id="204"/>
    </w:p>
    <w:p w14:paraId="189B1C7C" w14:textId="77777777" w:rsidR="00A33DED" w:rsidRPr="003C72FA" w:rsidRDefault="00A33DED" w:rsidP="00B139C3">
      <w:pPr>
        <w:rPr>
          <w:color w:val="44546A" w:themeColor="text2"/>
          <w:sz w:val="28"/>
          <w:lang w:val="fr-FR"/>
        </w:rPr>
      </w:pPr>
    </w:p>
    <w:p w14:paraId="11A08B9B" w14:textId="77777777" w:rsidR="00A33DED" w:rsidRPr="00F96B82" w:rsidRDefault="00A33DED" w:rsidP="00B139C3">
      <w:pPr>
        <w:rPr>
          <w:color w:val="44546A" w:themeColor="text2"/>
          <w:sz w:val="28"/>
          <w:lang w:val="fr-FR"/>
        </w:rPr>
      </w:pPr>
      <w:r w:rsidRPr="00F96B82">
        <w:rPr>
          <w:b/>
          <w:bCs/>
          <w:color w:val="44546A" w:themeColor="text2"/>
          <w:sz w:val="28"/>
          <w:lang w:val="fr-FR"/>
        </w:rPr>
        <w:t>Analyse</w:t>
      </w:r>
      <w:r w:rsidRPr="00F96B82">
        <w:rPr>
          <w:color w:val="44546A" w:themeColor="text2"/>
          <w:sz w:val="28"/>
          <w:lang w:val="fr-FR"/>
        </w:rPr>
        <w:t xml:space="preserve"> : </w:t>
      </w:r>
    </w:p>
    <w:p w14:paraId="57186285" w14:textId="77777777" w:rsidR="00A33DED" w:rsidRPr="00F96B82" w:rsidRDefault="00A33DED" w:rsidP="00B139C3">
      <w:pPr>
        <w:rPr>
          <w:lang w:val="fr-FR"/>
        </w:rPr>
      </w:pPr>
      <w:r w:rsidRPr="00F96B82">
        <w:rPr>
          <w:lang w:val="fr-FR"/>
        </w:rPr>
        <w:t>L’analyse de la répartition selon la profession montre que, dans les deux groupes, les femmes au foyer constituent la catégorie la plus représentée. Cette prédominance peut s’expliquer par la structure socio-démographique de la population étudiée, où les femmes jouent un rôle central dans la gestion de la santé familiale et sont souvent plus exposées aux pratiques de médecine traditionnelle, notamment la phytothérapie.</w:t>
      </w:r>
    </w:p>
    <w:p w14:paraId="5D885E68" w14:textId="77777777" w:rsidR="00A33DED" w:rsidRPr="00F96B82" w:rsidRDefault="00A33DED" w:rsidP="00B139C3">
      <w:pPr>
        <w:rPr>
          <w:lang w:val="fr-FR"/>
        </w:rPr>
      </w:pPr>
      <w:r w:rsidRPr="00F96B82">
        <w:rPr>
          <w:lang w:val="fr-FR"/>
        </w:rPr>
        <w:t>Les retraités occupent également une place importante dans les deux groupes, ce qui est cohérent avec l’âge avancé de la majorité des patients atteints de diabète de type 2. Cette catégorie est souvent confrontée à une maladie chronique prolongée, ce qui peut favoriser le recours à des traitements complémentaires.</w:t>
      </w:r>
    </w:p>
    <w:p w14:paraId="539AB0AB" w14:textId="329F0A67" w:rsidR="00A33DED" w:rsidRPr="00F96B82" w:rsidRDefault="00A33DED" w:rsidP="00B139C3">
      <w:pPr>
        <w:rPr>
          <w:lang w:val="fr-FR"/>
        </w:rPr>
      </w:pPr>
      <w:r w:rsidRPr="00F96B82">
        <w:rPr>
          <w:lang w:val="fr-FR"/>
        </w:rPr>
        <w:t>Par ailleurs, les autres professions sont moins représentées, ce qui peut être lié à un meilleur accès aux soins conventionnels, une plus grande sensibilisation médicale ou une moindre dépendance aux pratiques traditionnelles.</w:t>
      </w:r>
    </w:p>
    <w:p w14:paraId="1A5EEBDC" w14:textId="468B139D" w:rsidR="007277D4" w:rsidRPr="00F96B82" w:rsidRDefault="007277D4" w:rsidP="00B139C3">
      <w:pPr>
        <w:rPr>
          <w:lang w:val="fr-FR"/>
        </w:rPr>
      </w:pPr>
    </w:p>
    <w:p w14:paraId="607C4CD1" w14:textId="1B9BE584" w:rsidR="007277D4" w:rsidRPr="00F96B82" w:rsidRDefault="007277D4" w:rsidP="00B139C3">
      <w:pPr>
        <w:rPr>
          <w:lang w:val="fr-FR"/>
        </w:rPr>
      </w:pPr>
    </w:p>
    <w:p w14:paraId="46C0A888" w14:textId="77777777" w:rsidR="007277D4" w:rsidRPr="00F96B82" w:rsidRDefault="007277D4" w:rsidP="00B139C3">
      <w:pPr>
        <w:rPr>
          <w:lang w:val="fr-FR"/>
        </w:rPr>
      </w:pPr>
    </w:p>
    <w:p w14:paraId="707877BF" w14:textId="3FC3F846" w:rsidR="00A33DED" w:rsidRPr="007277D4" w:rsidRDefault="00A33DED" w:rsidP="00B139C3">
      <w:pPr>
        <w:rPr>
          <w:b/>
          <w:bCs/>
          <w:sz w:val="32"/>
          <w:szCs w:val="32"/>
          <w:lang w:val="fr-FR"/>
        </w:rPr>
      </w:pPr>
      <w:r w:rsidRPr="007277D4">
        <w:rPr>
          <w:b/>
          <w:bCs/>
          <w:sz w:val="32"/>
          <w:szCs w:val="32"/>
          <w:lang w:val="fr-FR"/>
        </w:rPr>
        <w:t xml:space="preserve">15 /Répartition des patients diabétiques selon la situation </w:t>
      </w:r>
      <w:proofErr w:type="gramStart"/>
      <w:r w:rsidRPr="007277D4">
        <w:rPr>
          <w:b/>
          <w:bCs/>
          <w:sz w:val="32"/>
          <w:szCs w:val="32"/>
          <w:lang w:val="fr-FR"/>
        </w:rPr>
        <w:t>familiale:</w:t>
      </w:r>
      <w:proofErr w:type="gramEnd"/>
      <w:r w:rsidRPr="007277D4">
        <w:rPr>
          <w:b/>
          <w:bCs/>
          <w:sz w:val="32"/>
          <w:szCs w:val="32"/>
          <w:lang w:val="fr-FR"/>
        </w:rPr>
        <w:t xml:space="preserve"> </w:t>
      </w:r>
    </w:p>
    <w:p w14:paraId="5896BC3E" w14:textId="77777777" w:rsidR="00A33DED" w:rsidRPr="007277D4" w:rsidRDefault="00A33DED" w:rsidP="00B139C3">
      <w:pPr>
        <w:rPr>
          <w:b/>
          <w:bCs/>
          <w:lang w:val="fr-FR"/>
        </w:rPr>
      </w:pPr>
      <w:proofErr w:type="gramStart"/>
      <w:r w:rsidRPr="007277D4">
        <w:rPr>
          <w:b/>
          <w:bCs/>
          <w:lang w:val="fr-FR"/>
        </w:rPr>
        <w:t>description:</w:t>
      </w:r>
      <w:proofErr w:type="gramEnd"/>
    </w:p>
    <w:p w14:paraId="29C0790E" w14:textId="77777777" w:rsidR="00A33DED" w:rsidRPr="00F96B82" w:rsidRDefault="00A33DED" w:rsidP="00B139C3">
      <w:pPr>
        <w:rPr>
          <w:lang w:val="fr-FR"/>
        </w:rPr>
      </w:pPr>
      <w:r w:rsidRPr="00F96B82">
        <w:rPr>
          <w:lang w:val="fr-FR"/>
        </w:rPr>
        <w:t>Parmi les 158 patients diabétiques de type 2 utilisant la phytothérapie, la majorité des patients sont mariés. Les autres situations familiales (célibataire, veuf et divorcé) restent nettement minoritaires</w:t>
      </w:r>
    </w:p>
    <w:p w14:paraId="4F2C6A36" w14:textId="6CDB8349" w:rsidR="00A33DED" w:rsidRPr="0059682C" w:rsidRDefault="00A33DED" w:rsidP="0059682C">
      <w:pPr>
        <w:rPr>
          <w:lang w:val="fr-FR"/>
        </w:rPr>
      </w:pPr>
      <w:r w:rsidRPr="00F96B82">
        <w:rPr>
          <w:lang w:val="fr-FR"/>
        </w:rPr>
        <w:t>Chez les 93 patients non-utilisateurs, la tendance est similaire avec une prédominance des patients mariés, suivis des célibataires, tandis que les veufs et divorcés représent</w:t>
      </w:r>
      <w:r w:rsidR="0059682C">
        <w:rPr>
          <w:lang w:val="fr-FR"/>
        </w:rPr>
        <w:t>ent une proportion plus faible.</w:t>
      </w:r>
    </w:p>
    <w:p w14:paraId="39E1740A" w14:textId="1EDF2B91" w:rsidR="0059682C" w:rsidRDefault="0059682C" w:rsidP="0059682C">
      <w:pPr>
        <w:pStyle w:val="Caption"/>
        <w:keepNext/>
      </w:pPr>
      <w:bookmarkStart w:id="205" w:name="_Toc229617396"/>
      <w:r>
        <w:t xml:space="preserve">Tableau </w:t>
      </w:r>
      <w:r>
        <w:fldChar w:fldCharType="begin"/>
      </w:r>
      <w:r>
        <w:instrText xml:space="preserve"> SEQ Tableau \* ARABIC </w:instrText>
      </w:r>
      <w:r>
        <w:fldChar w:fldCharType="separate"/>
      </w:r>
      <w:r w:rsidR="00983108">
        <w:rPr>
          <w:noProof/>
        </w:rPr>
        <w:t>35</w:t>
      </w:r>
      <w:r>
        <w:fldChar w:fldCharType="end"/>
      </w:r>
      <w:r>
        <w:t xml:space="preserve"> </w:t>
      </w:r>
      <w:r w:rsidRPr="0048439F">
        <w:t>Répartition des patients par situation familiale et usage de la phytothérapie (N = 251)</w:t>
      </w:r>
      <w:bookmarkEnd w:id="205"/>
    </w:p>
    <w:tbl>
      <w:tblPr>
        <w:tblW w:w="9148" w:type="dxa"/>
        <w:tblCellMar>
          <w:left w:w="0" w:type="dxa"/>
          <w:right w:w="0" w:type="dxa"/>
        </w:tblCellMar>
        <w:tblLook w:val="04A0" w:firstRow="1" w:lastRow="0" w:firstColumn="1" w:lastColumn="0" w:noHBand="0" w:noVBand="1"/>
      </w:tblPr>
      <w:tblGrid>
        <w:gridCol w:w="1846"/>
        <w:gridCol w:w="2005"/>
        <w:gridCol w:w="1489"/>
        <w:gridCol w:w="2319"/>
        <w:gridCol w:w="1489"/>
      </w:tblGrid>
      <w:tr w:rsidR="00A33DED" w:rsidRPr="00F82874" w14:paraId="6F9957A9"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5F36CE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Situation familiale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6A70C6E"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Utilisateurs (n=158)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194985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CA4831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Non-utilisateurs (n=93)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E46DD0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r>
      <w:tr w:rsidR="00A33DED" w:rsidRPr="00F82874" w14:paraId="668F2380"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8C4E89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Marié(e)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51C3FA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120</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7C3A0A0"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75,95 %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6F5C641"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70</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DC3AB4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75,27 %</w:t>
            </w:r>
          </w:p>
        </w:tc>
      </w:tr>
      <w:tr w:rsidR="00A33DED" w:rsidRPr="00F82874" w14:paraId="71150A3C"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C51DBB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Célibataire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B67AD4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36EC7B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9,49 %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BF1AD25"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18C5E93"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12,90 %</w:t>
            </w:r>
          </w:p>
        </w:tc>
      </w:tr>
      <w:tr w:rsidR="00A33DED" w:rsidRPr="00F82874" w14:paraId="1D05A600"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F36A206"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Veuf / Veuve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DF28E5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14</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D4B17A9"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8,86 %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4D7A50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FE205CE"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8,60 %</w:t>
            </w:r>
          </w:p>
        </w:tc>
      </w:tr>
      <w:tr w:rsidR="00A33DED" w:rsidRPr="00F82874" w14:paraId="6925076E"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CBE12B5"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Divorcé(e)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2E09940"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D63EA85"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5,70 %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D28A19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ACD182B"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3,23 %</w:t>
            </w:r>
          </w:p>
        </w:tc>
      </w:tr>
      <w:tr w:rsidR="00A33DED" w:rsidRPr="00F82874" w14:paraId="412070D9"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C9AF0A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Total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F104EB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FA917A6"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4FD32A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08D8B29"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r>
    </w:tbl>
    <w:p w14:paraId="6F6D5E02" w14:textId="77777777" w:rsidR="003C72FA" w:rsidRDefault="00A33DED" w:rsidP="003C72FA">
      <w:pPr>
        <w:keepNext/>
      </w:pPr>
      <w:r w:rsidRPr="00C30B46">
        <w:rPr>
          <w:noProof/>
          <w:color w:val="44546A" w:themeColor="text2"/>
          <w:sz w:val="28"/>
          <w:lang w:val="fr-FR" w:eastAsia="fr-FR"/>
        </w:rPr>
        <w:drawing>
          <wp:inline distT="0" distB="0" distL="0" distR="0" wp14:anchorId="04808A86" wp14:editId="524EF578">
            <wp:extent cx="4533900" cy="2759075"/>
            <wp:effectExtent l="19050" t="0" r="19050" b="3175"/>
            <wp:docPr id="14"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1495FD37" w14:textId="66699670" w:rsidR="00A33DED" w:rsidRDefault="003C72FA" w:rsidP="003C72FA">
      <w:pPr>
        <w:pStyle w:val="Caption"/>
        <w:rPr>
          <w:color w:val="44546A" w:themeColor="text2"/>
          <w:sz w:val="28"/>
        </w:rPr>
      </w:pPr>
      <w:bookmarkStart w:id="206" w:name="_Toc229617358"/>
      <w:r>
        <w:t xml:space="preserve">Figure </w:t>
      </w:r>
      <w:r>
        <w:fldChar w:fldCharType="begin"/>
      </w:r>
      <w:r>
        <w:instrText xml:space="preserve"> SEQ Figure \* ARABIC </w:instrText>
      </w:r>
      <w:r>
        <w:fldChar w:fldCharType="separate"/>
      </w:r>
      <w:r w:rsidR="00983108">
        <w:rPr>
          <w:noProof/>
        </w:rPr>
        <w:t>69</w:t>
      </w:r>
      <w:r>
        <w:fldChar w:fldCharType="end"/>
      </w:r>
      <w:r>
        <w:t xml:space="preserve"> </w:t>
      </w:r>
      <w:r w:rsidRPr="00ED3905">
        <w:t>Répartition des patients par situation familiale et usage de la phytothérapie (N = 251)</w:t>
      </w:r>
      <w:bookmarkEnd w:id="206"/>
    </w:p>
    <w:p w14:paraId="591FEC4A" w14:textId="77777777" w:rsidR="00A33DED" w:rsidRPr="00F96B82" w:rsidRDefault="00A33DED" w:rsidP="00B139C3">
      <w:pPr>
        <w:rPr>
          <w:color w:val="44546A" w:themeColor="text2"/>
          <w:sz w:val="28"/>
          <w:lang w:val="fr-FR"/>
        </w:rPr>
      </w:pPr>
      <w:r w:rsidRPr="00F96B82">
        <w:rPr>
          <w:b/>
          <w:bCs/>
          <w:color w:val="44546A" w:themeColor="text2"/>
          <w:sz w:val="28"/>
          <w:lang w:val="fr-FR"/>
        </w:rPr>
        <w:t>Analyse</w:t>
      </w:r>
      <w:r w:rsidRPr="00F96B82">
        <w:rPr>
          <w:color w:val="44546A" w:themeColor="text2"/>
          <w:sz w:val="28"/>
          <w:lang w:val="fr-FR"/>
        </w:rPr>
        <w:t xml:space="preserve"> : </w:t>
      </w:r>
    </w:p>
    <w:p w14:paraId="38B8AD66" w14:textId="77777777" w:rsidR="00A33DED" w:rsidRPr="00F96B82" w:rsidRDefault="00A33DED" w:rsidP="00B139C3">
      <w:pPr>
        <w:rPr>
          <w:lang w:val="fr-FR"/>
        </w:rPr>
      </w:pPr>
      <w:r w:rsidRPr="00F96B82">
        <w:rPr>
          <w:lang w:val="fr-FR"/>
        </w:rPr>
        <w:lastRenderedPageBreak/>
        <w:t>L’analyse de la situation familiale montre une nette prédominance des patients mariés dans les deux groupes, utilisateurs et non-utilisateurs de phytothérapie. Cette observation est cohérente avec la nature chronique du diabète de type 2, qui touche majoritairement une population adulte et âgée, généralement installée dans une vie familiale stable.</w:t>
      </w:r>
    </w:p>
    <w:p w14:paraId="1FE0E5B8" w14:textId="77777777" w:rsidR="00A33DED" w:rsidRPr="00F96B82" w:rsidRDefault="00A33DED" w:rsidP="00B139C3">
      <w:pPr>
        <w:rPr>
          <w:lang w:val="fr-FR"/>
        </w:rPr>
      </w:pPr>
      <w:proofErr w:type="gramStart"/>
      <w:r w:rsidRPr="00F96B82">
        <w:rPr>
          <w:lang w:val="fr-FR"/>
        </w:rPr>
        <w:t>les</w:t>
      </w:r>
      <w:proofErr w:type="gramEnd"/>
      <w:r w:rsidRPr="00F96B82">
        <w:rPr>
          <w:lang w:val="fr-FR"/>
        </w:rPr>
        <w:t xml:space="preserve"> patients mariés bénéficient souvent d’un soutien familial plus important, ce qui peut influencer à la fois l’adhésion au traitement conventionnel et le recours aux médecines traditionnelles, notamment la phytothérapie. Le conjoint ou la famille peuvent également intervenir dans les décisions thérapeutiques et encourager l’utilisation de remèdes naturels.</w:t>
      </w:r>
    </w:p>
    <w:p w14:paraId="11D97826" w14:textId="3D269E53" w:rsidR="00A33DED" w:rsidRPr="00F96B82" w:rsidRDefault="00A33DED" w:rsidP="00B139C3">
      <w:pPr>
        <w:rPr>
          <w:lang w:val="fr-FR"/>
        </w:rPr>
      </w:pPr>
      <w:r w:rsidRPr="00F96B82">
        <w:rPr>
          <w:lang w:val="fr-FR"/>
        </w:rPr>
        <w:t>La proportion relativement plus faible de célibataires, divorcés et veufs peut s’expliquer par leur moindre représentation dans les tranches d’âge les plus touchées par le diabète de type 2, ainsi que par des différences potentielles dans les habitude</w:t>
      </w:r>
      <w:r w:rsidR="007277D4" w:rsidRPr="00F96B82">
        <w:rPr>
          <w:lang w:val="fr-FR"/>
        </w:rPr>
        <w:t>s de soins et le soutien social</w:t>
      </w:r>
    </w:p>
    <w:p w14:paraId="0D94B1A5" w14:textId="77777777" w:rsidR="007277D4" w:rsidRPr="00F96B82" w:rsidRDefault="007277D4" w:rsidP="00B139C3">
      <w:pPr>
        <w:rPr>
          <w:lang w:val="fr-FR"/>
        </w:rPr>
      </w:pPr>
    </w:p>
    <w:p w14:paraId="5EE2F509" w14:textId="14FE5670" w:rsidR="00A33DED" w:rsidRPr="007277D4" w:rsidRDefault="00A33DED" w:rsidP="00B139C3">
      <w:pPr>
        <w:rPr>
          <w:b/>
          <w:bCs/>
          <w:sz w:val="32"/>
          <w:szCs w:val="32"/>
          <w:lang w:val="fr-FR"/>
        </w:rPr>
      </w:pPr>
      <w:r w:rsidRPr="007277D4">
        <w:rPr>
          <w:b/>
          <w:bCs/>
          <w:sz w:val="32"/>
          <w:szCs w:val="32"/>
          <w:lang w:val="fr-FR"/>
        </w:rPr>
        <w:t xml:space="preserve">16 /Répartition des patients diabétiques selon le niveau </w:t>
      </w:r>
      <w:proofErr w:type="gramStart"/>
      <w:r w:rsidRPr="007277D4">
        <w:rPr>
          <w:b/>
          <w:bCs/>
          <w:sz w:val="32"/>
          <w:szCs w:val="32"/>
          <w:lang w:val="fr-FR"/>
        </w:rPr>
        <w:t>socioéconomique:</w:t>
      </w:r>
      <w:proofErr w:type="gramEnd"/>
    </w:p>
    <w:p w14:paraId="43DF530E" w14:textId="77777777" w:rsidR="00A33DED" w:rsidRPr="00664D0A" w:rsidRDefault="00A33DED" w:rsidP="00B139C3">
      <w:pPr>
        <w:rPr>
          <w:color w:val="44546A" w:themeColor="text2"/>
          <w:sz w:val="28"/>
          <w:szCs w:val="28"/>
          <w:lang w:val="fr-FR"/>
        </w:rPr>
      </w:pPr>
      <w:proofErr w:type="gramStart"/>
      <w:r w:rsidRPr="00664D0A">
        <w:rPr>
          <w:color w:val="44546A" w:themeColor="text2"/>
          <w:sz w:val="28"/>
          <w:szCs w:val="28"/>
          <w:lang w:val="fr-FR"/>
        </w:rPr>
        <w:t>Description:</w:t>
      </w:r>
      <w:proofErr w:type="gramEnd"/>
    </w:p>
    <w:p w14:paraId="6982126E" w14:textId="77777777" w:rsidR="00A33DED" w:rsidRPr="00F96B82" w:rsidRDefault="00A33DED" w:rsidP="00B139C3">
      <w:pPr>
        <w:rPr>
          <w:lang w:val="fr-FR"/>
        </w:rPr>
      </w:pPr>
      <w:r w:rsidRPr="00F96B82">
        <w:rPr>
          <w:lang w:val="fr-FR"/>
        </w:rPr>
        <w:t>Parmi les 158 patients diabétiques de type 2 utilisant la phytothérapie, le niveau socio-économique moyen est le plus représenté. Une proportion moindre de patients appartient au niveau socio-économique bon, tandis que les patients de niveau bas restent minoritaires.</w:t>
      </w:r>
    </w:p>
    <w:p w14:paraId="1F7083E4" w14:textId="07E893D7" w:rsidR="00A33DED" w:rsidRDefault="00A33DED" w:rsidP="0059682C">
      <w:pPr>
        <w:rPr>
          <w:lang w:val="fr-FR"/>
        </w:rPr>
      </w:pPr>
      <w:r w:rsidRPr="00F96B82">
        <w:rPr>
          <w:lang w:val="fr-FR"/>
        </w:rPr>
        <w:t>Chez les 93 patients non-utilisateurs, on observe la même tendance avec une prédominance du niveau socio-économique moyen, suivi du niveau bon, alors que le nive</w:t>
      </w:r>
      <w:r w:rsidR="0059682C">
        <w:rPr>
          <w:lang w:val="fr-FR"/>
        </w:rPr>
        <w:t>au bas est le moins représenté.</w:t>
      </w:r>
    </w:p>
    <w:p w14:paraId="007C5834" w14:textId="77777777" w:rsidR="0059682C" w:rsidRPr="0059682C" w:rsidRDefault="0059682C" w:rsidP="0059682C">
      <w:pPr>
        <w:rPr>
          <w:lang w:val="fr-FR"/>
        </w:rPr>
      </w:pPr>
    </w:p>
    <w:p w14:paraId="760EDEF6" w14:textId="64876CF8" w:rsidR="0059682C" w:rsidRDefault="0059682C" w:rsidP="0059682C">
      <w:pPr>
        <w:pStyle w:val="Caption"/>
        <w:keepNext/>
      </w:pPr>
      <w:bookmarkStart w:id="207" w:name="_Toc229617397"/>
      <w:r>
        <w:t xml:space="preserve">Tableau </w:t>
      </w:r>
      <w:r>
        <w:fldChar w:fldCharType="begin"/>
      </w:r>
      <w:r>
        <w:instrText xml:space="preserve"> SEQ Tableau \* ARABIC </w:instrText>
      </w:r>
      <w:r>
        <w:fldChar w:fldCharType="separate"/>
      </w:r>
      <w:r w:rsidR="00983108">
        <w:rPr>
          <w:noProof/>
        </w:rPr>
        <w:t>36</w:t>
      </w:r>
      <w:r>
        <w:fldChar w:fldCharType="end"/>
      </w:r>
      <w:r>
        <w:t xml:space="preserve"> </w:t>
      </w:r>
      <w:r w:rsidRPr="00505534">
        <w:t>Répartition des patients par niveau socio-économique et usage de la phytothérapie (N = 251)</w:t>
      </w:r>
      <w:bookmarkEnd w:id="207"/>
    </w:p>
    <w:tbl>
      <w:tblPr>
        <w:tblW w:w="10270" w:type="dxa"/>
        <w:tblCellMar>
          <w:left w:w="0" w:type="dxa"/>
          <w:right w:w="0" w:type="dxa"/>
        </w:tblCellMar>
        <w:tblLook w:val="04A0" w:firstRow="1" w:lastRow="0" w:firstColumn="1" w:lastColumn="0" w:noHBand="0" w:noVBand="1"/>
      </w:tblPr>
      <w:tblGrid>
        <w:gridCol w:w="2706"/>
        <w:gridCol w:w="2077"/>
        <w:gridCol w:w="1540"/>
        <w:gridCol w:w="2407"/>
        <w:gridCol w:w="1540"/>
      </w:tblGrid>
      <w:tr w:rsidR="00A33DED" w:rsidRPr="00F82874" w14:paraId="1D651AA0" w14:textId="77777777" w:rsidTr="007277D4">
        <w:trPr>
          <w:trHeight w:val="212"/>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A8090F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Niveau Socio-économique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145B349"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Utilisateurs (n=158)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9FBDEC6"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E9E1117"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Non-utilisateurs (n=93)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102A447"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r>
      <w:tr w:rsidR="00A33DED" w:rsidRPr="00F82874" w14:paraId="1BE9739A" w14:textId="77777777" w:rsidTr="007277D4">
        <w:trPr>
          <w:trHeight w:val="212"/>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ABB3601"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Moyen</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B13A1F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120</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B38BC1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75,95 %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A94D63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AEB9CC1"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74,19 %</w:t>
            </w:r>
          </w:p>
        </w:tc>
      </w:tr>
      <w:tr w:rsidR="00A33DED" w:rsidRPr="00F82874" w14:paraId="49C1EC79" w14:textId="77777777" w:rsidTr="007277D4">
        <w:trPr>
          <w:trHeight w:val="212"/>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604AC77"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Bon</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C59430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30</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76DF9D3"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18,99 %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1160506"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4CB63D6"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20,43 %</w:t>
            </w:r>
          </w:p>
        </w:tc>
      </w:tr>
      <w:tr w:rsidR="00A33DED" w:rsidRPr="00F82874" w14:paraId="171549DF" w14:textId="77777777" w:rsidTr="007277D4">
        <w:trPr>
          <w:trHeight w:val="212"/>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F99BA3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Bas</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788DAA5"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838B48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5,06 %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273391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9615C0E"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5,38 %</w:t>
            </w:r>
          </w:p>
        </w:tc>
      </w:tr>
      <w:tr w:rsidR="00A33DED" w:rsidRPr="00F82874" w14:paraId="5D63F1FC" w14:textId="77777777" w:rsidTr="007277D4">
        <w:trPr>
          <w:trHeight w:val="212"/>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6BFC01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Total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539D2AE"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6543541"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78BC27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7B171B5"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r>
    </w:tbl>
    <w:p w14:paraId="13DEB1F3" w14:textId="77777777" w:rsidR="003C72FA" w:rsidRDefault="00A33DED" w:rsidP="003C72FA">
      <w:pPr>
        <w:keepNext/>
      </w:pPr>
      <w:r w:rsidRPr="00C30B46">
        <w:rPr>
          <w:noProof/>
          <w:color w:val="44546A" w:themeColor="text2"/>
          <w:sz w:val="28"/>
          <w:lang w:val="fr-FR" w:eastAsia="fr-FR"/>
        </w:rPr>
        <w:lastRenderedPageBreak/>
        <w:drawing>
          <wp:inline distT="0" distB="0" distL="0" distR="0" wp14:anchorId="3A2BDEAD" wp14:editId="3F99ABDD">
            <wp:extent cx="5712460" cy="2716040"/>
            <wp:effectExtent l="0" t="0" r="2540" b="8255"/>
            <wp:docPr id="15"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5E474A74" w14:textId="20190E94" w:rsidR="00A33DED" w:rsidRDefault="003C72FA" w:rsidP="003C72FA">
      <w:pPr>
        <w:pStyle w:val="Caption"/>
        <w:rPr>
          <w:color w:val="44546A" w:themeColor="text2"/>
          <w:sz w:val="28"/>
        </w:rPr>
      </w:pPr>
      <w:bookmarkStart w:id="208" w:name="_Toc229617359"/>
      <w:r>
        <w:t xml:space="preserve">Figure </w:t>
      </w:r>
      <w:r>
        <w:fldChar w:fldCharType="begin"/>
      </w:r>
      <w:r>
        <w:instrText xml:space="preserve"> SEQ Figure \* ARABIC </w:instrText>
      </w:r>
      <w:r>
        <w:fldChar w:fldCharType="separate"/>
      </w:r>
      <w:r w:rsidR="00983108">
        <w:rPr>
          <w:noProof/>
        </w:rPr>
        <w:t>70</w:t>
      </w:r>
      <w:r>
        <w:fldChar w:fldCharType="end"/>
      </w:r>
      <w:r>
        <w:t xml:space="preserve"> </w:t>
      </w:r>
      <w:r w:rsidRPr="00795E30">
        <w:t>Répartition des patients par niveau socio-économique et usage de la phytothérapie (N = 251)</w:t>
      </w:r>
      <w:bookmarkEnd w:id="208"/>
    </w:p>
    <w:p w14:paraId="70003248" w14:textId="77777777" w:rsidR="00A33DED" w:rsidRPr="00F96B82" w:rsidRDefault="00A33DED" w:rsidP="00B139C3">
      <w:pPr>
        <w:rPr>
          <w:color w:val="44546A" w:themeColor="text2"/>
          <w:sz w:val="28"/>
          <w:lang w:val="fr-FR"/>
        </w:rPr>
      </w:pPr>
      <w:r w:rsidRPr="00F96B82">
        <w:rPr>
          <w:color w:val="44546A" w:themeColor="text2"/>
          <w:sz w:val="28"/>
          <w:lang w:val="fr-FR"/>
        </w:rPr>
        <w:t xml:space="preserve">Analyse : </w:t>
      </w:r>
    </w:p>
    <w:p w14:paraId="5295F4CF" w14:textId="77777777" w:rsidR="00A33DED" w:rsidRPr="00F96B82" w:rsidRDefault="00A33DED" w:rsidP="00B139C3">
      <w:pPr>
        <w:rPr>
          <w:lang w:val="fr-FR"/>
        </w:rPr>
      </w:pPr>
      <w:r w:rsidRPr="00F96B82">
        <w:rPr>
          <w:lang w:val="fr-FR"/>
        </w:rPr>
        <w:t>L’analyse du niveau socio-économique montre une prédominance nette de la catégorie moyenne dans les deux groupes de patients, utilisateurs et non-utilisateurs de phytothérapie. Cette distribution reflète probablement la structure socio-économique générale de la population étudiée.</w:t>
      </w:r>
    </w:p>
    <w:p w14:paraId="5DDD7E64" w14:textId="77777777" w:rsidR="00A33DED" w:rsidRPr="00F96B82" w:rsidRDefault="00A33DED" w:rsidP="00B139C3">
      <w:pPr>
        <w:rPr>
          <w:lang w:val="fr-FR"/>
        </w:rPr>
      </w:pPr>
      <w:r w:rsidRPr="00F96B82">
        <w:rPr>
          <w:lang w:val="fr-FR"/>
        </w:rPr>
        <w:t>Le recours à la phytothérapie semble légèrement plus marqué chez les patients de niveau socio-économique moyen et bas, ce qui pourrait s’expliquer par plusieurs facteurs. Les patients ayant des ressources économiques limitées peuvent être plus enclins à utiliser des alternatives thérapeutiques moins coûteuses, telles que les plantes médicinales, en complément ou en substitution partielle du traitement conventionnel.</w:t>
      </w:r>
    </w:p>
    <w:p w14:paraId="1546B053" w14:textId="77777777" w:rsidR="00A33DED" w:rsidRPr="00F96B82" w:rsidRDefault="00A33DED" w:rsidP="00B139C3">
      <w:pPr>
        <w:rPr>
          <w:lang w:val="fr-FR"/>
        </w:rPr>
      </w:pPr>
      <w:r w:rsidRPr="00F96B82">
        <w:rPr>
          <w:lang w:val="fr-FR"/>
        </w:rPr>
        <w:t>En revanche, les patients appartenant à un niveau socio-économique bon semblent légèrement moins représentés dans le recours à la phytothérapie, ce qui pourrait être lié à un meilleur accès aux soins médicaux spécialisés, à une meilleure couverture sanitaire ou à une plus grande confiance dans les traitements conventionnels.</w:t>
      </w:r>
    </w:p>
    <w:p w14:paraId="66A32E39" w14:textId="6A19B12E" w:rsidR="00A33DED" w:rsidRPr="00F96B82" w:rsidRDefault="00A33DED" w:rsidP="007277D4">
      <w:pPr>
        <w:rPr>
          <w:lang w:val="fr-FR"/>
        </w:rPr>
      </w:pPr>
      <w:r w:rsidRPr="00F96B82">
        <w:rPr>
          <w:lang w:val="fr-FR"/>
        </w:rPr>
        <w:t>Cependant, la différence entre les deux groupes reste modérée, ce qui suggère que le niveau socio-économique influence le recours à la phytothérapie sans être un f</w:t>
      </w:r>
      <w:r w:rsidR="007277D4" w:rsidRPr="00F96B82">
        <w:rPr>
          <w:lang w:val="fr-FR"/>
        </w:rPr>
        <w:t>acteur exclusif ou déterminant.</w:t>
      </w:r>
    </w:p>
    <w:p w14:paraId="1D3126FD" w14:textId="20C9674B" w:rsidR="00A33DED" w:rsidRPr="007277D4" w:rsidRDefault="00A33DED" w:rsidP="00B139C3">
      <w:pPr>
        <w:rPr>
          <w:b/>
          <w:bCs/>
          <w:sz w:val="32"/>
          <w:szCs w:val="32"/>
          <w:lang w:val="fr-FR"/>
        </w:rPr>
      </w:pPr>
      <w:r w:rsidRPr="007277D4">
        <w:rPr>
          <w:b/>
          <w:bCs/>
          <w:sz w:val="32"/>
          <w:szCs w:val="32"/>
          <w:lang w:val="fr-FR"/>
        </w:rPr>
        <w:t xml:space="preserve">17 /Répartition des patients diabétiques selon le niveau d'instruction : </w:t>
      </w:r>
    </w:p>
    <w:p w14:paraId="01B16911" w14:textId="77777777" w:rsidR="00A33DED" w:rsidRPr="00664D0A" w:rsidRDefault="00A33DED" w:rsidP="00B139C3">
      <w:pPr>
        <w:rPr>
          <w:color w:val="44546A" w:themeColor="text2"/>
          <w:sz w:val="28"/>
          <w:szCs w:val="28"/>
          <w:lang w:val="fr-FR"/>
        </w:rPr>
      </w:pPr>
      <w:proofErr w:type="gramStart"/>
      <w:r w:rsidRPr="00664D0A">
        <w:rPr>
          <w:color w:val="44546A" w:themeColor="text2"/>
          <w:sz w:val="28"/>
          <w:szCs w:val="28"/>
          <w:lang w:val="fr-FR"/>
        </w:rPr>
        <w:t>Description:</w:t>
      </w:r>
      <w:proofErr w:type="gramEnd"/>
    </w:p>
    <w:p w14:paraId="0E186AA6" w14:textId="77777777" w:rsidR="00A33DED" w:rsidRPr="00F96B82" w:rsidRDefault="00A33DED" w:rsidP="00B139C3">
      <w:pPr>
        <w:rPr>
          <w:lang w:val="fr-FR"/>
        </w:rPr>
      </w:pPr>
      <w:r w:rsidRPr="00F96B82">
        <w:rPr>
          <w:lang w:val="fr-FR"/>
        </w:rPr>
        <w:t xml:space="preserve">Parmi les 158 patients diabétiques de type 2 utilisant la phytothérapie, le niveau d’instruction le plus fréquent est le niveau primaire, suivi des patients analphabètes et de ceux ayant un </w:t>
      </w:r>
    </w:p>
    <w:p w14:paraId="59C021FF" w14:textId="77777777" w:rsidR="00A33DED" w:rsidRPr="00F96B82" w:rsidRDefault="00A33DED" w:rsidP="00B139C3">
      <w:pPr>
        <w:rPr>
          <w:lang w:val="fr-FR"/>
        </w:rPr>
      </w:pPr>
      <w:r w:rsidRPr="00F96B82">
        <w:rPr>
          <w:lang w:val="fr-FR"/>
        </w:rPr>
        <w:lastRenderedPageBreak/>
        <w:t>Chez les 93 patients non-utilisateurs, on observe une distribution similaire avec une prédominance du niveau analphabète et du niveau primaire, suivis des niveaux secondaire et lycée, tandis que le niveau universitaire reste minoritaire.</w:t>
      </w:r>
    </w:p>
    <w:p w14:paraId="3AE50D40" w14:textId="29C58D33" w:rsidR="00A33DED" w:rsidRPr="00664D0A" w:rsidRDefault="00A33DED" w:rsidP="00B139C3">
      <w:pPr>
        <w:rPr>
          <w:rFonts w:eastAsia="Times New Roman"/>
          <w:lang w:val="fr-FR" w:eastAsia="fr-FR"/>
        </w:rPr>
      </w:pPr>
    </w:p>
    <w:p w14:paraId="7A6EFAD1" w14:textId="32A55A23" w:rsidR="0059682C" w:rsidRDefault="0059682C" w:rsidP="0059682C">
      <w:pPr>
        <w:pStyle w:val="Caption"/>
        <w:keepNext/>
      </w:pPr>
      <w:bookmarkStart w:id="209" w:name="_Toc229617398"/>
      <w:r>
        <w:t xml:space="preserve">Tableau </w:t>
      </w:r>
      <w:r>
        <w:fldChar w:fldCharType="begin"/>
      </w:r>
      <w:r>
        <w:instrText xml:space="preserve"> SEQ Tableau \* ARABIC </w:instrText>
      </w:r>
      <w:r>
        <w:fldChar w:fldCharType="separate"/>
      </w:r>
      <w:r w:rsidR="00983108">
        <w:rPr>
          <w:noProof/>
        </w:rPr>
        <w:t>37</w:t>
      </w:r>
      <w:r>
        <w:fldChar w:fldCharType="end"/>
      </w:r>
      <w:r>
        <w:t xml:space="preserve"> </w:t>
      </w:r>
      <w:r w:rsidRPr="00C651F9">
        <w:t>Répartition des patients par niveau d'instruction et usage de la phytothérapie (N = 251)</w:t>
      </w:r>
      <w:bookmarkEnd w:id="209"/>
    </w:p>
    <w:tbl>
      <w:tblPr>
        <w:tblW w:w="9148" w:type="dxa"/>
        <w:tblCellMar>
          <w:left w:w="0" w:type="dxa"/>
          <w:right w:w="0" w:type="dxa"/>
        </w:tblCellMar>
        <w:tblLook w:val="04A0" w:firstRow="1" w:lastRow="0" w:firstColumn="1" w:lastColumn="0" w:noHBand="0" w:noVBand="1"/>
      </w:tblPr>
      <w:tblGrid>
        <w:gridCol w:w="1977"/>
        <w:gridCol w:w="1967"/>
        <w:gridCol w:w="1470"/>
        <w:gridCol w:w="2264"/>
        <w:gridCol w:w="1470"/>
      </w:tblGrid>
      <w:tr w:rsidR="00A33DED" w:rsidRPr="00F82874" w14:paraId="0317A3B5"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03A336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Niveau d'instruction</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3D1F5F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Utilisateurs (n=158)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8D6DE60"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61DED95"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Non-utilisateurs (n=93)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5302566"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r>
      <w:tr w:rsidR="00A33DED" w:rsidRPr="00F82874" w14:paraId="59E21873"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CF00E93"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Analphabète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06C039B"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46</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AD338D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29,11 %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4392AD0"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02C2DB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35,48 %</w:t>
            </w:r>
          </w:p>
        </w:tc>
      </w:tr>
      <w:tr w:rsidR="00A33DED" w:rsidRPr="00F82874" w14:paraId="481A213B"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1D0C73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Primaire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178A310"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50</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C147B3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31,65 %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8C80E73"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DDF3C5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23,66 %</w:t>
            </w:r>
          </w:p>
        </w:tc>
      </w:tr>
      <w:tr w:rsidR="00A33DED" w:rsidRPr="00F82874" w14:paraId="5B5C2538"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D79AF8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Secondaire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05062E7"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31</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6EF17FB"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19,62 %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D77A669"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17</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2380D1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18,28 %</w:t>
            </w:r>
          </w:p>
        </w:tc>
      </w:tr>
      <w:tr w:rsidR="00A33DED" w:rsidRPr="00F82874" w14:paraId="2C1135F5"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90CAFB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Lycée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6BD8ED6"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22</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11DB116"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13,92 %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B1F70E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03A6A6B"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16,13 %</w:t>
            </w:r>
          </w:p>
        </w:tc>
      </w:tr>
      <w:tr w:rsidR="00A33DED" w:rsidRPr="00F82874" w14:paraId="73535DC9"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B4FBC7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Universitaire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CFEE200"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930E4A1"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5,70 %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3BFCB07"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FDCC3E1"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6,45 %</w:t>
            </w:r>
          </w:p>
        </w:tc>
      </w:tr>
      <w:tr w:rsidR="00A33DED" w:rsidRPr="00F82874" w14:paraId="4A6A1732"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041DA0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Total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9575CF8"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796890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513EA2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80B73E6"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r>
    </w:tbl>
    <w:p w14:paraId="18A48E88" w14:textId="77777777" w:rsidR="003C72FA" w:rsidRDefault="00A33DED" w:rsidP="003C72FA">
      <w:pPr>
        <w:keepNext/>
      </w:pPr>
      <w:r w:rsidRPr="00C30B46">
        <w:rPr>
          <w:noProof/>
          <w:color w:val="44546A" w:themeColor="text2"/>
          <w:sz w:val="28"/>
          <w:lang w:val="fr-FR" w:eastAsia="fr-FR"/>
        </w:rPr>
        <w:drawing>
          <wp:inline distT="0" distB="0" distL="0" distR="0" wp14:anchorId="69A25CFF" wp14:editId="14D69A13">
            <wp:extent cx="4362450" cy="2759075"/>
            <wp:effectExtent l="19050" t="0" r="19050" b="3175"/>
            <wp:docPr id="16"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6308AE6E" w14:textId="0A71826F" w:rsidR="00A33DED" w:rsidRDefault="003C72FA" w:rsidP="003C72FA">
      <w:pPr>
        <w:pStyle w:val="Caption"/>
        <w:rPr>
          <w:color w:val="44546A" w:themeColor="text2"/>
          <w:sz w:val="28"/>
        </w:rPr>
      </w:pPr>
      <w:bookmarkStart w:id="210" w:name="_Toc229617360"/>
      <w:r>
        <w:t xml:space="preserve">Figure </w:t>
      </w:r>
      <w:r>
        <w:fldChar w:fldCharType="begin"/>
      </w:r>
      <w:r>
        <w:instrText xml:space="preserve"> SEQ Figure \* ARABIC </w:instrText>
      </w:r>
      <w:r>
        <w:fldChar w:fldCharType="separate"/>
      </w:r>
      <w:r w:rsidR="00983108">
        <w:rPr>
          <w:noProof/>
        </w:rPr>
        <w:t>71</w:t>
      </w:r>
      <w:r>
        <w:fldChar w:fldCharType="end"/>
      </w:r>
      <w:r>
        <w:t xml:space="preserve"> </w:t>
      </w:r>
      <w:r w:rsidRPr="002F4FCA">
        <w:t>Répartition des patients par niveau d'instruction et usage de la phytothérapie (N = 251)</w:t>
      </w:r>
      <w:bookmarkEnd w:id="210"/>
    </w:p>
    <w:p w14:paraId="5F18A6EC" w14:textId="77777777" w:rsidR="00A33DED" w:rsidRPr="003C72FA" w:rsidRDefault="00A33DED" w:rsidP="00B139C3">
      <w:pPr>
        <w:rPr>
          <w:color w:val="44546A" w:themeColor="text2"/>
          <w:sz w:val="28"/>
          <w:lang w:val="fr-FR"/>
        </w:rPr>
      </w:pPr>
    </w:p>
    <w:p w14:paraId="4FC89A54" w14:textId="77777777" w:rsidR="00A33DED" w:rsidRPr="00F96B82" w:rsidRDefault="00A33DED" w:rsidP="00B139C3">
      <w:pPr>
        <w:rPr>
          <w:color w:val="44546A" w:themeColor="text2"/>
          <w:sz w:val="28"/>
          <w:lang w:val="fr-FR"/>
        </w:rPr>
      </w:pPr>
      <w:r w:rsidRPr="00F96B82">
        <w:rPr>
          <w:color w:val="44546A" w:themeColor="text2"/>
          <w:sz w:val="28"/>
          <w:lang w:val="fr-FR"/>
        </w:rPr>
        <w:t xml:space="preserve">Analyse : </w:t>
      </w:r>
    </w:p>
    <w:p w14:paraId="5DD56640" w14:textId="77777777" w:rsidR="00A33DED" w:rsidRPr="00F96B82" w:rsidRDefault="00A33DED" w:rsidP="00B139C3">
      <w:pPr>
        <w:rPr>
          <w:lang w:val="fr-FR"/>
        </w:rPr>
      </w:pPr>
      <w:r w:rsidRPr="00F96B82">
        <w:rPr>
          <w:lang w:val="fr-FR"/>
        </w:rPr>
        <w:t xml:space="preserve">L’analyse du niveau d’instruction montre une prédominance des niveaux d’éducation bas à intermédiaires dans les deux groupes de patients. Les patients analphabètes et ceux ayant un </w:t>
      </w:r>
      <w:r w:rsidRPr="00F96B82">
        <w:rPr>
          <w:lang w:val="fr-FR"/>
        </w:rPr>
        <w:lastRenderedPageBreak/>
        <w:t>niveau primaire représentent la majorité de l’échantillon, ce qui reflète probablement le profil socio-éducatif global de la population étudiée.</w:t>
      </w:r>
    </w:p>
    <w:p w14:paraId="5EC08801" w14:textId="77777777" w:rsidR="00A33DED" w:rsidRPr="00F96B82" w:rsidRDefault="00A33DED" w:rsidP="00B139C3">
      <w:pPr>
        <w:rPr>
          <w:lang w:val="fr-FR"/>
        </w:rPr>
      </w:pPr>
      <w:r w:rsidRPr="00F96B82">
        <w:rPr>
          <w:lang w:val="fr-FR"/>
        </w:rPr>
        <w:t>Le recours à la phytothérapie semble plus fréquent chez les patients ayant un niveau d’instruction faible ou intermédiaire. Cette observation peut s’expliquer par plusieurs facteurs. En effet, un niveau d’instruction plus faible est souvent associé à une moindre accessibilité à l’information médicale scientifique, ainsi qu’à une plus grande influence des croyances traditionnelles et des pratiques familiales dans la prise en charge de la maladie.</w:t>
      </w:r>
    </w:p>
    <w:p w14:paraId="1B2E77A4" w14:textId="77777777" w:rsidR="00A33DED" w:rsidRPr="00F96B82" w:rsidRDefault="00A33DED" w:rsidP="00B139C3">
      <w:pPr>
        <w:rPr>
          <w:lang w:val="fr-FR"/>
        </w:rPr>
      </w:pPr>
      <w:r w:rsidRPr="00F96B82">
        <w:rPr>
          <w:lang w:val="fr-FR"/>
        </w:rPr>
        <w:t>À l’inverse, les patients ayant un niveau secondaire ou universitaire sont légèrement moins représentés dans le recours à la phytothérapie, ce qui pourrait être lié à une meilleure compréhension des traitements conventionnels, une plus grande adhésion aux recommandations médicales et une meilleure sensibilisation aux risques potentiels des pratiques non contrôlées.</w:t>
      </w:r>
    </w:p>
    <w:p w14:paraId="60B089EB" w14:textId="77777777" w:rsidR="00A33DED" w:rsidRPr="00F96B82" w:rsidRDefault="00A33DED" w:rsidP="00B139C3">
      <w:pPr>
        <w:rPr>
          <w:lang w:val="fr-FR"/>
        </w:rPr>
      </w:pPr>
      <w:r w:rsidRPr="00F96B82">
        <w:rPr>
          <w:lang w:val="fr-FR"/>
        </w:rPr>
        <w:t>Globalement, ces résultats suggèrent que le niveau d’instruction influence le recours à la phytothérapie chez les patients diabétiques de type 2, avec une utilisation plus marquée chez les patients les moins instruits.</w:t>
      </w:r>
    </w:p>
    <w:p w14:paraId="6FA7F72D" w14:textId="0F160531" w:rsidR="00A33DED" w:rsidRPr="00664D0A" w:rsidRDefault="00A33DED" w:rsidP="00B139C3">
      <w:pPr>
        <w:rPr>
          <w:sz w:val="32"/>
          <w:szCs w:val="32"/>
          <w:lang w:val="fr-FR"/>
        </w:rPr>
      </w:pPr>
      <w:r>
        <w:rPr>
          <w:sz w:val="32"/>
          <w:szCs w:val="32"/>
          <w:lang w:val="fr-FR"/>
        </w:rPr>
        <w:t>18</w:t>
      </w:r>
      <w:r w:rsidRPr="00664D0A">
        <w:rPr>
          <w:sz w:val="32"/>
          <w:szCs w:val="32"/>
          <w:lang w:val="fr-FR"/>
        </w:rPr>
        <w:t xml:space="preserve">/Répartition des patients diabétiques selon la zone de </w:t>
      </w:r>
      <w:proofErr w:type="gramStart"/>
      <w:r w:rsidRPr="00664D0A">
        <w:rPr>
          <w:sz w:val="32"/>
          <w:szCs w:val="32"/>
          <w:lang w:val="fr-FR"/>
        </w:rPr>
        <w:t>résidence:</w:t>
      </w:r>
      <w:proofErr w:type="gramEnd"/>
    </w:p>
    <w:p w14:paraId="19C26E63" w14:textId="77777777" w:rsidR="00A33DED" w:rsidRPr="00664D0A" w:rsidRDefault="00A33DED" w:rsidP="00B139C3">
      <w:pPr>
        <w:rPr>
          <w:color w:val="44546A" w:themeColor="text2"/>
          <w:sz w:val="28"/>
          <w:szCs w:val="28"/>
          <w:lang w:val="fr-FR"/>
        </w:rPr>
      </w:pPr>
      <w:proofErr w:type="gramStart"/>
      <w:r w:rsidRPr="00664D0A">
        <w:rPr>
          <w:color w:val="44546A" w:themeColor="text2"/>
          <w:sz w:val="28"/>
          <w:szCs w:val="28"/>
          <w:lang w:val="fr-FR"/>
        </w:rPr>
        <w:t>Description:</w:t>
      </w:r>
      <w:proofErr w:type="gramEnd"/>
    </w:p>
    <w:p w14:paraId="53119B50" w14:textId="77777777" w:rsidR="00A33DED" w:rsidRPr="00F96B82" w:rsidRDefault="00A33DED" w:rsidP="00B139C3">
      <w:pPr>
        <w:rPr>
          <w:lang w:val="fr-FR"/>
        </w:rPr>
      </w:pPr>
      <w:r w:rsidRPr="00F96B82">
        <w:rPr>
          <w:lang w:val="fr-FR"/>
        </w:rPr>
        <w:t>Parmi les 158 patients diabétiques de type 2 utilisant la phytothérapie, la grande majorité réside en zone urbaine. Une faible proportion de patients appartient au milieu rural.</w:t>
      </w:r>
    </w:p>
    <w:p w14:paraId="0248E8ED" w14:textId="10E97FD3" w:rsidR="00A33DED" w:rsidRDefault="00A33DED" w:rsidP="0059682C">
      <w:pPr>
        <w:rPr>
          <w:lang w:val="fr-FR"/>
        </w:rPr>
      </w:pPr>
      <w:r w:rsidRPr="00F96B82">
        <w:rPr>
          <w:lang w:val="fr-FR"/>
        </w:rPr>
        <w:t>Chez les 93 patients non-utilisateurs, on observe également une nette prédominance des patients résidant en zone urbaine, tandis que les patients issus du mil</w:t>
      </w:r>
      <w:r w:rsidR="0059682C">
        <w:rPr>
          <w:lang w:val="fr-FR"/>
        </w:rPr>
        <w:t>ieu rural restent minoritaires.</w:t>
      </w:r>
    </w:p>
    <w:p w14:paraId="68D981B7" w14:textId="77777777" w:rsidR="0059682C" w:rsidRPr="0059682C" w:rsidRDefault="0059682C" w:rsidP="0059682C">
      <w:pPr>
        <w:rPr>
          <w:lang w:val="fr-FR"/>
        </w:rPr>
      </w:pPr>
    </w:p>
    <w:p w14:paraId="61CAACED" w14:textId="2C915C23" w:rsidR="0059682C" w:rsidRDefault="0059682C" w:rsidP="0059682C">
      <w:pPr>
        <w:pStyle w:val="Caption"/>
        <w:keepNext/>
      </w:pPr>
      <w:bookmarkStart w:id="211" w:name="_Toc229617399"/>
      <w:r>
        <w:t xml:space="preserve">Tableau </w:t>
      </w:r>
      <w:r>
        <w:fldChar w:fldCharType="begin"/>
      </w:r>
      <w:r>
        <w:instrText xml:space="preserve"> SEQ Tableau \* ARABIC </w:instrText>
      </w:r>
      <w:r>
        <w:fldChar w:fldCharType="separate"/>
      </w:r>
      <w:r w:rsidR="00983108">
        <w:rPr>
          <w:noProof/>
        </w:rPr>
        <w:t>38</w:t>
      </w:r>
      <w:r>
        <w:fldChar w:fldCharType="end"/>
      </w:r>
      <w:r>
        <w:t xml:space="preserve"> </w:t>
      </w:r>
      <w:r w:rsidRPr="00511ADF">
        <w:t>Répartition des patients par zone de résidence et usage de la phytothérapie (N = 251)</w:t>
      </w:r>
      <w:bookmarkEnd w:id="211"/>
    </w:p>
    <w:tbl>
      <w:tblPr>
        <w:tblW w:w="9148" w:type="dxa"/>
        <w:tblCellMar>
          <w:left w:w="0" w:type="dxa"/>
          <w:right w:w="0" w:type="dxa"/>
        </w:tblCellMar>
        <w:tblLook w:val="04A0" w:firstRow="1" w:lastRow="0" w:firstColumn="1" w:lastColumn="0" w:noHBand="0" w:noVBand="1"/>
      </w:tblPr>
      <w:tblGrid>
        <w:gridCol w:w="1816"/>
        <w:gridCol w:w="2013"/>
        <w:gridCol w:w="1494"/>
        <w:gridCol w:w="2331"/>
        <w:gridCol w:w="1494"/>
      </w:tblGrid>
      <w:tr w:rsidR="00A33DED" w:rsidRPr="00F82874" w14:paraId="485E5D88"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21C8C3D"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Zone de résidence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C3CC638"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Utilisateurs (n=158)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28D3CD2"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F62FC0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Non-utilisateurs (n=93)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36BC481"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Fréquence (%)</w:t>
            </w:r>
          </w:p>
        </w:tc>
      </w:tr>
      <w:tr w:rsidR="00A33DED" w:rsidRPr="00F82874" w14:paraId="7829213D"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7370DF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Urbaine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462065B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151</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3EC2B1F"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95,57 %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63F4330"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89</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4017D19"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95,70 %</w:t>
            </w:r>
          </w:p>
        </w:tc>
      </w:tr>
      <w:tr w:rsidR="00A33DED" w:rsidRPr="00F82874" w14:paraId="0FE8D322"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CED166C"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Rurale</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0E82116B"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7</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EE2E3BB"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4,43 %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514736B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40A72F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4,30 %</w:t>
            </w:r>
          </w:p>
        </w:tc>
      </w:tr>
      <w:tr w:rsidR="00A33DED" w:rsidRPr="00F82874" w14:paraId="29F185AE" w14:textId="77777777" w:rsidTr="00B139C3">
        <w:trPr>
          <w:trHeight w:val="263"/>
        </w:trPr>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71F886AE"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Total</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6653BE6A"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158</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35BCD66E"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287AFF59"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93</w:t>
            </w:r>
          </w:p>
        </w:tc>
        <w:tc>
          <w:tcPr>
            <w:tcW w:w="0" w:type="auto"/>
            <w:tcBorders>
              <w:top w:val="single" w:sz="4" w:space="0" w:color="CCCCCC"/>
              <w:left w:val="single" w:sz="4" w:space="0" w:color="CCCCCC"/>
              <w:bottom w:val="single" w:sz="4" w:space="0" w:color="CCCCCC"/>
              <w:right w:val="single" w:sz="4" w:space="0" w:color="CCCCCC"/>
            </w:tcBorders>
            <w:tcMar>
              <w:top w:w="25" w:type="dxa"/>
              <w:left w:w="38" w:type="dxa"/>
              <w:bottom w:w="25" w:type="dxa"/>
              <w:right w:w="38" w:type="dxa"/>
            </w:tcMar>
            <w:hideMark/>
          </w:tcPr>
          <w:p w14:paraId="11A2B474" w14:textId="77777777" w:rsidR="00A33DED" w:rsidRPr="00F82874" w:rsidRDefault="00A33DED" w:rsidP="00B139C3">
            <w:pPr>
              <w:rPr>
                <w:rFonts w:ascii="Times New Roman" w:eastAsia="Times New Roman" w:hAnsi="Times New Roman" w:cs="Times New Roman"/>
                <w:lang w:eastAsia="fr-FR"/>
              </w:rPr>
            </w:pPr>
            <w:r w:rsidRPr="00F82874">
              <w:rPr>
                <w:rFonts w:ascii="Times New Roman" w:eastAsia="Times New Roman" w:hAnsi="Times New Roman" w:cs="Times New Roman"/>
                <w:lang w:eastAsia="fr-FR"/>
              </w:rPr>
              <w:t>100 %</w:t>
            </w:r>
          </w:p>
        </w:tc>
      </w:tr>
    </w:tbl>
    <w:p w14:paraId="3F455591" w14:textId="77777777" w:rsidR="003C72FA" w:rsidRDefault="00A33DED" w:rsidP="003C72FA">
      <w:pPr>
        <w:keepNext/>
      </w:pPr>
      <w:r w:rsidRPr="00C30B46">
        <w:rPr>
          <w:noProof/>
          <w:color w:val="44546A" w:themeColor="text2"/>
          <w:sz w:val="28"/>
          <w:lang w:val="fr-FR" w:eastAsia="fr-FR"/>
        </w:rPr>
        <w:lastRenderedPageBreak/>
        <w:drawing>
          <wp:inline distT="0" distB="0" distL="0" distR="0" wp14:anchorId="07E192EA" wp14:editId="25A1916C">
            <wp:extent cx="6010910" cy="2453489"/>
            <wp:effectExtent l="0" t="0" r="8890" b="4445"/>
            <wp:docPr id="18"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31A23F40" w14:textId="5FCDEE64" w:rsidR="00A33DED" w:rsidRDefault="003C72FA" w:rsidP="003C72FA">
      <w:pPr>
        <w:pStyle w:val="Caption"/>
        <w:rPr>
          <w:color w:val="44546A" w:themeColor="text2"/>
          <w:sz w:val="28"/>
        </w:rPr>
      </w:pPr>
      <w:bookmarkStart w:id="212" w:name="_Toc229617361"/>
      <w:r>
        <w:t xml:space="preserve">Figure </w:t>
      </w:r>
      <w:r>
        <w:fldChar w:fldCharType="begin"/>
      </w:r>
      <w:r>
        <w:instrText xml:space="preserve"> SEQ Figure \* ARABIC </w:instrText>
      </w:r>
      <w:r>
        <w:fldChar w:fldCharType="separate"/>
      </w:r>
      <w:r w:rsidR="00983108">
        <w:rPr>
          <w:noProof/>
        </w:rPr>
        <w:t>72</w:t>
      </w:r>
      <w:r>
        <w:fldChar w:fldCharType="end"/>
      </w:r>
      <w:r>
        <w:t xml:space="preserve"> </w:t>
      </w:r>
      <w:r w:rsidRPr="00171BAA">
        <w:t>Répartition des patients par zone de résidence et usage de la phytothérapie (N = 251)</w:t>
      </w:r>
      <w:bookmarkEnd w:id="212"/>
    </w:p>
    <w:p w14:paraId="38614853" w14:textId="77777777" w:rsidR="00A33DED" w:rsidRPr="00F96B82" w:rsidRDefault="00A33DED" w:rsidP="00B139C3">
      <w:pPr>
        <w:rPr>
          <w:color w:val="44546A" w:themeColor="text2"/>
          <w:sz w:val="28"/>
          <w:lang w:val="fr-FR"/>
        </w:rPr>
      </w:pPr>
      <w:r w:rsidRPr="00F96B82">
        <w:rPr>
          <w:color w:val="44546A" w:themeColor="text2"/>
          <w:sz w:val="28"/>
          <w:lang w:val="fr-FR"/>
        </w:rPr>
        <w:t xml:space="preserve">Analyse : </w:t>
      </w:r>
    </w:p>
    <w:p w14:paraId="07207C56" w14:textId="77777777" w:rsidR="00A33DED" w:rsidRPr="00F96B82" w:rsidRDefault="00A33DED" w:rsidP="00B139C3">
      <w:pPr>
        <w:rPr>
          <w:lang w:val="fr-FR"/>
        </w:rPr>
      </w:pPr>
      <w:r w:rsidRPr="00F96B82">
        <w:rPr>
          <w:lang w:val="fr-FR"/>
        </w:rPr>
        <w:t>L’analyse de la zone de résidence montre une prédominance très marquée des patients issus du milieu urbain dans les deux groupes étudiés. Cette répartition reflète probablement la structure démographique de la population fréquentant la polyclinique de référence.</w:t>
      </w:r>
    </w:p>
    <w:p w14:paraId="044E9D1A" w14:textId="77777777" w:rsidR="00A33DED" w:rsidRPr="00F96B82" w:rsidRDefault="00A33DED" w:rsidP="00B139C3">
      <w:pPr>
        <w:rPr>
          <w:lang w:val="fr-FR"/>
        </w:rPr>
      </w:pPr>
      <w:r w:rsidRPr="00F96B82">
        <w:rPr>
          <w:lang w:val="fr-FR"/>
        </w:rPr>
        <w:t>Le recours à la phytothérapie semble également important en milieu urbain, ce qui peut paraître paradoxal, car cette pratique est souvent associée aux zones rurales. Cependant, ce résultat peut s’expliquer par le fait que les populations urbaines conservent souvent des liens culturels forts avec les traditions familiales et continuent à utiliser les plantes médicinales malgré l’accès aux soins modernes.</w:t>
      </w:r>
    </w:p>
    <w:p w14:paraId="56EDA837" w14:textId="77777777" w:rsidR="00A33DED" w:rsidRPr="00F96B82" w:rsidRDefault="00A33DED" w:rsidP="00B139C3">
      <w:pPr>
        <w:rPr>
          <w:lang w:val="fr-FR"/>
        </w:rPr>
      </w:pPr>
      <w:r w:rsidRPr="00F96B82">
        <w:rPr>
          <w:lang w:val="fr-FR"/>
        </w:rPr>
        <w:t>Par ailleurs, l’urbanisation n’empêche pas la persistance des pratiques traditionnelles, notamment en Algérie, où la phytothérapie est largement intégrée dans les habitudes de santé, indépendamment du lieu de résidence.</w:t>
      </w:r>
    </w:p>
    <w:p w14:paraId="765B218A" w14:textId="77777777" w:rsidR="00A33DED" w:rsidRPr="00F96B82" w:rsidRDefault="00A33DED" w:rsidP="00B139C3">
      <w:pPr>
        <w:rPr>
          <w:lang w:val="fr-FR"/>
        </w:rPr>
      </w:pPr>
      <w:r w:rsidRPr="00F96B82">
        <w:rPr>
          <w:lang w:val="fr-FR"/>
        </w:rPr>
        <w:t>La faible proportion de patients ruraux dans notre étude peut être liée à la localisation du centre de soins inclus dans l’enquête, qui attire principalement une population urbaine.</w:t>
      </w:r>
    </w:p>
    <w:p w14:paraId="2122A9FD" w14:textId="77777777" w:rsidR="00A33DED" w:rsidRPr="00F96B82" w:rsidRDefault="00A33DED" w:rsidP="00B139C3">
      <w:pPr>
        <w:rPr>
          <w:lang w:val="fr-FR"/>
        </w:rPr>
      </w:pPr>
      <w:r w:rsidRPr="00F96B82">
        <w:rPr>
          <w:lang w:val="fr-FR"/>
        </w:rPr>
        <w:t>Globalement, ces résultats suggèrent que la zone de résidence ne constitue pas un facteur déterminant exclusif du recours à la phytothérapie, mais qu’elle peut influencer les pratiques de santé en interaction avec des facteurs culturels et sociaux</w:t>
      </w:r>
    </w:p>
    <w:p w14:paraId="347D2E96" w14:textId="77777777" w:rsidR="00664D0A" w:rsidRPr="00F96B82" w:rsidRDefault="00664D0A" w:rsidP="00B139C3">
      <w:pPr>
        <w:rPr>
          <w:sz w:val="28"/>
          <w:szCs w:val="28"/>
          <w:lang w:val="fr-FR"/>
        </w:rPr>
      </w:pPr>
    </w:p>
    <w:p w14:paraId="41711280" w14:textId="77777777" w:rsidR="00664D0A" w:rsidRPr="00F96B82" w:rsidRDefault="00664D0A" w:rsidP="00B139C3">
      <w:pPr>
        <w:rPr>
          <w:lang w:val="fr-FR"/>
        </w:rPr>
      </w:pPr>
    </w:p>
    <w:p w14:paraId="29DF8275" w14:textId="77777777" w:rsidR="00664D0A" w:rsidRPr="00664D0A" w:rsidRDefault="00664D0A" w:rsidP="00B139C3">
      <w:pPr>
        <w:rPr>
          <w:sz w:val="28"/>
          <w:szCs w:val="28"/>
          <w:lang w:val="fr-FR"/>
        </w:rPr>
      </w:pPr>
    </w:p>
    <w:p w14:paraId="3A8FE967" w14:textId="77777777" w:rsidR="006117AA" w:rsidRPr="006117AA" w:rsidRDefault="00B139C3" w:rsidP="006117AA">
      <w:pPr>
        <w:spacing w:before="100" w:after="100"/>
        <w:rPr>
          <w:rFonts w:ascii="Times New Roman" w:eastAsia="Arial" w:hAnsi="Times New Roman" w:cs="Times New Roman"/>
          <w:b/>
          <w:bCs/>
          <w:sz w:val="40"/>
          <w:szCs w:val="40"/>
          <w:lang w:val="fr-FR" w:eastAsia="fr-FR"/>
        </w:rPr>
      </w:pPr>
      <w:r>
        <w:rPr>
          <w:sz w:val="28"/>
          <w:szCs w:val="28"/>
          <w:lang w:val="fr-FR"/>
        </w:rPr>
        <w:br w:type="page"/>
      </w:r>
      <w:r w:rsidR="007277D4" w:rsidRPr="007277D4">
        <w:rPr>
          <w:noProof/>
          <w:lang w:val="fr-FR" w:eastAsia="fr-FR"/>
        </w:rPr>
        <w:lastRenderedPageBreak/>
        <mc:AlternateContent>
          <mc:Choice Requires="wps">
            <w:drawing>
              <wp:anchor distT="0" distB="0" distL="114300" distR="114300" simplePos="0" relativeHeight="251678720" behindDoc="0" locked="0" layoutInCell="1" allowOverlap="1" wp14:anchorId="1A7B9C91" wp14:editId="249FC5C8">
                <wp:simplePos x="0" y="0"/>
                <wp:positionH relativeFrom="margin">
                  <wp:align>center</wp:align>
                </wp:positionH>
                <wp:positionV relativeFrom="paragraph">
                  <wp:posOffset>2326741</wp:posOffset>
                </wp:positionV>
                <wp:extent cx="4797188" cy="3582537"/>
                <wp:effectExtent l="0" t="0" r="22860" b="18415"/>
                <wp:wrapNone/>
                <wp:docPr id="49" name="Snip Diagonal Corner Rectangle 49"/>
                <wp:cNvGraphicFramePr/>
                <a:graphic xmlns:a="http://schemas.openxmlformats.org/drawingml/2006/main">
                  <a:graphicData uri="http://schemas.microsoft.com/office/word/2010/wordprocessingShape">
                    <wps:wsp>
                      <wps:cNvSpPr/>
                      <wps:spPr>
                        <a:xfrm>
                          <a:off x="0" y="0"/>
                          <a:ext cx="4797188" cy="3582537"/>
                        </a:xfrm>
                        <a:prstGeom prst="snip2DiagRect">
                          <a:avLst/>
                        </a:prstGeom>
                        <a:solidFill>
                          <a:sysClr val="window" lastClr="FFFFFF"/>
                        </a:solidFill>
                        <a:ln w="12700" cap="flat" cmpd="sng" algn="ctr">
                          <a:solidFill>
                            <a:sysClr val="windowText" lastClr="000000"/>
                          </a:solidFill>
                          <a:prstDash val="solid"/>
                          <a:miter lim="800000"/>
                        </a:ln>
                        <a:effectLst/>
                      </wps:spPr>
                      <wps:txbx>
                        <w:txbxContent>
                          <w:p w14:paraId="182FE060" w14:textId="59B308C3" w:rsidR="00F568F0" w:rsidRPr="00B139C3" w:rsidRDefault="00F568F0" w:rsidP="007277D4">
                            <w:pPr>
                              <w:jc w:val="center"/>
                              <w:outlineLvl w:val="0"/>
                              <w:rPr>
                                <w:rFonts w:cstheme="majorBidi"/>
                                <w:b/>
                                <w:bCs/>
                                <w:sz w:val="96"/>
                                <w:szCs w:val="96"/>
                                <w:lang w:val="fr-FR"/>
                              </w:rPr>
                            </w:pPr>
                            <w:bookmarkStart w:id="213" w:name="_Toc229618850"/>
                            <w:r>
                              <w:rPr>
                                <w:rFonts w:cstheme="majorBidi"/>
                                <w:b/>
                                <w:bCs/>
                                <w:sz w:val="96"/>
                                <w:szCs w:val="96"/>
                                <w:lang w:val="fr-FR"/>
                              </w:rPr>
                              <w:t>Discussion</w:t>
                            </w:r>
                            <w:bookmarkEnd w:id="2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B9C91" id="Snip Diagonal Corner Rectangle 49" o:spid="_x0000_s1032" style="position:absolute;margin-left:0;margin-top:183.2pt;width:377.75pt;height:282.1pt;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797188,358253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" adj="-11796480,,5400" path="m,l4200087,r597101,597101l4797188,3582537r,l597101,3582537,,2985436,,xe" fillcolor="window" strokecolor="windowText" strokeweight="1pt">
                <v:stroke joinstyle="miter"/>
                <v:formulas/>
                <v:path arrowok="t" o:connecttype="custom" o:connectlocs="0,0;4200087,0;4797188,597101;4797188,3582537;4797188,3582537;597101,3582537;0,2985436;0,0" o:connectangles="0,0,0,0,0,0,0,0" textboxrect="0,0,4797188,3582537"/>
                <v:textbox>
                  <w:txbxContent>
                    <w:p w14:paraId="182FE060" w14:textId="59B308C3" w:rsidR="00F568F0" w:rsidRPr="00B139C3" w:rsidRDefault="00F568F0" w:rsidP="007277D4">
                      <w:pPr>
                        <w:jc w:val="center"/>
                        <w:outlineLvl w:val="0"/>
                        <w:rPr>
                          <w:rFonts w:cstheme="majorBidi"/>
                          <w:b/>
                          <w:bCs/>
                          <w:sz w:val="96"/>
                          <w:szCs w:val="96"/>
                          <w:lang w:val="fr-FR"/>
                        </w:rPr>
                      </w:pPr>
                      <w:bookmarkStart w:id="218" w:name="_Toc229618850"/>
                      <w:r>
                        <w:rPr>
                          <w:rFonts w:cstheme="majorBidi"/>
                          <w:b/>
                          <w:bCs/>
                          <w:sz w:val="96"/>
                          <w:szCs w:val="96"/>
                          <w:lang w:val="fr-FR"/>
                        </w:rPr>
                        <w:t>Discussion</w:t>
                      </w:r>
                      <w:bookmarkEnd w:id="218"/>
                    </w:p>
                  </w:txbxContent>
                </v:textbox>
                <w10:wrap anchorx="margin"/>
              </v:shape>
            </w:pict>
          </mc:Fallback>
        </mc:AlternateContent>
      </w:r>
      <w:r w:rsidR="007277D4">
        <w:rPr>
          <w:sz w:val="28"/>
          <w:szCs w:val="28"/>
          <w:lang w:val="fr-FR"/>
        </w:rPr>
        <w:br w:type="page"/>
      </w:r>
    </w:p>
    <w:p w14:paraId="3DF9EC76"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lastRenderedPageBreak/>
        <w:t>selon</w:t>
      </w:r>
      <w:proofErr w:type="gramEnd"/>
      <w:r w:rsidRPr="006117AA">
        <w:rPr>
          <w:rFonts w:ascii="Times New Roman" w:eastAsia="Arial" w:hAnsi="Times New Roman" w:cs="Times New Roman"/>
          <w:b/>
          <w:bCs/>
          <w:sz w:val="40"/>
          <w:szCs w:val="40"/>
          <w:lang w:val="fr-FR" w:eastAsia="fr-FR"/>
        </w:rPr>
        <w:t xml:space="preserve"> le sexe :</w:t>
      </w:r>
    </w:p>
    <w:p w14:paraId="37F12EC1"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Une légère prédominance féminine est observée chez les utilisateurs de phytothérapie (52,53 % de femmes contre 47,47 % d'hommes), tandis que chez les non-utilisateurs la répartition est quasi équilibrée avec une légère majorité masculine (51,61 %).</w:t>
      </w:r>
    </w:p>
    <w:p w14:paraId="42682FBA" w14:textId="038EFE51" w:rsidR="006117AA" w:rsidRPr="006117AA" w:rsidRDefault="006117AA" w:rsidP="00116A61">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L'étude tunisienne menée à l'Institut National de Nutrition de Tunis</w:t>
      </w:r>
      <w:r w:rsidR="00C66341">
        <w:rPr>
          <w:rFonts w:ascii="Times New Roman" w:eastAsia="Arial" w:hAnsi="Times New Roman" w:cs="Times New Roman"/>
          <w:szCs w:val="24"/>
          <w:lang w:val="fr-FR" w:eastAsia="fr-FR"/>
        </w:rPr>
        <w:t xml:space="preserve"> </w:t>
      </w:r>
      <w:r w:rsidR="00C66341">
        <w:rPr>
          <w:rFonts w:ascii="Times New Roman" w:eastAsia="Arial" w:hAnsi="Times New Roman" w:cs="Times New Roman"/>
          <w:szCs w:val="24"/>
          <w:lang w:val="fr-FR" w:eastAsia="fr-FR"/>
        </w:rPr>
        <w:fldChar w:fldCharType="begin"/>
      </w:r>
      <w:r w:rsidR="00116A61">
        <w:rPr>
          <w:rFonts w:ascii="Times New Roman" w:eastAsia="Arial" w:hAnsi="Times New Roman" w:cs="Times New Roman"/>
          <w:szCs w:val="24"/>
          <w:lang w:val="fr-FR" w:eastAsia="fr-FR"/>
        </w:rPr>
        <w:instrText xml:space="preserve"> ADDIN ZOTERO_ITEM CSL_CITATION {"citationID":"KNvnxvAw","properties":{"unsorted":false,"formattedCitation":"(124)","plainCitation":"(124)","noteIndex":0},"citationItems":[{"id":"6VBx8p83/r46fp84b","uris":["http://zotero.org/users/local/xPnoPzR4/items/U4BJ3S7I"],"itemData":{"id":347,"type":"webpage","abstract":"Utilisation des plantes hypoglycémiantes dans le traitement du diabète","container-title":"EM-Consulte","language":"fr","title":"Utilisation des plantes hypoglycémiantes dans le traitement du diabète","URL":"https://www.em-consulte.com/article/930398/utilisation-des-plantes-hypoglycemiantes-dans-le-t","author":[{"family":"Masson","given":"Elsevier"}],"accessed":{"date-parts":[["2026",5,14]]}}}],"schema":"https://github.com/citation-style-language/schema/raw/master/csl-citation.json"} </w:instrText>
      </w:r>
      <w:r w:rsidR="00C66341">
        <w:rPr>
          <w:rFonts w:ascii="Times New Roman" w:eastAsia="Arial" w:hAnsi="Times New Roman" w:cs="Times New Roman"/>
          <w:szCs w:val="24"/>
          <w:lang w:val="fr-FR" w:eastAsia="fr-FR"/>
        </w:rPr>
        <w:fldChar w:fldCharType="separate"/>
      </w:r>
      <w:r w:rsidR="00116A61" w:rsidRPr="00116A61">
        <w:rPr>
          <w:rFonts w:ascii="Times New Roman" w:hAnsi="Times New Roman" w:cs="Times New Roman"/>
          <w:lang w:val="fr-FR"/>
        </w:rPr>
        <w:t>(124)</w:t>
      </w:r>
      <w:r w:rsidR="00C66341">
        <w:rPr>
          <w:rFonts w:ascii="Times New Roman" w:eastAsia="Arial" w:hAnsi="Times New Roman" w:cs="Times New Roman"/>
          <w:szCs w:val="24"/>
          <w:lang w:val="fr-FR" w:eastAsia="fr-FR"/>
        </w:rPr>
        <w:fldChar w:fldCharType="end"/>
      </w:r>
      <w:r w:rsidRPr="006117AA">
        <w:rPr>
          <w:rFonts w:ascii="Times New Roman" w:eastAsia="Arial" w:hAnsi="Times New Roman" w:cs="Times New Roman"/>
          <w:szCs w:val="24"/>
          <w:lang w:val="fr-FR" w:eastAsia="fr-FR"/>
        </w:rPr>
        <w:t xml:space="preserve"> a retrouvé une nette prédominance féminine (77,5 % de femmes), bien plus marquée que dans notre série. L'étude camerounaise de Dongmo et al. a </w:t>
      </w:r>
      <w:r w:rsidR="00C66341">
        <w:rPr>
          <w:rFonts w:ascii="Times New Roman" w:eastAsia="Arial" w:hAnsi="Times New Roman" w:cs="Times New Roman"/>
          <w:szCs w:val="24"/>
          <w:lang w:val="fr-FR" w:eastAsia="fr-FR"/>
        </w:rPr>
        <w:fldChar w:fldCharType="begin"/>
      </w:r>
      <w:r w:rsidR="00116A61">
        <w:rPr>
          <w:rFonts w:ascii="Times New Roman" w:eastAsia="Arial" w:hAnsi="Times New Roman" w:cs="Times New Roman"/>
          <w:szCs w:val="24"/>
          <w:lang w:val="fr-FR" w:eastAsia="fr-FR"/>
        </w:rPr>
        <w:instrText xml:space="preserve"> ADDIN ZOTERO_ITEM CSL_CITATION {"citationID":"vfOd5166","properties":{"unsorted":false,"formattedCitation":"(125)","plainCitation":"(125)","noteIndex":0},"citationItems":[{"id":"6VBx8p83/z7SN2FDR","uris":["http://zotero.org/users/local/xPnoPzR4/items/XZRKWXNW"],"itemData":{"id":354,"type":"article-journal","abstract":"1 RESUME La flore camerounaise regorge d'une importante réserve de plantes comestibles, ornementales et médicales. La présente étude a été menée pour évaluer la richesse floristique et la biodiversité des plantes médicinales du département du Lom et Djerem et leurs utilisations dans la pharmacopée locale. Les enquêtes ethnobotaniques ont été réalisées en langue française ou locale auprès de 120 personnes au moyen des fiches d'enquêtes. Les données concernant les informations relatives des recettes médicinales ont été collectées selon le canevas standardisé et inspiré des fiches proposées par la banque de données de médecine traditionnelle et pharmacopée PHARMEL. Les échantillons ont été récoltés et conservés selon les techniques de Schnell. L'identification des plantes citées a été validée par les botanistes de l'Herbier National du Cameroun. Cette étude a permis d'identifier 115 espèces réparties en 105 genres et 59 familles. La famille la plus représentée a été celle des Asteraceae (11,32%). Les espèces végétales ont compté 15 types phytogéographiques dont la zone Afro tropicale (31,62 %) a été la plus représentée. Le type morphologique prédominant a été les herbacées (35,04%). Le type de diaspores dominant a été les sarcochores (51,28%). Les feuilles ont été les parties les plus utilisées. La voie orale a été le mode d'administration par excellence des recettes. La décoction (39,18%) a été le mode de préparation le plus employé. La détermination du Facteur de Consensus supérieure ou égale à 50% a permis d'évaluer l'efficacité de certaines plantes médicinales pour le traitement des symptômes: Annickia affinis (50%), Bidens pilosa (50,83%), Manihot esculenta (52,5), Piper umbellatum (60%), Voacanga africana (58,33%). Les métabolites secondaires ont été inégalement répartis dans les plantes avec une prédominance des alcaloïdes (23,23%). Cette étude nous montre le rôle essentiel de la pharmacopée traditionnelle dans le traitement des symptômes et affections. Il serait opportun dans les études ultérieures d'isoler et d'identifier des principes actifs des drogues extraits de ces plantes, qui pourraient conduire à des thérapeutiques efficaces et accessibles à tous.","container-title":"Journal of Animal and Plant Sciences","journalAbbreviation":"Journal of Animal and Plant Sciences","source":"ResearchGate","title":"Contribution a l'étude des plantes médicinales et leurs utilisations traditionnelles dans le département du Lom et Djerem (Est, Cameroun)","volume":"35","author":[{"family":"Etamé Loé","given":"Gisèle"},{"family":"Ngoule","given":"Charles"},{"family":"Mbome","given":"Berthe"},{"family":"Pouka","given":"Catherine"},{"family":"Ngene","given":"Jean-Pierre"},{"family":"Yinyang","given":"Jacques"},{"family":"Okalla Ebongue","given":"Cecile"},{"family":"Ngaba","given":"Guy"},{"family":"Dibong","given":"Siegfried"}],"issued":{"date-parts":[["2018",1,1]]}}}],"schema":"https://github.com/citation-style-language/schema/raw/master/csl-citation.json"} </w:instrText>
      </w:r>
      <w:r w:rsidR="00C66341">
        <w:rPr>
          <w:rFonts w:ascii="Times New Roman" w:eastAsia="Arial" w:hAnsi="Times New Roman" w:cs="Times New Roman"/>
          <w:szCs w:val="24"/>
          <w:lang w:val="fr-FR" w:eastAsia="fr-FR"/>
        </w:rPr>
        <w:fldChar w:fldCharType="separate"/>
      </w:r>
      <w:r w:rsidR="00116A61" w:rsidRPr="00116A61">
        <w:rPr>
          <w:rFonts w:ascii="Times New Roman" w:hAnsi="Times New Roman" w:cs="Times New Roman"/>
          <w:lang w:val="fr-FR"/>
        </w:rPr>
        <w:t>(125)</w:t>
      </w:r>
      <w:r w:rsidR="00C66341">
        <w:rPr>
          <w:rFonts w:ascii="Times New Roman" w:eastAsia="Arial" w:hAnsi="Times New Roman" w:cs="Times New Roman"/>
          <w:szCs w:val="24"/>
          <w:lang w:val="fr-FR" w:eastAsia="fr-FR"/>
        </w:rPr>
        <w:fldChar w:fldCharType="end"/>
      </w:r>
      <w:r w:rsidR="00C66341">
        <w:rPr>
          <w:rFonts w:ascii="Times New Roman" w:eastAsia="Arial" w:hAnsi="Times New Roman" w:cs="Times New Roman"/>
          <w:szCs w:val="24"/>
          <w:lang w:val="fr-FR" w:eastAsia="fr-FR"/>
        </w:rPr>
        <w:t xml:space="preserve"> </w:t>
      </w:r>
      <w:r w:rsidRPr="006117AA">
        <w:rPr>
          <w:rFonts w:ascii="Times New Roman" w:eastAsia="Arial" w:hAnsi="Times New Roman" w:cs="Times New Roman"/>
          <w:szCs w:val="24"/>
          <w:lang w:val="fr-FR" w:eastAsia="fr-FR"/>
        </w:rPr>
        <w:t>également rapporté une majorité féminine parmi les 403 patients inclus. L'étude de Tlemcen</w:t>
      </w:r>
      <w:r w:rsidR="00C66341">
        <w:rPr>
          <w:rFonts w:ascii="Times New Roman" w:eastAsia="Arial" w:hAnsi="Times New Roman" w:cs="Times New Roman"/>
          <w:szCs w:val="24"/>
          <w:lang w:val="fr-FR" w:eastAsia="fr-FR"/>
        </w:rPr>
        <w:fldChar w:fldCharType="begin"/>
      </w:r>
      <w:r w:rsidR="00116A61">
        <w:rPr>
          <w:rFonts w:ascii="Times New Roman" w:eastAsia="Arial" w:hAnsi="Times New Roman" w:cs="Times New Roman"/>
          <w:szCs w:val="24"/>
          <w:lang w:val="fr-FR" w:eastAsia="fr-FR"/>
        </w:rPr>
        <w:instrText xml:space="preserve"> ADDIN ZOTERO_ITEM CSL_CITATION {"citationID":"EzDLw7qD","properties":{"unsorted":false,"formattedCitation":"(126)","plainCitation":"(126)","noteIndex":0},"citationItems":[{"id":"6VBx8p83/atHoIRPo","uris":["http://zotero.org/users/local/xPnoPzR4/items/5E4WPZB5"],"itemData":{"id":349,"type":"webpage","title":"Enquête ethnobotanique des plantes médicinales antidiabétiques utilisées par la population de la région de Tlemcen","URL":"https://dspace.univ-tlemcen.dz/items/e80fcf01-3a02-47d4-bad5-c4f607dbd145","accessed":{"date-parts":[["2026",5,14]]}}}],"schema":"https://github.com/citation-style-language/schema/raw/master/csl-citation.json"} </w:instrText>
      </w:r>
      <w:r w:rsidR="00C66341">
        <w:rPr>
          <w:rFonts w:ascii="Times New Roman" w:eastAsia="Arial" w:hAnsi="Times New Roman" w:cs="Times New Roman"/>
          <w:szCs w:val="24"/>
          <w:lang w:val="fr-FR" w:eastAsia="fr-FR"/>
        </w:rPr>
        <w:fldChar w:fldCharType="separate"/>
      </w:r>
      <w:r w:rsidR="00116A61" w:rsidRPr="00116A61">
        <w:rPr>
          <w:rFonts w:ascii="Times New Roman" w:hAnsi="Times New Roman" w:cs="Times New Roman"/>
          <w:lang w:val="fr-FR"/>
        </w:rPr>
        <w:t>(126)</w:t>
      </w:r>
      <w:r w:rsidR="00C66341">
        <w:rPr>
          <w:rFonts w:ascii="Times New Roman" w:eastAsia="Arial" w:hAnsi="Times New Roman" w:cs="Times New Roman"/>
          <w:szCs w:val="24"/>
          <w:lang w:val="fr-FR" w:eastAsia="fr-FR"/>
        </w:rPr>
        <w:fldChar w:fldCharType="end"/>
      </w:r>
      <w:r w:rsidRPr="006117AA">
        <w:rPr>
          <w:rFonts w:ascii="Times New Roman" w:eastAsia="Arial" w:hAnsi="Times New Roman" w:cs="Times New Roman"/>
          <w:szCs w:val="24"/>
          <w:lang w:val="fr-FR" w:eastAsia="fr-FR"/>
        </w:rPr>
        <w:t xml:space="preserve"> portant sur des patients diabétiques utilisateurs de plantes médicinales a confirmé cette tendance, avec une surreprésentation féminine attribuée au rôle traditionnel de la femme comme gardienne du savoir herboristique familial. Sur le plan européen, l'étude allemande </w:t>
      </w:r>
      <w:r w:rsidR="006477FA">
        <w:rPr>
          <w:rFonts w:ascii="Times New Roman" w:eastAsia="Arial" w:hAnsi="Times New Roman" w:cs="Times New Roman"/>
          <w:szCs w:val="24"/>
          <w:lang w:val="fr-FR" w:eastAsia="fr-FR"/>
        </w:rPr>
        <w:fldChar w:fldCharType="begin"/>
      </w:r>
      <w:r w:rsidR="00116A61">
        <w:rPr>
          <w:rFonts w:ascii="Times New Roman" w:eastAsia="Arial" w:hAnsi="Times New Roman" w:cs="Times New Roman"/>
          <w:szCs w:val="24"/>
          <w:lang w:val="fr-FR" w:eastAsia="fr-FR"/>
        </w:rPr>
        <w:instrText xml:space="preserve"> ADDIN ZOTERO_ITEM CSL_CITATION {"citationID":"WR0qqO5f","properties":{"unsorted":false,"formattedCitation":"(127)","plainCitation":"(127)","noteIndex":0},"citationItems":[{"id":"6VBx8p83/ql8JV8t8","uris":["http://zotero.org/users/local/xPnoPzR4/items/HD9IJPZD"],"itemData":{"id":351,"type":"article-journal","abstract":"BACKGROUND: The use of classical natural therapies and alternative medicine is becoming increasingly popular in Germany and other European countries. Only few population-based studies in Germany have investigated the use and acceptance of a variety of classical and alternative methods, including their possible determinants.\nMETHODS: Cross-sectional survey of a nationally representative sample of men and women aged 18 to 69 years, applying a standardized self-administered questionnaire, that included questions on 21 different healing methods, on personal reasons for use, on individual attitudes to natural therapies, and on the socioeconomic background.\nRESULTS: Overall, 70% of women and 54% of men had used at least one classical natural or alternative healing method (including homeopathic and anthroposophic medicine) during the 12 months preceding the study. The most frequently used methods were classical therapies such as exercise therapy (32% of women, 26% of men), herbal medicine (33% of women, 20% of men), hydrotherapy (24% of women, 17% of men), and medical massage (22% of women, 15% of men). About 20% of women and 10% of men had applied homeopathic therapies, and about 9% (11% women, 6% men) had used acupuncture. In multivariate logistic regression analyses gender and education were the best predictors of classical and alternative medicine use. Women and persons with at least high-school education used these methods significantly more often than men and persons with lower education. Age-stratified analyses revealed that the age-group of the 40-49-year-old people used classical and alternative methods significantly more often than younger or older age-groups. The most frequently reported health problems for which natural therapies had been applied were back pain (57%), cold (29%), headaches (19%), strain (15%) and gastrointestinal ailments (12%). Overall, the efficacy and usefulness of natural healing methods was evaluated positive by the majority of the study population. 58% would appreciate it if physicians would more often prescribe such therapies, and 48% would like to have more information about the benefit of natural healing methods.\nCONCLUSIONS: The prevalence of use of natural medicine varies substantially across different types of healing methods. The observed overall acceptance together with the marked need for more information should be used more intensively for the development of health promotion strategies and underpins the necessity of reinforced research activities in this field.","container-title":"Forschende Komplementarmedizin Und Klassische Naturheilkunde = Research in Complementary and Natural Classical Medicine","DOI":"10.1159/000082814","ISSN":"1424-7364","issue":"6","journalAbbreviation":"Forsch Komplementarmed Klass Naturheilkd","language":"ger","page":"327-334","PMID":"15604623","source":"PubMed","title":"[Use and acceptance of classical natural and alternative medicine in Germany--findings of a representative population-based survey]","volume":"11","author":[{"family":"Härtel","given":"U."},{"family":"Volger","given":"E."}],"issued":{"date-parts":[["2004",12]]}}}],"schema":"https://github.com/citation-style-language/schema/raw/master/csl-citation.json"} </w:instrText>
      </w:r>
      <w:r w:rsidR="006477FA">
        <w:rPr>
          <w:rFonts w:ascii="Times New Roman" w:eastAsia="Arial" w:hAnsi="Times New Roman" w:cs="Times New Roman"/>
          <w:szCs w:val="24"/>
          <w:lang w:val="fr-FR" w:eastAsia="fr-FR"/>
        </w:rPr>
        <w:fldChar w:fldCharType="separate"/>
      </w:r>
      <w:r w:rsidR="00116A61" w:rsidRPr="00116A61">
        <w:rPr>
          <w:rFonts w:ascii="Times New Roman" w:hAnsi="Times New Roman" w:cs="Times New Roman"/>
          <w:lang w:val="fr-FR"/>
        </w:rPr>
        <w:t>(127)</w:t>
      </w:r>
      <w:r w:rsidR="006477FA">
        <w:rPr>
          <w:rFonts w:ascii="Times New Roman" w:eastAsia="Arial" w:hAnsi="Times New Roman" w:cs="Times New Roman"/>
          <w:szCs w:val="24"/>
          <w:lang w:val="fr-FR" w:eastAsia="fr-FR"/>
        </w:rPr>
        <w:fldChar w:fldCharType="end"/>
      </w:r>
      <w:r w:rsidRPr="006117AA">
        <w:rPr>
          <w:rFonts w:ascii="Times New Roman" w:eastAsia="Arial" w:hAnsi="Times New Roman" w:cs="Times New Roman"/>
          <w:szCs w:val="24"/>
          <w:lang w:val="fr-FR" w:eastAsia="fr-FR"/>
        </w:rPr>
        <w:t xml:space="preserve">a montré une utilisation significativement plus élevée chez les femmes que chez les hommes (p &lt; 0,01). Cette légère prédominance féminine dans notre série, convergente avec la majorité de la littérature, s'explique par la plus grande propension des femmes à recourir à des approches perçues comme </w:t>
      </w:r>
      <w:r w:rsidR="0059682C">
        <w:rPr>
          <w:rFonts w:ascii="Times New Roman" w:eastAsia="Arial" w:hAnsi="Times New Roman" w:cs="Times New Roman"/>
          <w:szCs w:val="24"/>
          <w:lang w:val="fr-FR" w:eastAsia="fr-FR"/>
        </w:rPr>
        <w:t>naturelles et moins iatrogènes.</w:t>
      </w:r>
    </w:p>
    <w:p w14:paraId="379AB8C1" w14:textId="27FD4781" w:rsidR="0059682C" w:rsidRDefault="0059682C" w:rsidP="0059682C">
      <w:pPr>
        <w:pStyle w:val="Caption"/>
        <w:keepNext/>
      </w:pPr>
      <w:bookmarkStart w:id="214" w:name="_Toc229617400"/>
      <w:r>
        <w:t xml:space="preserve">Tableau </w:t>
      </w:r>
      <w:r>
        <w:fldChar w:fldCharType="begin"/>
      </w:r>
      <w:r>
        <w:instrText xml:space="preserve"> SEQ Tableau \* ARABIC </w:instrText>
      </w:r>
      <w:r>
        <w:fldChar w:fldCharType="separate"/>
      </w:r>
      <w:r w:rsidR="00983108">
        <w:rPr>
          <w:noProof/>
        </w:rPr>
        <w:t>39</w:t>
      </w:r>
      <w:r>
        <w:fldChar w:fldCharType="end"/>
      </w:r>
      <w:r>
        <w:t xml:space="preserve"> </w:t>
      </w:r>
      <w:r w:rsidRPr="008F757F">
        <w:t>Comparaison de population d'étude selon le sexe :</w:t>
      </w:r>
      <w:bookmarkEnd w:id="214"/>
    </w:p>
    <w:tbl>
      <w:tblPr>
        <w:tblStyle w:val="TableGrid2"/>
        <w:tblW w:w="9409" w:type="dxa"/>
        <w:tblLook w:val="04A0" w:firstRow="1" w:lastRow="0" w:firstColumn="1" w:lastColumn="0" w:noHBand="0" w:noVBand="1"/>
      </w:tblPr>
      <w:tblGrid>
        <w:gridCol w:w="4091"/>
        <w:gridCol w:w="2659"/>
        <w:gridCol w:w="2659"/>
      </w:tblGrid>
      <w:tr w:rsidR="006117AA" w:rsidRPr="006117AA" w14:paraId="56CA10FC" w14:textId="77777777" w:rsidTr="0059682C">
        <w:trPr>
          <w:trHeight w:val="367"/>
        </w:trPr>
        <w:tc>
          <w:tcPr>
            <w:tcW w:w="4091" w:type="dxa"/>
          </w:tcPr>
          <w:p w14:paraId="31FBBA6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2659" w:type="dxa"/>
          </w:tcPr>
          <w:p w14:paraId="212BC8D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Femmes (%)</w:t>
            </w:r>
          </w:p>
        </w:tc>
        <w:tc>
          <w:tcPr>
            <w:tcW w:w="2659" w:type="dxa"/>
          </w:tcPr>
          <w:p w14:paraId="27C54A8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Hommes (%)</w:t>
            </w:r>
          </w:p>
        </w:tc>
      </w:tr>
      <w:tr w:rsidR="006117AA" w:rsidRPr="006117AA" w14:paraId="4E7A3B79" w14:textId="77777777" w:rsidTr="0059682C">
        <w:trPr>
          <w:trHeight w:val="749"/>
        </w:trPr>
        <w:tc>
          <w:tcPr>
            <w:tcW w:w="4091" w:type="dxa"/>
          </w:tcPr>
          <w:p w14:paraId="20FA86D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 (2024–2025), utilisateurs (n=158)</w:t>
            </w:r>
          </w:p>
        </w:tc>
        <w:tc>
          <w:tcPr>
            <w:tcW w:w="2659" w:type="dxa"/>
          </w:tcPr>
          <w:p w14:paraId="461494A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52,53 %</w:t>
            </w:r>
          </w:p>
        </w:tc>
        <w:tc>
          <w:tcPr>
            <w:tcW w:w="2659" w:type="dxa"/>
          </w:tcPr>
          <w:p w14:paraId="1E98296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47,47 %</w:t>
            </w:r>
          </w:p>
        </w:tc>
      </w:tr>
      <w:tr w:rsidR="006117AA" w:rsidRPr="006117AA" w14:paraId="138E5D76" w14:textId="77777777" w:rsidTr="0059682C">
        <w:trPr>
          <w:trHeight w:val="749"/>
        </w:trPr>
        <w:tc>
          <w:tcPr>
            <w:tcW w:w="4091" w:type="dxa"/>
          </w:tcPr>
          <w:p w14:paraId="42487AF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 non-utilisateurs (n=93)</w:t>
            </w:r>
          </w:p>
        </w:tc>
        <w:tc>
          <w:tcPr>
            <w:tcW w:w="2659" w:type="dxa"/>
          </w:tcPr>
          <w:p w14:paraId="71A2C9D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48,39 %</w:t>
            </w:r>
          </w:p>
        </w:tc>
        <w:tc>
          <w:tcPr>
            <w:tcW w:w="2659" w:type="dxa"/>
          </w:tcPr>
          <w:p w14:paraId="0D265B6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51,61 %</w:t>
            </w:r>
          </w:p>
        </w:tc>
      </w:tr>
      <w:tr w:rsidR="006117AA" w:rsidRPr="006117AA" w14:paraId="10B0A2E7" w14:textId="77777777" w:rsidTr="0059682C">
        <w:trPr>
          <w:trHeight w:val="749"/>
        </w:trPr>
        <w:tc>
          <w:tcPr>
            <w:tcW w:w="4091" w:type="dxa"/>
          </w:tcPr>
          <w:p w14:paraId="57A42AD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 (n=80)</w:t>
            </w:r>
          </w:p>
        </w:tc>
        <w:tc>
          <w:tcPr>
            <w:tcW w:w="2659" w:type="dxa"/>
          </w:tcPr>
          <w:p w14:paraId="500B818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77,50 %</w:t>
            </w:r>
          </w:p>
        </w:tc>
        <w:tc>
          <w:tcPr>
            <w:tcW w:w="2659" w:type="dxa"/>
          </w:tcPr>
          <w:p w14:paraId="6475A7B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22,50 %</w:t>
            </w:r>
          </w:p>
        </w:tc>
      </w:tr>
      <w:tr w:rsidR="006117AA" w:rsidRPr="006117AA" w14:paraId="6A5A2929" w14:textId="77777777" w:rsidTr="0059682C">
        <w:trPr>
          <w:trHeight w:val="749"/>
        </w:trPr>
        <w:tc>
          <w:tcPr>
            <w:tcW w:w="4091" w:type="dxa"/>
          </w:tcPr>
          <w:p w14:paraId="636635F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 (n=403)</w:t>
            </w:r>
          </w:p>
        </w:tc>
        <w:tc>
          <w:tcPr>
            <w:tcW w:w="2659" w:type="dxa"/>
          </w:tcPr>
          <w:p w14:paraId="6330E12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61,79 %</w:t>
            </w:r>
          </w:p>
        </w:tc>
        <w:tc>
          <w:tcPr>
            <w:tcW w:w="2659" w:type="dxa"/>
          </w:tcPr>
          <w:p w14:paraId="653982C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38,21 %</w:t>
            </w:r>
          </w:p>
        </w:tc>
      </w:tr>
      <w:tr w:rsidR="006117AA" w:rsidRPr="006117AA" w14:paraId="3FD82600" w14:textId="77777777" w:rsidTr="0059682C">
        <w:trPr>
          <w:trHeight w:val="749"/>
        </w:trPr>
        <w:tc>
          <w:tcPr>
            <w:tcW w:w="4091" w:type="dxa"/>
          </w:tcPr>
          <w:p w14:paraId="1FE9FE2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2659" w:type="dxa"/>
          </w:tcPr>
          <w:p w14:paraId="6EC9275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Prédominance féminine</w:t>
            </w:r>
          </w:p>
        </w:tc>
        <w:tc>
          <w:tcPr>
            <w:tcW w:w="2659" w:type="dxa"/>
          </w:tcPr>
          <w:p w14:paraId="35F62AE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w:t>
            </w:r>
          </w:p>
        </w:tc>
      </w:tr>
      <w:tr w:rsidR="006117AA" w:rsidRPr="006117AA" w14:paraId="2D46006C" w14:textId="77777777" w:rsidTr="0059682C">
        <w:trPr>
          <w:trHeight w:val="749"/>
        </w:trPr>
        <w:tc>
          <w:tcPr>
            <w:tcW w:w="4091" w:type="dxa"/>
          </w:tcPr>
          <w:p w14:paraId="6236982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 (n=200)</w:t>
            </w:r>
          </w:p>
        </w:tc>
        <w:tc>
          <w:tcPr>
            <w:tcW w:w="2659" w:type="dxa"/>
          </w:tcPr>
          <w:p w14:paraId="6378EFC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Femmes &gt; Hommes (p&lt;0,01)</w:t>
            </w:r>
          </w:p>
        </w:tc>
        <w:tc>
          <w:tcPr>
            <w:tcW w:w="2659" w:type="dxa"/>
          </w:tcPr>
          <w:p w14:paraId="31949C8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w:t>
            </w:r>
          </w:p>
        </w:tc>
      </w:tr>
    </w:tbl>
    <w:p w14:paraId="718B021A" w14:textId="7139F888" w:rsidR="006117AA" w:rsidRDefault="006117AA" w:rsidP="006117AA">
      <w:pPr>
        <w:spacing w:before="80" w:after="80" w:line="360" w:lineRule="auto"/>
        <w:jc w:val="both"/>
        <w:rPr>
          <w:rFonts w:ascii="Times New Roman" w:eastAsia="Arial" w:hAnsi="Times New Roman" w:cs="Times New Roman"/>
          <w:szCs w:val="24"/>
          <w:lang w:val="fr-FR" w:eastAsia="fr-FR"/>
        </w:rPr>
      </w:pPr>
    </w:p>
    <w:p w14:paraId="580069F3"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7CDC9B99"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lastRenderedPageBreak/>
        <w:t>selon</w:t>
      </w:r>
      <w:proofErr w:type="gramEnd"/>
      <w:r w:rsidRPr="006117AA">
        <w:rPr>
          <w:rFonts w:ascii="Times New Roman" w:eastAsia="Arial" w:hAnsi="Times New Roman" w:cs="Times New Roman"/>
          <w:b/>
          <w:bCs/>
          <w:sz w:val="40"/>
          <w:szCs w:val="40"/>
          <w:lang w:val="fr-FR" w:eastAsia="fr-FR"/>
        </w:rPr>
        <w:t xml:space="preserve"> l'àge :</w:t>
      </w:r>
    </w:p>
    <w:p w14:paraId="364A3C09"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Les deux groupes sont dominés par la tranche 60–69 ans (35,4 % chez les utilisateurs, 35,5 % chez les non-utilisateurs). Les utilisateurs présentent une proportion plus élevée dans les tranches 50–79 ans (82,3 %), suggérant que le recours aux plantes s'accentue avec l'avancée en âge et l'ancienneté de la maladie.</w:t>
      </w:r>
    </w:p>
    <w:p w14:paraId="3813BB64" w14:textId="34EE3813" w:rsidR="006117AA" w:rsidRPr="006117AA" w:rsidRDefault="006117AA" w:rsidP="0059682C">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L'étude tunisienne a retrouvé une moyenne d'âge de 57,3 ans chez les utilisateurs, concordante avec notre profil. L'étude camerounaise a rapporté une majorité de patients dans la tranche 40–60 ans (moyenne 55,8 ans). L'étude de Tlemcen a identifié la tranche 50–70 ans comme la plus représentée parmi les utilisateurs de phytothérapie, résultat superposable au nôtre et reflétant le profil épidémiologique du diabète de type 2 dans la région. L'étude allemande n'a pas mis en évidence d'association significative entre l'âge et le recours aux médecines alternatives. Ces données convergent vers un profil d'utilisateur d'âge mûr, davantage exposé aux croyances traditionnelles et disposant d'une plus grande autonomie</w:t>
      </w:r>
      <w:r w:rsidR="0059682C">
        <w:rPr>
          <w:rFonts w:ascii="Times New Roman" w:eastAsia="Arial" w:hAnsi="Times New Roman" w:cs="Times New Roman"/>
          <w:szCs w:val="24"/>
          <w:lang w:val="fr-FR" w:eastAsia="fr-FR"/>
        </w:rPr>
        <w:t xml:space="preserve"> dans ses choix thérapeutiques.</w:t>
      </w:r>
    </w:p>
    <w:p w14:paraId="6808B44E"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071FD229" w14:textId="10C7F328" w:rsidR="0059682C" w:rsidRDefault="0059682C" w:rsidP="0059682C">
      <w:pPr>
        <w:pStyle w:val="Caption"/>
        <w:keepNext/>
      </w:pPr>
      <w:bookmarkStart w:id="215" w:name="_Toc229617401"/>
      <w:r>
        <w:t xml:space="preserve">Tableau </w:t>
      </w:r>
      <w:r>
        <w:fldChar w:fldCharType="begin"/>
      </w:r>
      <w:r>
        <w:instrText xml:space="preserve"> SEQ Tableau \* ARABIC </w:instrText>
      </w:r>
      <w:r>
        <w:fldChar w:fldCharType="separate"/>
      </w:r>
      <w:r w:rsidR="00983108">
        <w:rPr>
          <w:noProof/>
        </w:rPr>
        <w:t>40</w:t>
      </w:r>
      <w:r>
        <w:fldChar w:fldCharType="end"/>
      </w:r>
      <w:r>
        <w:t xml:space="preserve"> </w:t>
      </w:r>
      <w:r w:rsidRPr="00E9788A">
        <w:t>Comparaison de population d'étude selon l'àge</w:t>
      </w:r>
      <w:bookmarkEnd w:id="215"/>
    </w:p>
    <w:tbl>
      <w:tblPr>
        <w:tblStyle w:val="TableGrid2"/>
        <w:tblW w:w="7360" w:type="dxa"/>
        <w:tblLook w:val="04A0" w:firstRow="1" w:lastRow="0" w:firstColumn="1" w:lastColumn="0" w:noHBand="0" w:noVBand="1"/>
      </w:tblPr>
      <w:tblGrid>
        <w:gridCol w:w="3800"/>
        <w:gridCol w:w="3560"/>
      </w:tblGrid>
      <w:tr w:rsidR="006117AA" w:rsidRPr="006117AA" w14:paraId="58C12FD1" w14:textId="77777777" w:rsidTr="00CB543A">
        <w:tc>
          <w:tcPr>
            <w:tcW w:w="3800" w:type="dxa"/>
          </w:tcPr>
          <w:p w14:paraId="30FA116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3560" w:type="dxa"/>
          </w:tcPr>
          <w:p w14:paraId="047A093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Tranche d'âge dominante</w:t>
            </w:r>
          </w:p>
        </w:tc>
      </w:tr>
      <w:tr w:rsidR="006117AA" w:rsidRPr="006117AA" w14:paraId="7AFB56B0" w14:textId="77777777" w:rsidTr="00CB543A">
        <w:tc>
          <w:tcPr>
            <w:tcW w:w="3800" w:type="dxa"/>
          </w:tcPr>
          <w:p w14:paraId="065449C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 utilisateurs</w:t>
            </w:r>
          </w:p>
        </w:tc>
        <w:tc>
          <w:tcPr>
            <w:tcW w:w="3560" w:type="dxa"/>
          </w:tcPr>
          <w:p w14:paraId="6A9F43D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60–69 ans (35,4 %)</w:t>
            </w:r>
          </w:p>
        </w:tc>
      </w:tr>
      <w:tr w:rsidR="006117AA" w:rsidRPr="006117AA" w14:paraId="17654B94" w14:textId="77777777" w:rsidTr="00CB543A">
        <w:tc>
          <w:tcPr>
            <w:tcW w:w="3800" w:type="dxa"/>
          </w:tcPr>
          <w:p w14:paraId="1739A33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 non-utilisateurs</w:t>
            </w:r>
          </w:p>
        </w:tc>
        <w:tc>
          <w:tcPr>
            <w:tcW w:w="3560" w:type="dxa"/>
          </w:tcPr>
          <w:p w14:paraId="1938140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60–69 ans (35,5 %)</w:t>
            </w:r>
          </w:p>
        </w:tc>
      </w:tr>
      <w:tr w:rsidR="006117AA" w:rsidRPr="006117AA" w14:paraId="10186958" w14:textId="77777777" w:rsidTr="00CB543A">
        <w:tc>
          <w:tcPr>
            <w:tcW w:w="3800" w:type="dxa"/>
          </w:tcPr>
          <w:p w14:paraId="241129F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3560" w:type="dxa"/>
          </w:tcPr>
          <w:p w14:paraId="41846B6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Moyenne 57,3 ans</w:t>
            </w:r>
          </w:p>
        </w:tc>
      </w:tr>
      <w:tr w:rsidR="006117AA" w:rsidRPr="006117AA" w14:paraId="40F6503E" w14:textId="77777777" w:rsidTr="00CB543A">
        <w:tc>
          <w:tcPr>
            <w:tcW w:w="3800" w:type="dxa"/>
          </w:tcPr>
          <w:p w14:paraId="138E072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3560" w:type="dxa"/>
          </w:tcPr>
          <w:p w14:paraId="4AB5F14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40–60 ans (moyenne 55,8 ans)</w:t>
            </w:r>
          </w:p>
        </w:tc>
      </w:tr>
      <w:tr w:rsidR="006117AA" w:rsidRPr="006117AA" w14:paraId="26BF0D23" w14:textId="77777777" w:rsidTr="00CB543A">
        <w:tc>
          <w:tcPr>
            <w:tcW w:w="3800" w:type="dxa"/>
          </w:tcPr>
          <w:p w14:paraId="4471226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3560" w:type="dxa"/>
          </w:tcPr>
          <w:p w14:paraId="4340C47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50–70 ans</w:t>
            </w:r>
          </w:p>
        </w:tc>
      </w:tr>
      <w:tr w:rsidR="006117AA" w:rsidRPr="006117AA" w14:paraId="30F5018F" w14:textId="77777777" w:rsidTr="00CB543A">
        <w:tc>
          <w:tcPr>
            <w:tcW w:w="3800" w:type="dxa"/>
          </w:tcPr>
          <w:p w14:paraId="0A67B8C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3560" w:type="dxa"/>
          </w:tcPr>
          <w:p w14:paraId="4827911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d'association significative</w:t>
            </w:r>
          </w:p>
        </w:tc>
      </w:tr>
    </w:tbl>
    <w:p w14:paraId="42499042" w14:textId="22ED6286" w:rsidR="006117AA" w:rsidRDefault="006117AA" w:rsidP="006117AA">
      <w:pPr>
        <w:spacing w:before="80" w:after="80" w:line="360" w:lineRule="auto"/>
        <w:jc w:val="both"/>
        <w:rPr>
          <w:rFonts w:ascii="Times New Roman" w:eastAsia="Arial" w:hAnsi="Times New Roman" w:cs="Times New Roman"/>
          <w:szCs w:val="24"/>
          <w:lang w:val="fr-FR" w:eastAsia="fr-FR"/>
        </w:rPr>
      </w:pPr>
    </w:p>
    <w:p w14:paraId="07E980F4" w14:textId="79E06D5E" w:rsidR="006117AA" w:rsidRDefault="006117AA" w:rsidP="006117AA">
      <w:pPr>
        <w:spacing w:before="80" w:after="80" w:line="360" w:lineRule="auto"/>
        <w:jc w:val="both"/>
        <w:rPr>
          <w:rFonts w:ascii="Times New Roman" w:eastAsia="Arial" w:hAnsi="Times New Roman" w:cs="Times New Roman"/>
          <w:szCs w:val="24"/>
          <w:lang w:val="fr-FR" w:eastAsia="fr-FR"/>
        </w:rPr>
      </w:pPr>
    </w:p>
    <w:p w14:paraId="31D0A23D" w14:textId="77777777" w:rsidR="0059682C" w:rsidRDefault="0059682C" w:rsidP="006117AA">
      <w:pPr>
        <w:spacing w:before="80" w:after="80" w:line="360" w:lineRule="auto"/>
        <w:jc w:val="both"/>
        <w:rPr>
          <w:rFonts w:ascii="Times New Roman" w:eastAsia="Arial" w:hAnsi="Times New Roman" w:cs="Times New Roman"/>
          <w:szCs w:val="24"/>
          <w:lang w:val="fr-FR" w:eastAsia="fr-FR"/>
        </w:rPr>
      </w:pPr>
    </w:p>
    <w:p w14:paraId="686E2757" w14:textId="64E829B7" w:rsidR="006117AA" w:rsidRDefault="006117AA" w:rsidP="006117AA">
      <w:pPr>
        <w:spacing w:before="80" w:after="80" w:line="360" w:lineRule="auto"/>
        <w:jc w:val="both"/>
        <w:rPr>
          <w:rFonts w:ascii="Times New Roman" w:eastAsia="Arial" w:hAnsi="Times New Roman" w:cs="Times New Roman"/>
          <w:szCs w:val="24"/>
          <w:lang w:val="fr-FR" w:eastAsia="fr-FR"/>
        </w:rPr>
      </w:pPr>
    </w:p>
    <w:p w14:paraId="39954E03"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1B300E7E"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lastRenderedPageBreak/>
        <w:t>selon</w:t>
      </w:r>
      <w:proofErr w:type="gramEnd"/>
      <w:r w:rsidRPr="006117AA">
        <w:rPr>
          <w:rFonts w:ascii="Times New Roman" w:eastAsia="Arial" w:hAnsi="Times New Roman" w:cs="Times New Roman"/>
          <w:b/>
          <w:bCs/>
          <w:sz w:val="40"/>
          <w:szCs w:val="40"/>
          <w:lang w:val="fr-FR" w:eastAsia="fr-FR"/>
        </w:rPr>
        <w:t xml:space="preserve"> l'IMC :</w:t>
      </w:r>
    </w:p>
    <w:p w14:paraId="1DA8BB70"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Dans notre série, 66,4 % des utilisateurs présentent un surpoids ou une obésité (IMC ≥ 25), contre 59,1 % chez les non-utilisateurs. Le surpoids simple (25–29,99) est la catégorie la plus représentée dans les deux groupes (41,1 % vs 30,1 %).</w:t>
      </w:r>
    </w:p>
    <w:p w14:paraId="6D2B6BFC"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L'étude de Tlemcen a retrouvé une prévalence du surpoids et de l'obésité supérieure à 60 % chez les utilisateurs de plantes médicinales, résultat superposable au nôtre, la surcharge pondérale étant interprétée comme un facteur motivant la recherche de solutions complémentaires face à un diabète perçu comme insuffisamment contrôlé. L'étude camerounaise a rapporté une proportion similaire, dépassant 60 % de patients en surcharge pondérale. L'étude tunisienne a également constaté que la majorité des patients recourant aux plantes présentaient un IMC élevé. L'étude allemande n'a pas établi de lien direct entre IMC et recours aux médecines alternatives, mais souligne que les patients obèses sont plus enclins à explorer des approches naturelles. La surcharge pondérale, souvent vécue comme un échec thérapeutique, semble constituer un facteur motivant le recours à la phytothérapie.</w:t>
      </w:r>
    </w:p>
    <w:p w14:paraId="1E663FBA" w14:textId="16951A4B"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222B0926" w14:textId="223099F6" w:rsidR="0059682C" w:rsidRDefault="0059682C" w:rsidP="0059682C">
      <w:pPr>
        <w:pStyle w:val="Caption"/>
        <w:keepNext/>
      </w:pPr>
      <w:bookmarkStart w:id="216" w:name="_Toc229617402"/>
      <w:r>
        <w:t xml:space="preserve">Tableau </w:t>
      </w:r>
      <w:r>
        <w:fldChar w:fldCharType="begin"/>
      </w:r>
      <w:r>
        <w:instrText xml:space="preserve"> SEQ Tableau \* ARABIC </w:instrText>
      </w:r>
      <w:r>
        <w:fldChar w:fldCharType="separate"/>
      </w:r>
      <w:r w:rsidR="00983108">
        <w:rPr>
          <w:noProof/>
        </w:rPr>
        <w:t>41</w:t>
      </w:r>
      <w:r>
        <w:fldChar w:fldCharType="end"/>
      </w:r>
      <w:r>
        <w:t xml:space="preserve"> </w:t>
      </w:r>
      <w:r w:rsidRPr="001D37C3">
        <w:t xml:space="preserve">Comparaison de population d'étude selon </w:t>
      </w:r>
      <w:proofErr w:type="gramStart"/>
      <w:r w:rsidRPr="001D37C3">
        <w:t>l'IMC:</w:t>
      </w:r>
      <w:bookmarkEnd w:id="216"/>
      <w:proofErr w:type="gramEnd"/>
    </w:p>
    <w:tbl>
      <w:tblPr>
        <w:tblStyle w:val="TableGrid2"/>
        <w:tblW w:w="7360" w:type="dxa"/>
        <w:tblLook w:val="04A0" w:firstRow="1" w:lastRow="0" w:firstColumn="1" w:lastColumn="0" w:noHBand="0" w:noVBand="1"/>
      </w:tblPr>
      <w:tblGrid>
        <w:gridCol w:w="4800"/>
        <w:gridCol w:w="2560"/>
      </w:tblGrid>
      <w:tr w:rsidR="006117AA" w:rsidRPr="006117AA" w14:paraId="717E330F" w14:textId="77777777" w:rsidTr="00CB543A">
        <w:tc>
          <w:tcPr>
            <w:tcW w:w="4800" w:type="dxa"/>
          </w:tcPr>
          <w:p w14:paraId="53A7758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2560" w:type="dxa"/>
          </w:tcPr>
          <w:p w14:paraId="5A545CE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Surpoids + obésité (utilisateurs)</w:t>
            </w:r>
          </w:p>
        </w:tc>
      </w:tr>
      <w:tr w:rsidR="006117AA" w:rsidRPr="006117AA" w14:paraId="177419A4" w14:textId="77777777" w:rsidTr="00CB543A">
        <w:tc>
          <w:tcPr>
            <w:tcW w:w="4800" w:type="dxa"/>
          </w:tcPr>
          <w:p w14:paraId="1179B86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 utilisateurs</w:t>
            </w:r>
          </w:p>
        </w:tc>
        <w:tc>
          <w:tcPr>
            <w:tcW w:w="2560" w:type="dxa"/>
          </w:tcPr>
          <w:p w14:paraId="05A49EF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66,4 %</w:t>
            </w:r>
          </w:p>
        </w:tc>
      </w:tr>
      <w:tr w:rsidR="006117AA" w:rsidRPr="006117AA" w14:paraId="3038B0C2" w14:textId="77777777" w:rsidTr="00CB543A">
        <w:tc>
          <w:tcPr>
            <w:tcW w:w="4800" w:type="dxa"/>
          </w:tcPr>
          <w:p w14:paraId="5C08783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 non-utilisateurs</w:t>
            </w:r>
          </w:p>
        </w:tc>
        <w:tc>
          <w:tcPr>
            <w:tcW w:w="2560" w:type="dxa"/>
          </w:tcPr>
          <w:p w14:paraId="4BF9262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59,1 %</w:t>
            </w:r>
          </w:p>
        </w:tc>
      </w:tr>
      <w:tr w:rsidR="006117AA" w:rsidRPr="006117AA" w14:paraId="2A69BACA" w14:textId="77777777" w:rsidTr="00CB543A">
        <w:tc>
          <w:tcPr>
            <w:tcW w:w="4800" w:type="dxa"/>
          </w:tcPr>
          <w:p w14:paraId="09E1C41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2560" w:type="dxa"/>
          </w:tcPr>
          <w:p w14:paraId="352D6AD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&gt; 60 %</w:t>
            </w:r>
          </w:p>
        </w:tc>
      </w:tr>
      <w:tr w:rsidR="006117AA" w:rsidRPr="006117AA" w14:paraId="5847FD36" w14:textId="77777777" w:rsidTr="00CB543A">
        <w:tc>
          <w:tcPr>
            <w:tcW w:w="4800" w:type="dxa"/>
          </w:tcPr>
          <w:p w14:paraId="352F9FB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2560" w:type="dxa"/>
          </w:tcPr>
          <w:p w14:paraId="7F0E07A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&gt; 60 %</w:t>
            </w:r>
          </w:p>
        </w:tc>
      </w:tr>
      <w:tr w:rsidR="006117AA" w:rsidRPr="006117AA" w14:paraId="4F34248F" w14:textId="77777777" w:rsidTr="00CB543A">
        <w:tc>
          <w:tcPr>
            <w:tcW w:w="4800" w:type="dxa"/>
          </w:tcPr>
          <w:p w14:paraId="5CC9EA5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2560" w:type="dxa"/>
          </w:tcPr>
          <w:p w14:paraId="492FF0C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Majorité en surcharge pondérale</w:t>
            </w:r>
          </w:p>
        </w:tc>
      </w:tr>
      <w:tr w:rsidR="006117AA" w:rsidRPr="006117AA" w14:paraId="25DE877D" w14:textId="77777777" w:rsidTr="00CB543A">
        <w:tc>
          <w:tcPr>
            <w:tcW w:w="4800" w:type="dxa"/>
          </w:tcPr>
          <w:p w14:paraId="1E6B52E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2560" w:type="dxa"/>
          </w:tcPr>
          <w:p w14:paraId="1657157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d'association directe établie</w:t>
            </w:r>
          </w:p>
        </w:tc>
      </w:tr>
    </w:tbl>
    <w:p w14:paraId="65008E6A"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616467B3"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63EB2D25"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502FCC97"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lastRenderedPageBreak/>
        <w:t>selon</w:t>
      </w:r>
      <w:proofErr w:type="gramEnd"/>
      <w:r w:rsidRPr="006117AA">
        <w:rPr>
          <w:rFonts w:ascii="Times New Roman" w:eastAsia="Arial" w:hAnsi="Times New Roman" w:cs="Times New Roman"/>
          <w:b/>
          <w:bCs/>
          <w:sz w:val="40"/>
          <w:szCs w:val="40"/>
          <w:lang w:val="fr-FR" w:eastAsia="fr-FR"/>
        </w:rPr>
        <w:t xml:space="preserve"> l'ancienneté de diabète:</w:t>
      </w:r>
    </w:p>
    <w:p w14:paraId="54C8A920"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La majorité des utilisateurs de phytothérapie ont une durée d'évolution du diabète entre 1 et 10 ans (55,7 %), suivie de la tranche 10–20 ans (29,7 %). Les durées longues (&gt; 10 ans) sont proportionnellement plus fréquentes chez les utilisateurs (41 % vs 29,1 % chez les non-utilisateurs), suggérant que l'ancienneté de la maladie favorise le recours à des pratiques complémentaires.</w:t>
      </w:r>
    </w:p>
    <w:p w14:paraId="5F0C09BC" w14:textId="37927142" w:rsidR="006117AA" w:rsidRPr="006117AA" w:rsidRDefault="006117AA" w:rsidP="0059682C">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 xml:space="preserve">L'étude de Tlemcen a retrouvé une association entre ancienneté du diabète et recours à la phytothérapie, les patients évoluant depuis plus de 5 ans étant significativement plus enclins à utiliser des plantes médicinales, en lien avec une fatigue thérapeutique progressive. L'étude tunisienne a retrouvé que les patients recourant aux plantes avaient en moyenne une durée de diabète plus longue que les non-utilisateurs. Dongmo et al. </w:t>
      </w:r>
      <w:proofErr w:type="gramStart"/>
      <w:r w:rsidRPr="006117AA">
        <w:rPr>
          <w:rFonts w:ascii="Times New Roman" w:eastAsia="Arial" w:hAnsi="Times New Roman" w:cs="Times New Roman"/>
          <w:szCs w:val="24"/>
          <w:lang w:val="fr-FR" w:eastAsia="fr-FR"/>
        </w:rPr>
        <w:t>ont</w:t>
      </w:r>
      <w:proofErr w:type="gramEnd"/>
      <w:r w:rsidRPr="006117AA">
        <w:rPr>
          <w:rFonts w:ascii="Times New Roman" w:eastAsia="Arial" w:hAnsi="Times New Roman" w:cs="Times New Roman"/>
          <w:szCs w:val="24"/>
          <w:lang w:val="fr-FR" w:eastAsia="fr-FR"/>
        </w:rPr>
        <w:t xml:space="preserve"> également rapporté que l'ancienneté du diabète était associée au recours à la médecine traditionnelle. L'étude allemande a confirmé cette tendance avec une corrélation positive entre durée d'évolution et recours aux médecines complémentaires. Une maladie chronique de longue date génère une fatigue thérapeutique incitant à explorer des alternatives perç</w:t>
      </w:r>
      <w:r w:rsidR="0059682C">
        <w:rPr>
          <w:rFonts w:ascii="Times New Roman" w:eastAsia="Arial" w:hAnsi="Times New Roman" w:cs="Times New Roman"/>
          <w:szCs w:val="24"/>
          <w:lang w:val="fr-FR" w:eastAsia="fr-FR"/>
        </w:rPr>
        <w:t>ues comme moins contraignantes.</w:t>
      </w:r>
    </w:p>
    <w:p w14:paraId="6BDE4EF4"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3A7E7DCA" w14:textId="71FA42D7" w:rsidR="0059682C" w:rsidRDefault="0059682C" w:rsidP="0059682C">
      <w:pPr>
        <w:pStyle w:val="Caption"/>
        <w:keepNext/>
      </w:pPr>
      <w:bookmarkStart w:id="217" w:name="_Toc229617403"/>
      <w:r>
        <w:t xml:space="preserve">Tableau </w:t>
      </w:r>
      <w:r>
        <w:fldChar w:fldCharType="begin"/>
      </w:r>
      <w:r>
        <w:instrText xml:space="preserve"> SEQ Tableau \* ARABIC </w:instrText>
      </w:r>
      <w:r>
        <w:fldChar w:fldCharType="separate"/>
      </w:r>
      <w:r w:rsidR="00983108">
        <w:rPr>
          <w:noProof/>
        </w:rPr>
        <w:t>42</w:t>
      </w:r>
      <w:r>
        <w:fldChar w:fldCharType="end"/>
      </w:r>
      <w:r>
        <w:t xml:space="preserve"> </w:t>
      </w:r>
      <w:r w:rsidRPr="000F5EA2">
        <w:t>Comparaison de population d'étude selon l'ancienneté de diabète :</w:t>
      </w:r>
      <w:bookmarkEnd w:id="217"/>
    </w:p>
    <w:tbl>
      <w:tblPr>
        <w:tblStyle w:val="TableGrid2"/>
        <w:tblW w:w="9715" w:type="dxa"/>
        <w:tblLook w:val="04A0" w:firstRow="1" w:lastRow="0" w:firstColumn="1" w:lastColumn="0" w:noHBand="0" w:noVBand="1"/>
      </w:tblPr>
      <w:tblGrid>
        <w:gridCol w:w="2600"/>
        <w:gridCol w:w="3000"/>
        <w:gridCol w:w="4115"/>
      </w:tblGrid>
      <w:tr w:rsidR="006117AA" w:rsidRPr="006117AA" w14:paraId="1F3C0CFC" w14:textId="77777777" w:rsidTr="006117AA">
        <w:tc>
          <w:tcPr>
            <w:tcW w:w="2600" w:type="dxa"/>
          </w:tcPr>
          <w:p w14:paraId="4A87E8C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3000" w:type="dxa"/>
          </w:tcPr>
          <w:p w14:paraId="5AFA7AD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Durée dominante chez les utilisateurs</w:t>
            </w:r>
          </w:p>
        </w:tc>
        <w:tc>
          <w:tcPr>
            <w:tcW w:w="4115" w:type="dxa"/>
          </w:tcPr>
          <w:p w14:paraId="5647E57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Observation</w:t>
            </w:r>
          </w:p>
        </w:tc>
      </w:tr>
      <w:tr w:rsidR="006117AA" w:rsidRPr="00116A61" w14:paraId="05FF1549" w14:textId="77777777" w:rsidTr="006117AA">
        <w:tc>
          <w:tcPr>
            <w:tcW w:w="2600" w:type="dxa"/>
          </w:tcPr>
          <w:p w14:paraId="5DCADCD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w:t>
            </w:r>
          </w:p>
        </w:tc>
        <w:tc>
          <w:tcPr>
            <w:tcW w:w="3000" w:type="dxa"/>
          </w:tcPr>
          <w:p w14:paraId="4A86EDE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1–10 ans (55,7 %), &gt; 10 ans : 41 %</w:t>
            </w:r>
          </w:p>
        </w:tc>
        <w:tc>
          <w:tcPr>
            <w:tcW w:w="4115" w:type="dxa"/>
          </w:tcPr>
          <w:p w14:paraId="3561DA4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Durées longues plus fréquentes chez utilisateurs</w:t>
            </w:r>
          </w:p>
        </w:tc>
      </w:tr>
      <w:tr w:rsidR="006117AA" w:rsidRPr="006117AA" w14:paraId="04B7D3D4" w14:textId="77777777" w:rsidTr="006117AA">
        <w:tc>
          <w:tcPr>
            <w:tcW w:w="2600" w:type="dxa"/>
          </w:tcPr>
          <w:p w14:paraId="25E035F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3000" w:type="dxa"/>
          </w:tcPr>
          <w:p w14:paraId="2581F64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&gt; 5 ans significativement plus fréquent</w:t>
            </w:r>
          </w:p>
        </w:tc>
        <w:tc>
          <w:tcPr>
            <w:tcW w:w="4115" w:type="dxa"/>
          </w:tcPr>
          <w:p w14:paraId="05D2D81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Association statistique retrouvée</w:t>
            </w:r>
          </w:p>
        </w:tc>
      </w:tr>
      <w:tr w:rsidR="006117AA" w:rsidRPr="006117AA" w14:paraId="11D1C1C8" w14:textId="77777777" w:rsidTr="006117AA">
        <w:tc>
          <w:tcPr>
            <w:tcW w:w="2600" w:type="dxa"/>
          </w:tcPr>
          <w:p w14:paraId="1B4622B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3000" w:type="dxa"/>
          </w:tcPr>
          <w:p w14:paraId="6CAE90E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Durée plus longue chez utilisateurs</w:t>
            </w:r>
          </w:p>
        </w:tc>
        <w:tc>
          <w:tcPr>
            <w:tcW w:w="4115" w:type="dxa"/>
          </w:tcPr>
          <w:p w14:paraId="7FF9161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Concordant</w:t>
            </w:r>
          </w:p>
        </w:tc>
      </w:tr>
      <w:tr w:rsidR="006117AA" w:rsidRPr="006117AA" w14:paraId="465700A3" w14:textId="77777777" w:rsidTr="006117AA">
        <w:tc>
          <w:tcPr>
            <w:tcW w:w="2600" w:type="dxa"/>
          </w:tcPr>
          <w:p w14:paraId="3703E38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3000" w:type="dxa"/>
          </w:tcPr>
          <w:p w14:paraId="2B3BC18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Ancienneté associée au recours</w:t>
            </w:r>
          </w:p>
        </w:tc>
        <w:tc>
          <w:tcPr>
            <w:tcW w:w="4115" w:type="dxa"/>
          </w:tcPr>
          <w:p w14:paraId="2E7B2C1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Concordant</w:t>
            </w:r>
          </w:p>
        </w:tc>
      </w:tr>
      <w:tr w:rsidR="006117AA" w:rsidRPr="006117AA" w14:paraId="40DEF034" w14:textId="77777777" w:rsidTr="006117AA">
        <w:tc>
          <w:tcPr>
            <w:tcW w:w="2600" w:type="dxa"/>
          </w:tcPr>
          <w:p w14:paraId="12C0535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3000" w:type="dxa"/>
          </w:tcPr>
          <w:p w14:paraId="774A208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Corrélation positive durée–recours</w:t>
            </w:r>
          </w:p>
        </w:tc>
        <w:tc>
          <w:tcPr>
            <w:tcW w:w="4115" w:type="dxa"/>
          </w:tcPr>
          <w:p w14:paraId="71CF82E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Concordant</w:t>
            </w:r>
          </w:p>
        </w:tc>
      </w:tr>
    </w:tbl>
    <w:p w14:paraId="16DC2B63" w14:textId="42DA0261"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p>
    <w:p w14:paraId="17792C0A"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lastRenderedPageBreak/>
        <w:t>selon</w:t>
      </w:r>
      <w:proofErr w:type="gramEnd"/>
      <w:r w:rsidRPr="006117AA">
        <w:rPr>
          <w:rFonts w:ascii="Times New Roman" w:eastAsia="Arial" w:hAnsi="Times New Roman" w:cs="Times New Roman"/>
          <w:b/>
          <w:bCs/>
          <w:sz w:val="40"/>
          <w:szCs w:val="40"/>
          <w:lang w:val="fr-FR" w:eastAsia="fr-FR"/>
        </w:rPr>
        <w:t xml:space="preserve"> le traitement :</w:t>
      </w:r>
    </w:p>
    <w:p w14:paraId="1E9B4284"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proofErr w:type="gramStart"/>
      <w:r w:rsidRPr="006117AA">
        <w:rPr>
          <w:rFonts w:ascii="Times New Roman" w:eastAsia="Arial" w:hAnsi="Times New Roman" w:cs="Times New Roman"/>
          <w:szCs w:val="24"/>
          <w:lang w:val="fr-FR" w:eastAsia="fr-FR"/>
        </w:rPr>
        <w:t>Les ADO</w:t>
      </w:r>
      <w:proofErr w:type="gramEnd"/>
      <w:r w:rsidRPr="006117AA">
        <w:rPr>
          <w:rFonts w:ascii="Times New Roman" w:eastAsia="Arial" w:hAnsi="Times New Roman" w:cs="Times New Roman"/>
          <w:szCs w:val="24"/>
          <w:lang w:val="fr-FR" w:eastAsia="fr-FR"/>
        </w:rPr>
        <w:t xml:space="preserve"> constituent le traitement dominant dans les deux groupes (69 % chez les utilisateurs, 66,7 % chez les non-utilisateurs). Les utilisateurs recourent davantage à l'association ADO + insuline (17,1 % vs 15,1 %), pouvant refléter un diabète plus difficile à équilibrer, incitant à la recherche de compléments. Le recours au régime seul est légèrement plus fréquent chez les utilisateurs (5,7 % vs 3,2 %).</w:t>
      </w:r>
    </w:p>
    <w:p w14:paraId="3295578B" w14:textId="54AFEEED" w:rsidR="006117AA" w:rsidRPr="006117AA" w:rsidRDefault="006117AA" w:rsidP="0059682C">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 xml:space="preserve">L'étude de Tlemcen a retrouvé une même prédominance </w:t>
      </w:r>
      <w:proofErr w:type="gramStart"/>
      <w:r w:rsidRPr="006117AA">
        <w:rPr>
          <w:rFonts w:ascii="Times New Roman" w:eastAsia="Arial" w:hAnsi="Times New Roman" w:cs="Times New Roman"/>
          <w:szCs w:val="24"/>
          <w:lang w:val="fr-FR" w:eastAsia="fr-FR"/>
        </w:rPr>
        <w:t>des ADO</w:t>
      </w:r>
      <w:proofErr w:type="gramEnd"/>
      <w:r w:rsidRPr="006117AA">
        <w:rPr>
          <w:rFonts w:ascii="Times New Roman" w:eastAsia="Arial" w:hAnsi="Times New Roman" w:cs="Times New Roman"/>
          <w:szCs w:val="24"/>
          <w:lang w:val="fr-FR" w:eastAsia="fr-FR"/>
        </w:rPr>
        <w:t xml:space="preserve"> chez les utilisateurs de phytothérapie, et a souligné que le recours aux plantes était perçu comme un complément destiné à renforcer l'effet hypoglycémiant des médicaments prescrits, sans substitution. L'étude tunisienne a confirme que la phytothérapie est utilisée en complément et non en remplacement du traitement médical. Dongmo et al. </w:t>
      </w:r>
      <w:proofErr w:type="gramStart"/>
      <w:r w:rsidRPr="006117AA">
        <w:rPr>
          <w:rFonts w:ascii="Times New Roman" w:eastAsia="Arial" w:hAnsi="Times New Roman" w:cs="Times New Roman"/>
          <w:szCs w:val="24"/>
          <w:lang w:val="fr-FR" w:eastAsia="fr-FR"/>
        </w:rPr>
        <w:t>ont</w:t>
      </w:r>
      <w:proofErr w:type="gramEnd"/>
      <w:r w:rsidRPr="006117AA">
        <w:rPr>
          <w:rFonts w:ascii="Times New Roman" w:eastAsia="Arial" w:hAnsi="Times New Roman" w:cs="Times New Roman"/>
          <w:szCs w:val="24"/>
          <w:lang w:val="fr-FR" w:eastAsia="fr-FR"/>
        </w:rPr>
        <w:t xml:space="preserve"> retrouvé des résultats comparables, mais ont relevé que 30 % des patients camerounais réduisaient leurs doses d'ADO lors de l'utilisation des plantes, un risque majeur non évalué dans notre série. L'étude allemande a insisté sur la non-déclaration des pratiques alternatives au médecin traitant, exposant les patients à des interact</w:t>
      </w:r>
      <w:r w:rsidR="0059682C">
        <w:rPr>
          <w:rFonts w:ascii="Times New Roman" w:eastAsia="Arial" w:hAnsi="Times New Roman" w:cs="Times New Roman"/>
          <w:szCs w:val="24"/>
          <w:lang w:val="fr-FR" w:eastAsia="fr-FR"/>
        </w:rPr>
        <w:t>ions médicamenteuses méconnues.</w:t>
      </w:r>
    </w:p>
    <w:p w14:paraId="2257C262" w14:textId="2A92F700" w:rsidR="0059682C" w:rsidRDefault="0059682C" w:rsidP="0059682C">
      <w:pPr>
        <w:pStyle w:val="Caption"/>
        <w:keepNext/>
      </w:pPr>
      <w:bookmarkStart w:id="218" w:name="_Toc229617404"/>
      <w:r>
        <w:t xml:space="preserve">Tableau </w:t>
      </w:r>
      <w:r>
        <w:fldChar w:fldCharType="begin"/>
      </w:r>
      <w:r>
        <w:instrText xml:space="preserve"> SEQ Tableau \* ARABIC </w:instrText>
      </w:r>
      <w:r>
        <w:fldChar w:fldCharType="separate"/>
      </w:r>
      <w:r w:rsidR="00983108">
        <w:rPr>
          <w:noProof/>
        </w:rPr>
        <w:t>43</w:t>
      </w:r>
      <w:r>
        <w:fldChar w:fldCharType="end"/>
      </w:r>
      <w:r>
        <w:t xml:space="preserve"> </w:t>
      </w:r>
      <w:r w:rsidRPr="006C1E98">
        <w:t>Comparaison de population d'étude selon le traitement :</w:t>
      </w:r>
      <w:bookmarkEnd w:id="218"/>
    </w:p>
    <w:tbl>
      <w:tblPr>
        <w:tblStyle w:val="TableGrid2"/>
        <w:tblW w:w="9715" w:type="dxa"/>
        <w:tblLook w:val="04A0" w:firstRow="1" w:lastRow="0" w:firstColumn="1" w:lastColumn="0" w:noHBand="0" w:noVBand="1"/>
      </w:tblPr>
      <w:tblGrid>
        <w:gridCol w:w="2800"/>
        <w:gridCol w:w="2200"/>
        <w:gridCol w:w="4715"/>
      </w:tblGrid>
      <w:tr w:rsidR="006117AA" w:rsidRPr="006117AA" w14:paraId="0ECBC9FD" w14:textId="77777777" w:rsidTr="006117AA">
        <w:tc>
          <w:tcPr>
            <w:tcW w:w="2800" w:type="dxa"/>
          </w:tcPr>
          <w:p w14:paraId="264C2BA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2200" w:type="dxa"/>
          </w:tcPr>
          <w:p w14:paraId="5333ED2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Traitement dominant</w:t>
            </w:r>
          </w:p>
        </w:tc>
        <w:tc>
          <w:tcPr>
            <w:tcW w:w="4715" w:type="dxa"/>
          </w:tcPr>
          <w:p w14:paraId="0A1CD2B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Point notable</w:t>
            </w:r>
          </w:p>
        </w:tc>
      </w:tr>
      <w:tr w:rsidR="006117AA" w:rsidRPr="00116A61" w14:paraId="5D943DE9" w14:textId="77777777" w:rsidTr="006117AA">
        <w:tc>
          <w:tcPr>
            <w:tcW w:w="2800" w:type="dxa"/>
          </w:tcPr>
          <w:p w14:paraId="3B10A1C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utilisateurs</w:t>
            </w:r>
          </w:p>
        </w:tc>
        <w:tc>
          <w:tcPr>
            <w:tcW w:w="2200" w:type="dxa"/>
          </w:tcPr>
          <w:p w14:paraId="081B82A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ADO (69 %)</w:t>
            </w:r>
          </w:p>
        </w:tc>
        <w:tc>
          <w:tcPr>
            <w:tcW w:w="4715" w:type="dxa"/>
          </w:tcPr>
          <w:p w14:paraId="2270D47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ADO+</w:t>
            </w:r>
            <w:proofErr w:type="gramStart"/>
            <w:r w:rsidRPr="006117AA">
              <w:rPr>
                <w:rFonts w:ascii="Times New Roman" w:hAnsi="Times New Roman" w:cs="Times New Roman"/>
                <w:sz w:val="22"/>
              </w:rPr>
              <w:t>insuline plus fréquent</w:t>
            </w:r>
            <w:proofErr w:type="gramEnd"/>
            <w:r w:rsidRPr="006117AA">
              <w:rPr>
                <w:rFonts w:ascii="Times New Roman" w:hAnsi="Times New Roman" w:cs="Times New Roman"/>
                <w:sz w:val="22"/>
              </w:rPr>
              <w:t xml:space="preserve"> chez utilisateurs</w:t>
            </w:r>
          </w:p>
        </w:tc>
      </w:tr>
      <w:tr w:rsidR="006117AA" w:rsidRPr="006117AA" w14:paraId="086CA526" w14:textId="77777777" w:rsidTr="006117AA">
        <w:tc>
          <w:tcPr>
            <w:tcW w:w="2800" w:type="dxa"/>
          </w:tcPr>
          <w:p w14:paraId="1B17FB9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non-utilisateurs</w:t>
            </w:r>
          </w:p>
        </w:tc>
        <w:tc>
          <w:tcPr>
            <w:tcW w:w="2200" w:type="dxa"/>
          </w:tcPr>
          <w:p w14:paraId="021AE76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ADO (66,7 %)</w:t>
            </w:r>
          </w:p>
        </w:tc>
        <w:tc>
          <w:tcPr>
            <w:tcW w:w="4715" w:type="dxa"/>
          </w:tcPr>
          <w:p w14:paraId="5D2C52A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w:t>
            </w:r>
          </w:p>
        </w:tc>
      </w:tr>
      <w:tr w:rsidR="006117AA" w:rsidRPr="006117AA" w14:paraId="2337185F" w14:textId="77777777" w:rsidTr="006117AA">
        <w:tc>
          <w:tcPr>
            <w:tcW w:w="2800" w:type="dxa"/>
          </w:tcPr>
          <w:p w14:paraId="4B08554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2200" w:type="dxa"/>
          </w:tcPr>
          <w:p w14:paraId="19BD7B8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ADO majoritaire</w:t>
            </w:r>
          </w:p>
        </w:tc>
        <w:tc>
          <w:tcPr>
            <w:tcW w:w="4715" w:type="dxa"/>
          </w:tcPr>
          <w:p w14:paraId="153812D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Phytothérapie = complément perçu</w:t>
            </w:r>
          </w:p>
        </w:tc>
      </w:tr>
      <w:tr w:rsidR="006117AA" w:rsidRPr="006117AA" w14:paraId="7073B14F" w14:textId="77777777" w:rsidTr="006117AA">
        <w:tc>
          <w:tcPr>
            <w:tcW w:w="2800" w:type="dxa"/>
          </w:tcPr>
          <w:p w14:paraId="13AEC7A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2200" w:type="dxa"/>
          </w:tcPr>
          <w:p w14:paraId="332F4FE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ADO majoritaire</w:t>
            </w:r>
          </w:p>
        </w:tc>
        <w:tc>
          <w:tcPr>
            <w:tcW w:w="4715" w:type="dxa"/>
          </w:tcPr>
          <w:p w14:paraId="3918334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Phytothérapie = complément, non substitut</w:t>
            </w:r>
          </w:p>
        </w:tc>
      </w:tr>
      <w:tr w:rsidR="006117AA" w:rsidRPr="006117AA" w14:paraId="440E966A" w14:textId="77777777" w:rsidTr="006117AA">
        <w:tc>
          <w:tcPr>
            <w:tcW w:w="2800" w:type="dxa"/>
          </w:tcPr>
          <w:p w14:paraId="21661C5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2200" w:type="dxa"/>
          </w:tcPr>
          <w:p w14:paraId="6559D3C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ADO majoritaire</w:t>
            </w:r>
          </w:p>
        </w:tc>
        <w:tc>
          <w:tcPr>
            <w:tcW w:w="4715" w:type="dxa"/>
          </w:tcPr>
          <w:p w14:paraId="421F410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30 % réduisaient leurs doses d'ADO</w:t>
            </w:r>
          </w:p>
        </w:tc>
      </w:tr>
      <w:tr w:rsidR="006117AA" w:rsidRPr="00116A61" w14:paraId="67E28F4D" w14:textId="77777777" w:rsidTr="006117AA">
        <w:tc>
          <w:tcPr>
            <w:tcW w:w="2800" w:type="dxa"/>
          </w:tcPr>
          <w:p w14:paraId="7EAD376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2200" w:type="dxa"/>
          </w:tcPr>
          <w:p w14:paraId="56341F0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ADO / insuline</w:t>
            </w:r>
          </w:p>
        </w:tc>
        <w:tc>
          <w:tcPr>
            <w:tcW w:w="4715" w:type="dxa"/>
          </w:tcPr>
          <w:p w14:paraId="2897F01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Non-déclaration fréquente au médecin</w:t>
            </w:r>
          </w:p>
        </w:tc>
      </w:tr>
    </w:tbl>
    <w:p w14:paraId="79A05ADB" w14:textId="2FA9AA1B" w:rsidR="006117AA" w:rsidRDefault="006117AA" w:rsidP="006117AA">
      <w:pPr>
        <w:spacing w:before="80" w:after="80" w:line="360" w:lineRule="auto"/>
        <w:jc w:val="both"/>
        <w:rPr>
          <w:rFonts w:ascii="Times New Roman" w:eastAsia="Arial" w:hAnsi="Times New Roman" w:cs="Times New Roman"/>
          <w:szCs w:val="24"/>
          <w:lang w:val="fr-FR" w:eastAsia="fr-FR"/>
        </w:rPr>
      </w:pPr>
    </w:p>
    <w:p w14:paraId="1AEFA3AE" w14:textId="766703D4" w:rsidR="006117AA" w:rsidRDefault="006117AA" w:rsidP="006117AA">
      <w:pPr>
        <w:spacing w:before="80" w:after="80" w:line="360" w:lineRule="auto"/>
        <w:jc w:val="both"/>
        <w:rPr>
          <w:rFonts w:ascii="Times New Roman" w:eastAsia="Arial" w:hAnsi="Times New Roman" w:cs="Times New Roman"/>
          <w:szCs w:val="24"/>
          <w:lang w:val="fr-FR" w:eastAsia="fr-FR"/>
        </w:rPr>
      </w:pPr>
    </w:p>
    <w:p w14:paraId="690AD001" w14:textId="5EDA9718" w:rsidR="006117AA" w:rsidRDefault="006117AA" w:rsidP="006117AA">
      <w:pPr>
        <w:spacing w:before="80" w:after="80" w:line="360" w:lineRule="auto"/>
        <w:jc w:val="both"/>
        <w:rPr>
          <w:rFonts w:ascii="Times New Roman" w:eastAsia="Arial" w:hAnsi="Times New Roman" w:cs="Times New Roman"/>
          <w:szCs w:val="24"/>
          <w:lang w:val="fr-FR" w:eastAsia="fr-FR"/>
        </w:rPr>
      </w:pPr>
    </w:p>
    <w:p w14:paraId="02E360AB"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17CA7441"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lastRenderedPageBreak/>
        <w:t>selon</w:t>
      </w:r>
      <w:proofErr w:type="gramEnd"/>
      <w:r w:rsidRPr="006117AA">
        <w:rPr>
          <w:rFonts w:ascii="Times New Roman" w:eastAsia="Arial" w:hAnsi="Times New Roman" w:cs="Times New Roman"/>
          <w:b/>
          <w:bCs/>
          <w:sz w:val="40"/>
          <w:szCs w:val="40"/>
          <w:lang w:val="fr-FR" w:eastAsia="fr-FR"/>
        </w:rPr>
        <w:t xml:space="preserve"> l'HbA1c :</w:t>
      </w:r>
    </w:p>
    <w:p w14:paraId="4CDA9C48" w14:textId="77777777" w:rsidR="006117AA" w:rsidRPr="006117AA" w:rsidRDefault="006117AA" w:rsidP="006117AA">
      <w:pPr>
        <w:spacing w:before="100" w:beforeAutospacing="1" w:after="100" w:afterAutospacing="1" w:line="360" w:lineRule="auto"/>
        <w:jc w:val="both"/>
        <w:rPr>
          <w:rFonts w:ascii="Times New Roman" w:eastAsia="Times New Roman" w:hAnsi="Times New Roman" w:cs="Times New Roman"/>
          <w:szCs w:val="24"/>
          <w:lang w:val="fr-FR" w:eastAsia="fr-FR"/>
        </w:rPr>
      </w:pPr>
      <w:proofErr w:type="gramStart"/>
      <w:r w:rsidRPr="006117AA">
        <w:rPr>
          <w:rFonts w:ascii="Times New Roman" w:eastAsia="Times New Roman" w:hAnsi="Times New Roman" w:cs="Times New Roman"/>
          <w:szCs w:val="24"/>
          <w:lang w:val="fr-FR" w:eastAsia="fr-FR"/>
        </w:rPr>
        <w:t>disscusion:</w:t>
      </w:r>
      <w:proofErr w:type="gramEnd"/>
    </w:p>
    <w:p w14:paraId="79AA589C" w14:textId="77777777" w:rsidR="006117AA" w:rsidRPr="006117AA" w:rsidRDefault="006117AA" w:rsidP="006117AA">
      <w:pPr>
        <w:spacing w:before="100" w:beforeAutospacing="1" w:after="100" w:afterAutospacing="1" w:line="360" w:lineRule="auto"/>
        <w:jc w:val="both"/>
        <w:rPr>
          <w:rFonts w:ascii="Times New Roman" w:eastAsia="Times New Roman" w:hAnsi="Times New Roman" w:cs="Times New Roman"/>
          <w:szCs w:val="24"/>
          <w:lang w:val="fr-FR" w:eastAsia="fr-FR"/>
        </w:rPr>
      </w:pPr>
      <w:r w:rsidRPr="006117AA">
        <w:rPr>
          <w:rFonts w:ascii="Times New Roman" w:eastAsia="Times New Roman" w:hAnsi="Times New Roman" w:cs="Times New Roman"/>
          <w:szCs w:val="24"/>
          <w:lang w:val="fr-FR" w:eastAsia="fr-FR"/>
        </w:rPr>
        <w:t>L'écart observé dans notre étude entre les deux groupes — 51,9 % de déséquilibre glycémique chez les utilisateurs contre 65,3 % chez les non-utilisateurs — constitue une tendance favorable qui mérite d'être confrontée aux données de la littérature, d'autant que la différence n'a pas atteint le seuil de significativité statistique (p = 0,07).</w:t>
      </w:r>
    </w:p>
    <w:p w14:paraId="4D7F3097" w14:textId="68834754" w:rsidR="006117AA" w:rsidRDefault="006117AA" w:rsidP="0059682C">
      <w:pPr>
        <w:spacing w:before="100" w:beforeAutospacing="1" w:after="100" w:afterAutospacing="1" w:line="360" w:lineRule="auto"/>
        <w:jc w:val="both"/>
        <w:rPr>
          <w:rFonts w:ascii="Times New Roman" w:eastAsia="Times New Roman" w:hAnsi="Times New Roman" w:cs="Times New Roman"/>
          <w:szCs w:val="24"/>
          <w:lang w:val="fr-FR" w:eastAsia="fr-FR"/>
        </w:rPr>
      </w:pPr>
      <w:r w:rsidRPr="006117AA">
        <w:rPr>
          <w:rFonts w:ascii="Times New Roman" w:eastAsia="Times New Roman" w:hAnsi="Times New Roman" w:cs="Times New Roman"/>
          <w:szCs w:val="24"/>
          <w:lang w:val="fr-FR" w:eastAsia="fr-FR"/>
        </w:rPr>
        <w:t xml:space="preserve"> </w:t>
      </w:r>
      <w:proofErr w:type="gramStart"/>
      <w:r w:rsidRPr="006117AA">
        <w:rPr>
          <w:rFonts w:ascii="Times New Roman" w:eastAsia="Times New Roman" w:hAnsi="Times New Roman" w:cs="Times New Roman"/>
          <w:szCs w:val="24"/>
          <w:lang w:val="fr-FR" w:eastAsia="fr-FR"/>
        </w:rPr>
        <w:t>nos</w:t>
      </w:r>
      <w:proofErr w:type="gramEnd"/>
      <w:r w:rsidRPr="006117AA">
        <w:rPr>
          <w:rFonts w:ascii="Times New Roman" w:eastAsia="Times New Roman" w:hAnsi="Times New Roman" w:cs="Times New Roman"/>
          <w:szCs w:val="24"/>
          <w:lang w:val="fr-FR" w:eastAsia="fr-FR"/>
        </w:rPr>
        <w:t xml:space="preserve"> résultats convergent avec ceux de l'étude algérienne de Tlemcen, qui n'a retrouvé aucune différence significative d'HbA1c entre les deux groupes et a conclu à l'absence d'effet glycémique objectif directement attribuable à la phytothérapie. Les auteurs ont notamment émis l'hypothèse que la tendance favorable observée chez les utilisateurs pourrait être davantage liée à des comportements de santé associés — régime alimentaire plus rigoureux, activité physique plus régulière — qu'à un effet pharmacologique propre des plantes utilisées. Cette interprétation s'applique pleinement à notre contexte, dans la mesure où notre étude n'a pas contrôlé ces variables confondantes.  L'étude tunisienne de l'INN de Tunis aboutit à la même conclusion d'absence de différence significative, renforçant la cohérence des données nord-africaines sur ce point. La concordance entre ces trois études maghrébines </w:t>
      </w:r>
      <w:proofErr w:type="gramStart"/>
      <w:r w:rsidRPr="006117AA">
        <w:rPr>
          <w:rFonts w:ascii="Times New Roman" w:eastAsia="Times New Roman" w:hAnsi="Times New Roman" w:cs="Times New Roman"/>
          <w:szCs w:val="24"/>
          <w:lang w:val="fr-FR" w:eastAsia="fr-FR"/>
        </w:rPr>
        <w:t>( Laghouat</w:t>
      </w:r>
      <w:proofErr w:type="gramEnd"/>
      <w:r w:rsidRPr="006117AA">
        <w:rPr>
          <w:rFonts w:ascii="Times New Roman" w:eastAsia="Times New Roman" w:hAnsi="Times New Roman" w:cs="Times New Roman"/>
          <w:szCs w:val="24"/>
          <w:lang w:val="fr-FR" w:eastAsia="fr-FR"/>
        </w:rPr>
        <w:t xml:space="preserve">, Tlemcen et Tunis ) suggère que, dans ces populations partageant des pratiques ethnomédicinales proches et un même substrat culturel, la phytothérapie n'est pas associée à un bénéfice glycémique statistiquement mesurable, quelle que soit la tendance numérique observée. À l'échelle africaine, les résultats de Dongmo et al. </w:t>
      </w:r>
      <w:proofErr w:type="gramStart"/>
      <w:r w:rsidRPr="006117AA">
        <w:rPr>
          <w:rFonts w:ascii="Times New Roman" w:eastAsia="Times New Roman" w:hAnsi="Times New Roman" w:cs="Times New Roman"/>
          <w:szCs w:val="24"/>
          <w:lang w:val="fr-FR" w:eastAsia="fr-FR"/>
        </w:rPr>
        <w:t>au</w:t>
      </w:r>
      <w:proofErr w:type="gramEnd"/>
      <w:r w:rsidRPr="006117AA">
        <w:rPr>
          <w:rFonts w:ascii="Times New Roman" w:eastAsia="Times New Roman" w:hAnsi="Times New Roman" w:cs="Times New Roman"/>
          <w:szCs w:val="24"/>
          <w:lang w:val="fr-FR" w:eastAsia="fr-FR"/>
        </w:rPr>
        <w:t xml:space="preserve"> Cameroun vont dans le même sens : un taux de déséquilibre élevé dans les deux groupes, sans supériorité démontrée du groupe phytothérapie.  </w:t>
      </w:r>
      <w:proofErr w:type="gramStart"/>
      <w:r w:rsidRPr="006117AA">
        <w:rPr>
          <w:rFonts w:ascii="Times New Roman" w:eastAsia="Times New Roman" w:hAnsi="Times New Roman" w:cs="Times New Roman"/>
          <w:szCs w:val="24"/>
          <w:lang w:val="fr-FR" w:eastAsia="fr-FR"/>
        </w:rPr>
        <w:t>l'étude</w:t>
      </w:r>
      <w:proofErr w:type="gramEnd"/>
      <w:r w:rsidRPr="006117AA">
        <w:rPr>
          <w:rFonts w:ascii="Times New Roman" w:eastAsia="Times New Roman" w:hAnsi="Times New Roman" w:cs="Times New Roman"/>
          <w:szCs w:val="24"/>
          <w:lang w:val="fr-FR" w:eastAsia="fr-FR"/>
        </w:rPr>
        <w:t xml:space="preserve"> allemande, bien que menée dans un système de santé très différent, parvient à la même conclusion : l'utilisation de médecines alternatives et complémentaires n'est pas associée à une amélioration signifi</w:t>
      </w:r>
      <w:r w:rsidR="0059682C">
        <w:rPr>
          <w:rFonts w:ascii="Times New Roman" w:eastAsia="Times New Roman" w:hAnsi="Times New Roman" w:cs="Times New Roman"/>
          <w:szCs w:val="24"/>
          <w:lang w:val="fr-FR" w:eastAsia="fr-FR"/>
        </w:rPr>
        <w:t xml:space="preserve">cative du contrôle glycémique. </w:t>
      </w:r>
    </w:p>
    <w:p w14:paraId="0F54500A" w14:textId="77777777" w:rsidR="0059682C" w:rsidRPr="0059682C" w:rsidRDefault="0059682C" w:rsidP="0059682C">
      <w:pPr>
        <w:spacing w:before="100" w:beforeAutospacing="1" w:after="100" w:afterAutospacing="1" w:line="360" w:lineRule="auto"/>
        <w:jc w:val="both"/>
        <w:rPr>
          <w:rFonts w:ascii="Times New Roman" w:eastAsia="Times New Roman" w:hAnsi="Times New Roman" w:cs="Times New Roman"/>
          <w:szCs w:val="24"/>
          <w:lang w:val="fr-FR" w:eastAsia="fr-FR"/>
        </w:rPr>
      </w:pPr>
    </w:p>
    <w:p w14:paraId="2377EAC6"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727096A1" w14:textId="05C4BF93" w:rsidR="0059682C" w:rsidRDefault="0059682C" w:rsidP="0059682C">
      <w:pPr>
        <w:pStyle w:val="Caption"/>
        <w:keepNext/>
      </w:pPr>
      <w:bookmarkStart w:id="219" w:name="_Toc229617405"/>
      <w:r>
        <w:lastRenderedPageBreak/>
        <w:t xml:space="preserve">Tableau </w:t>
      </w:r>
      <w:r>
        <w:fldChar w:fldCharType="begin"/>
      </w:r>
      <w:r>
        <w:instrText xml:space="preserve"> SEQ Tableau \* ARABIC </w:instrText>
      </w:r>
      <w:r>
        <w:fldChar w:fldCharType="separate"/>
      </w:r>
      <w:r w:rsidR="00983108">
        <w:rPr>
          <w:noProof/>
        </w:rPr>
        <w:t>44</w:t>
      </w:r>
      <w:r>
        <w:fldChar w:fldCharType="end"/>
      </w:r>
      <w:r>
        <w:t xml:space="preserve"> </w:t>
      </w:r>
      <w:r w:rsidRPr="001645ED">
        <w:t>Comparaison de population d'étude selon les résultats de l'HbA1</w:t>
      </w:r>
      <w:proofErr w:type="gramStart"/>
      <w:r w:rsidRPr="001645ED">
        <w:t>c:</w:t>
      </w:r>
      <w:bookmarkEnd w:id="219"/>
      <w:proofErr w:type="gramEnd"/>
    </w:p>
    <w:tbl>
      <w:tblPr>
        <w:tblStyle w:val="TableGrid2"/>
        <w:tblW w:w="10075" w:type="dxa"/>
        <w:tblLook w:val="04A0" w:firstRow="1" w:lastRow="0" w:firstColumn="1" w:lastColumn="0" w:noHBand="0" w:noVBand="1"/>
      </w:tblPr>
      <w:tblGrid>
        <w:gridCol w:w="3200"/>
        <w:gridCol w:w="3005"/>
        <w:gridCol w:w="3870"/>
      </w:tblGrid>
      <w:tr w:rsidR="006117AA" w:rsidRPr="006117AA" w14:paraId="3A895F63" w14:textId="77777777" w:rsidTr="006117AA">
        <w:tc>
          <w:tcPr>
            <w:tcW w:w="3200" w:type="dxa"/>
          </w:tcPr>
          <w:p w14:paraId="4A766035" w14:textId="77777777" w:rsidR="006117AA" w:rsidRPr="006117AA" w:rsidRDefault="006117AA" w:rsidP="006117AA">
            <w:pPr>
              <w:spacing w:line="360" w:lineRule="auto"/>
              <w:jc w:val="both"/>
              <w:rPr>
                <w:rFonts w:ascii="Times New Roman" w:hAnsi="Times New Roman" w:cs="Times New Roman"/>
                <w:rtl/>
                <w:lang w:bidi="ar-DZ"/>
              </w:rPr>
            </w:pPr>
            <w:r w:rsidRPr="006117AA">
              <w:rPr>
                <w:rFonts w:ascii="Times New Roman" w:hAnsi="Times New Roman" w:cs="Times New Roman"/>
                <w:sz w:val="22"/>
              </w:rPr>
              <w:t>Étude</w:t>
            </w:r>
          </w:p>
        </w:tc>
        <w:tc>
          <w:tcPr>
            <w:tcW w:w="3005" w:type="dxa"/>
          </w:tcPr>
          <w:p w14:paraId="3A55A68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Déséquilibre HbA1c &gt; 7 %</w:t>
            </w:r>
          </w:p>
        </w:tc>
        <w:tc>
          <w:tcPr>
            <w:tcW w:w="3870" w:type="dxa"/>
          </w:tcPr>
          <w:p w14:paraId="02E2314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Conclusion</w:t>
            </w:r>
          </w:p>
        </w:tc>
      </w:tr>
      <w:tr w:rsidR="006117AA" w:rsidRPr="006117AA" w14:paraId="672B7099" w14:textId="77777777" w:rsidTr="006117AA">
        <w:tc>
          <w:tcPr>
            <w:tcW w:w="3200" w:type="dxa"/>
          </w:tcPr>
          <w:p w14:paraId="431D36B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utilisateurs (Laghouat)</w:t>
            </w:r>
          </w:p>
        </w:tc>
        <w:tc>
          <w:tcPr>
            <w:tcW w:w="3005" w:type="dxa"/>
          </w:tcPr>
          <w:p w14:paraId="52C86AC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51,9 %</w:t>
            </w:r>
          </w:p>
        </w:tc>
        <w:tc>
          <w:tcPr>
            <w:tcW w:w="3870" w:type="dxa"/>
          </w:tcPr>
          <w:p w14:paraId="6DB5813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Meilleur équilibre relatif</w:t>
            </w:r>
          </w:p>
        </w:tc>
      </w:tr>
      <w:tr w:rsidR="006117AA" w:rsidRPr="006117AA" w14:paraId="1F60CA01" w14:textId="77777777" w:rsidTr="006117AA">
        <w:tc>
          <w:tcPr>
            <w:tcW w:w="3200" w:type="dxa"/>
          </w:tcPr>
          <w:p w14:paraId="088B986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non-utilisateurs (Laghouat)</w:t>
            </w:r>
          </w:p>
        </w:tc>
        <w:tc>
          <w:tcPr>
            <w:tcW w:w="3005" w:type="dxa"/>
          </w:tcPr>
          <w:p w14:paraId="6E62030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65,3 %</w:t>
            </w:r>
          </w:p>
        </w:tc>
        <w:tc>
          <w:tcPr>
            <w:tcW w:w="3870" w:type="dxa"/>
          </w:tcPr>
          <w:p w14:paraId="411A0C9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Déséquilibre plus fréquent</w:t>
            </w:r>
          </w:p>
        </w:tc>
      </w:tr>
      <w:tr w:rsidR="006117AA" w:rsidRPr="006117AA" w14:paraId="22CD5ACD" w14:textId="77777777" w:rsidTr="006117AA">
        <w:tc>
          <w:tcPr>
            <w:tcW w:w="3200" w:type="dxa"/>
          </w:tcPr>
          <w:p w14:paraId="5F324C1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3005" w:type="dxa"/>
          </w:tcPr>
          <w:p w14:paraId="279E3CB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de différence significative</w:t>
            </w:r>
          </w:p>
        </w:tc>
        <w:tc>
          <w:tcPr>
            <w:tcW w:w="3870" w:type="dxa"/>
          </w:tcPr>
          <w:p w14:paraId="7C8C05F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d'effet glycémique objectif</w:t>
            </w:r>
          </w:p>
        </w:tc>
      </w:tr>
      <w:tr w:rsidR="006117AA" w:rsidRPr="006117AA" w14:paraId="279C5390" w14:textId="77777777" w:rsidTr="006117AA">
        <w:tc>
          <w:tcPr>
            <w:tcW w:w="3200" w:type="dxa"/>
          </w:tcPr>
          <w:p w14:paraId="3B21395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3005" w:type="dxa"/>
          </w:tcPr>
          <w:p w14:paraId="04A2D59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de différence significative</w:t>
            </w:r>
          </w:p>
        </w:tc>
        <w:tc>
          <w:tcPr>
            <w:tcW w:w="3870" w:type="dxa"/>
          </w:tcPr>
          <w:p w14:paraId="75E9DBA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Concordant</w:t>
            </w:r>
          </w:p>
        </w:tc>
      </w:tr>
      <w:tr w:rsidR="006117AA" w:rsidRPr="006117AA" w14:paraId="276779AD" w14:textId="77777777" w:rsidTr="006117AA">
        <w:tc>
          <w:tcPr>
            <w:tcW w:w="3200" w:type="dxa"/>
          </w:tcPr>
          <w:p w14:paraId="333E704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3005" w:type="dxa"/>
          </w:tcPr>
          <w:p w14:paraId="7D668A7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Élevé dans les deux groupes</w:t>
            </w:r>
          </w:p>
        </w:tc>
        <w:tc>
          <w:tcPr>
            <w:tcW w:w="3870" w:type="dxa"/>
          </w:tcPr>
          <w:p w14:paraId="61DAF14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de supériorité phytothérapie</w:t>
            </w:r>
          </w:p>
        </w:tc>
      </w:tr>
      <w:tr w:rsidR="006117AA" w:rsidRPr="006117AA" w14:paraId="7519F3CE" w14:textId="77777777" w:rsidTr="006117AA">
        <w:tc>
          <w:tcPr>
            <w:tcW w:w="3200" w:type="dxa"/>
          </w:tcPr>
          <w:p w14:paraId="47B3BAD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3005" w:type="dxa"/>
          </w:tcPr>
          <w:p w14:paraId="5514820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d'amélioration démontrée</w:t>
            </w:r>
          </w:p>
        </w:tc>
        <w:tc>
          <w:tcPr>
            <w:tcW w:w="3870" w:type="dxa"/>
          </w:tcPr>
          <w:p w14:paraId="0ECD4D4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Concordant</w:t>
            </w:r>
          </w:p>
        </w:tc>
      </w:tr>
    </w:tbl>
    <w:p w14:paraId="7FAB1853"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61D116F8" w14:textId="77777777" w:rsidR="006117AA" w:rsidRPr="006117AA" w:rsidRDefault="006117AA" w:rsidP="006117AA">
      <w:pPr>
        <w:spacing w:before="80" w:after="8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les complications aigues:</w:t>
      </w:r>
    </w:p>
    <w:p w14:paraId="2D6B1ACF" w14:textId="77777777" w:rsidR="006117AA" w:rsidRPr="006117AA" w:rsidRDefault="006117AA" w:rsidP="006117AA">
      <w:pPr>
        <w:spacing w:before="100" w:beforeAutospacing="1" w:after="100" w:afterAutospacing="1" w:line="360" w:lineRule="auto"/>
        <w:jc w:val="both"/>
        <w:outlineLvl w:val="2"/>
        <w:rPr>
          <w:rFonts w:ascii="Times New Roman" w:eastAsia="Times New Roman" w:hAnsi="Times New Roman" w:cs="Times New Roman"/>
          <w:b/>
          <w:bCs/>
          <w:sz w:val="27"/>
          <w:szCs w:val="27"/>
          <w:lang w:val="fr-FR" w:eastAsia="fr-FR"/>
        </w:rPr>
      </w:pPr>
      <w:r w:rsidRPr="006117AA">
        <w:rPr>
          <w:rFonts w:ascii="Times New Roman" w:eastAsia="Times New Roman" w:hAnsi="Times New Roman" w:cs="Times New Roman"/>
          <w:b/>
          <w:bCs/>
          <w:sz w:val="27"/>
          <w:szCs w:val="27"/>
          <w:lang w:val="fr-FR" w:eastAsia="fr-FR"/>
        </w:rPr>
        <w:t xml:space="preserve">Discussion </w:t>
      </w:r>
    </w:p>
    <w:p w14:paraId="00F05490" w14:textId="77777777" w:rsidR="006117AA" w:rsidRPr="006117AA" w:rsidRDefault="006117AA" w:rsidP="006117AA">
      <w:pPr>
        <w:spacing w:before="100" w:beforeAutospacing="1" w:after="100" w:afterAutospacing="1" w:line="360" w:lineRule="auto"/>
        <w:jc w:val="both"/>
        <w:rPr>
          <w:rFonts w:ascii="Times New Roman" w:eastAsia="Times New Roman" w:hAnsi="Times New Roman" w:cs="Times New Roman"/>
          <w:szCs w:val="24"/>
          <w:lang w:val="fr-FR" w:eastAsia="fr-FR"/>
        </w:rPr>
      </w:pPr>
      <w:r w:rsidRPr="006117AA">
        <w:rPr>
          <w:rFonts w:ascii="Times New Roman" w:eastAsia="Times New Roman" w:hAnsi="Times New Roman" w:cs="Times New Roman"/>
          <w:szCs w:val="24"/>
          <w:lang w:val="fr-FR" w:eastAsia="fr-FR"/>
        </w:rPr>
        <w:t>Les deux tendances opposées observées dans notre étude — une proportion d'acidocétose plus faible chez les utilisateurs (22,6 % vs 30,7 %) et une proportion d'hypoglycémie plus élevée dans ce même groupe (12,0 % vs 8,0 %) — constituent ensemble un signal clinique cohérent qui mérite d'être confronté aux données de la littérature.</w:t>
      </w:r>
    </w:p>
    <w:p w14:paraId="1EE8D83B" w14:textId="77777777" w:rsidR="006117AA" w:rsidRPr="006117AA" w:rsidRDefault="006117AA" w:rsidP="006117AA">
      <w:pPr>
        <w:spacing w:before="100" w:beforeAutospacing="1" w:after="100" w:afterAutospacing="1" w:line="360" w:lineRule="auto"/>
        <w:jc w:val="both"/>
        <w:rPr>
          <w:rFonts w:ascii="Times New Roman" w:eastAsia="Times New Roman" w:hAnsi="Times New Roman" w:cs="Times New Roman"/>
          <w:szCs w:val="24"/>
          <w:lang w:val="fr-FR" w:eastAsia="fr-FR"/>
        </w:rPr>
      </w:pPr>
      <w:r w:rsidRPr="006117AA">
        <w:rPr>
          <w:rFonts w:ascii="Times New Roman" w:eastAsia="Times New Roman" w:hAnsi="Times New Roman" w:cs="Times New Roman"/>
          <w:szCs w:val="24"/>
          <w:lang w:val="fr-FR" w:eastAsia="fr-FR"/>
        </w:rPr>
        <w:t xml:space="preserve">Sur la question de l'acidocétose, les études maghrébines de Tlemcen et de l'INN de Tunis n'ont retrouvé aucune différence significative dans la survenue des complications hyperglycémiques aiguës entre les deux groupes, attribuant l'absence de bénéfice objectif à l'hétérogénéité des plantes utilisées et au défaut de standardisation des pratiques — limites que partage notre étude. À l'échelle subsaharienne, Dongmo et al. </w:t>
      </w:r>
      <w:proofErr w:type="gramStart"/>
      <w:r w:rsidRPr="006117AA">
        <w:rPr>
          <w:rFonts w:ascii="Times New Roman" w:eastAsia="Times New Roman" w:hAnsi="Times New Roman" w:cs="Times New Roman"/>
          <w:szCs w:val="24"/>
          <w:lang w:val="fr-FR" w:eastAsia="fr-FR"/>
        </w:rPr>
        <w:t>ont</w:t>
      </w:r>
      <w:proofErr w:type="gramEnd"/>
      <w:r w:rsidRPr="006117AA">
        <w:rPr>
          <w:rFonts w:ascii="Times New Roman" w:eastAsia="Times New Roman" w:hAnsi="Times New Roman" w:cs="Times New Roman"/>
          <w:szCs w:val="24"/>
          <w:lang w:val="fr-FR" w:eastAsia="fr-FR"/>
        </w:rPr>
        <w:t xml:space="preserve"> rapporté une fréquence élevée de complications aiguës dans les deux groupes sans supériorité démontrée du groupe phytothérapie, rappelant que la survenue de l'acidocétose est avant tout conditionnée par la qualité du suivi médical, l'observance thérapeutique et l'accès aux soins, indépendamment du recours aux plantes. L'étude allemande est parvenue à la même conclusion dans un contexte de médecine complémentaire structurée : les médecines alternatives ne modifient pas de manière démontrable le profil des complications hyperglycémiques aiguës.</w:t>
      </w:r>
    </w:p>
    <w:p w14:paraId="65BC0096" w14:textId="77777777" w:rsidR="006117AA" w:rsidRPr="006117AA" w:rsidRDefault="006117AA" w:rsidP="006117AA">
      <w:pPr>
        <w:spacing w:before="100" w:beforeAutospacing="1" w:after="100" w:afterAutospacing="1" w:line="360" w:lineRule="auto"/>
        <w:jc w:val="both"/>
        <w:rPr>
          <w:rFonts w:ascii="Times New Roman" w:eastAsia="Times New Roman" w:hAnsi="Times New Roman" w:cs="Times New Roman"/>
          <w:szCs w:val="24"/>
          <w:lang w:val="fr-FR" w:eastAsia="fr-FR"/>
        </w:rPr>
      </w:pPr>
      <w:r w:rsidRPr="006117AA">
        <w:rPr>
          <w:rFonts w:ascii="Times New Roman" w:eastAsia="Times New Roman" w:hAnsi="Times New Roman" w:cs="Times New Roman"/>
          <w:szCs w:val="24"/>
          <w:lang w:val="fr-FR" w:eastAsia="fr-FR"/>
        </w:rPr>
        <w:lastRenderedPageBreak/>
        <w:t xml:space="preserve">La tendance inverse observée pour l'hypoglycémie est, quant à elle, davantage étayée par la littérature. L'étude de Tlemcen a spécifiquement mis en évidence le risque d'interactions pharmacodynamiques entre les plantes à effet hypoglycémiant et les antidiabétiques oraux — notamment les sulfamides — pouvant potentialiser l'effet hypoglycémiant global. L'étude tunisienne a insisté sur le fait que les patients qui ajoutent une phytothérapie non déclarée à leur traitement conventionnel s'exposent à un risque d'hypoglycémie parfois sévère, sans anticipation médicale. Dongmo et al. </w:t>
      </w:r>
      <w:proofErr w:type="gramStart"/>
      <w:r w:rsidRPr="006117AA">
        <w:rPr>
          <w:rFonts w:ascii="Times New Roman" w:eastAsia="Times New Roman" w:hAnsi="Times New Roman" w:cs="Times New Roman"/>
          <w:szCs w:val="24"/>
          <w:lang w:val="fr-FR" w:eastAsia="fr-FR"/>
        </w:rPr>
        <w:t>ont</w:t>
      </w:r>
      <w:proofErr w:type="gramEnd"/>
      <w:r w:rsidRPr="006117AA">
        <w:rPr>
          <w:rFonts w:ascii="Times New Roman" w:eastAsia="Times New Roman" w:hAnsi="Times New Roman" w:cs="Times New Roman"/>
          <w:szCs w:val="24"/>
          <w:lang w:val="fr-FR" w:eastAsia="fr-FR"/>
        </w:rPr>
        <w:t xml:space="preserve"> rapporté des cas d'hypoglycémie directement attribuables à des interactions plante-médicament et ont recommandé une information systématique des patients sur ce risque. L'étude allemande, qui a analysé le profil de sécurité des médecines complémentaires chez les diabétiques, a identifié les épisodes hypoglycémiques comme les événements indésirables les plus fréquemment rapportés en lien avec la phytothérapie, en particulier chez les patients sous insuline ou sulfamides</w:t>
      </w:r>
    </w:p>
    <w:p w14:paraId="786F65D3"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les complications chroniques :</w:t>
      </w:r>
    </w:p>
    <w:p w14:paraId="64A24464" w14:textId="77777777" w:rsidR="006117AA" w:rsidRPr="006117AA" w:rsidRDefault="006117AA" w:rsidP="006117AA">
      <w:pPr>
        <w:spacing w:before="100" w:beforeAutospacing="1" w:after="100" w:afterAutospacing="1" w:line="360" w:lineRule="auto"/>
        <w:jc w:val="both"/>
        <w:outlineLvl w:val="2"/>
        <w:rPr>
          <w:rFonts w:ascii="Times New Roman" w:eastAsia="Times New Roman" w:hAnsi="Times New Roman" w:cs="Times New Roman"/>
          <w:b/>
          <w:bCs/>
          <w:sz w:val="40"/>
          <w:szCs w:val="40"/>
          <w:lang w:val="fr-FR" w:eastAsia="fr-FR"/>
        </w:rPr>
      </w:pPr>
      <w:r w:rsidRPr="006117AA">
        <w:rPr>
          <w:rFonts w:ascii="Times New Roman" w:eastAsia="Times New Roman" w:hAnsi="Times New Roman" w:cs="Times New Roman"/>
          <w:b/>
          <w:bCs/>
          <w:sz w:val="40"/>
          <w:szCs w:val="40"/>
          <w:lang w:val="fr-FR" w:eastAsia="fr-FR"/>
        </w:rPr>
        <w:t>Discussion</w:t>
      </w:r>
    </w:p>
    <w:p w14:paraId="40268A2B" w14:textId="77777777" w:rsidR="006117AA" w:rsidRPr="006117AA" w:rsidRDefault="006117AA" w:rsidP="006117AA">
      <w:pPr>
        <w:spacing w:before="100" w:beforeAutospacing="1" w:after="100" w:afterAutospacing="1" w:line="360" w:lineRule="auto"/>
        <w:jc w:val="both"/>
        <w:rPr>
          <w:rFonts w:ascii="Times New Roman" w:eastAsia="Times New Roman" w:hAnsi="Times New Roman" w:cs="Times New Roman"/>
          <w:szCs w:val="24"/>
          <w:lang w:val="fr-FR" w:eastAsia="fr-FR"/>
        </w:rPr>
      </w:pPr>
      <w:r w:rsidRPr="006117AA">
        <w:rPr>
          <w:rFonts w:ascii="Times New Roman" w:eastAsia="Times New Roman" w:hAnsi="Times New Roman" w:cs="Times New Roman"/>
          <w:szCs w:val="24"/>
          <w:lang w:val="fr-FR" w:eastAsia="fr-FR"/>
        </w:rPr>
        <w:t>La tendance observée dans notre étude — une proportion deux fois plus faible de complications multiples chez les utilisateurs de phytothérapie (6,8 % vs 13,3 %) — constitue le résultat le plus saillant de cette analyse et mérite d'être confronté aux données de la littérature.</w:t>
      </w:r>
    </w:p>
    <w:p w14:paraId="218F654C" w14:textId="77777777" w:rsidR="006117AA" w:rsidRPr="006117AA" w:rsidRDefault="006117AA" w:rsidP="006117AA">
      <w:pPr>
        <w:spacing w:before="100" w:beforeAutospacing="1" w:after="100" w:afterAutospacing="1" w:line="360" w:lineRule="auto"/>
        <w:jc w:val="both"/>
        <w:rPr>
          <w:rFonts w:ascii="Times New Roman" w:eastAsia="Times New Roman" w:hAnsi="Times New Roman" w:cs="Times New Roman"/>
          <w:szCs w:val="24"/>
          <w:lang w:val="fr-FR" w:eastAsia="fr-FR"/>
        </w:rPr>
      </w:pPr>
      <w:r w:rsidRPr="006117AA">
        <w:rPr>
          <w:rFonts w:ascii="Times New Roman" w:eastAsia="Times New Roman" w:hAnsi="Times New Roman" w:cs="Times New Roman"/>
          <w:szCs w:val="24"/>
          <w:lang w:val="fr-FR" w:eastAsia="fr-FR"/>
        </w:rPr>
        <w:t>L'étude de Tlemcen n'a pas mis en évidence de différence significative dans la prévalence des complications chroniques entre les deux groupes, concluant que l'usage de plantes médicinales n'était pas associé à une réduction objectivable du risque de complications à long terme. Les auteurs ont cependant souligné que certains patients utilisateurs de phytothérapie présentaient des comportements de santé globalement plus favorables, pouvant constituer un facteur confondant important dans l'interprétation des résultats. L'étude tunisienne de l'INN de Tunis est parvenue à la même conclusion d'absence de différence significative, tout en notant que la durée d'évolution du diabète — facteur déterminant dans la survenue des complications chroniques — n'était pas toujours comparable entre les deux groupes, ce qui limite la portée des comparaisons.</w:t>
      </w:r>
    </w:p>
    <w:p w14:paraId="152DC7A3" w14:textId="77777777" w:rsidR="006117AA" w:rsidRPr="006117AA" w:rsidRDefault="006117AA" w:rsidP="006117AA">
      <w:pPr>
        <w:spacing w:before="100" w:beforeAutospacing="1" w:after="100" w:afterAutospacing="1" w:line="360" w:lineRule="auto"/>
        <w:jc w:val="both"/>
        <w:rPr>
          <w:rFonts w:ascii="Times New Roman" w:eastAsia="Times New Roman" w:hAnsi="Times New Roman" w:cs="Times New Roman"/>
          <w:szCs w:val="24"/>
          <w:lang w:val="fr-FR" w:eastAsia="fr-FR"/>
        </w:rPr>
      </w:pPr>
      <w:r w:rsidRPr="006117AA">
        <w:rPr>
          <w:rFonts w:ascii="Times New Roman" w:eastAsia="Times New Roman" w:hAnsi="Times New Roman" w:cs="Times New Roman"/>
          <w:szCs w:val="24"/>
          <w:lang w:val="fr-FR" w:eastAsia="fr-FR"/>
        </w:rPr>
        <w:lastRenderedPageBreak/>
        <w:t xml:space="preserve">Dongmo et al. </w:t>
      </w:r>
      <w:proofErr w:type="gramStart"/>
      <w:r w:rsidRPr="006117AA">
        <w:rPr>
          <w:rFonts w:ascii="Times New Roman" w:eastAsia="Times New Roman" w:hAnsi="Times New Roman" w:cs="Times New Roman"/>
          <w:szCs w:val="24"/>
          <w:lang w:val="fr-FR" w:eastAsia="fr-FR"/>
        </w:rPr>
        <w:t>au</w:t>
      </w:r>
      <w:proofErr w:type="gramEnd"/>
      <w:r w:rsidRPr="006117AA">
        <w:rPr>
          <w:rFonts w:ascii="Times New Roman" w:eastAsia="Times New Roman" w:hAnsi="Times New Roman" w:cs="Times New Roman"/>
          <w:szCs w:val="24"/>
          <w:lang w:val="fr-FR" w:eastAsia="fr-FR"/>
        </w:rPr>
        <w:t xml:space="preserve"> Cameroun ont relevé une charge de complications chroniques élevée dans les deux groupes, sans supériorité démontrée du groupe phytothérapie. Leurs résultats soulignent que dans les contextes à ressources limitées, la progression des complications chroniques est davantage liée à la qualité du suivi médical et à l'accès aux soins spécialisés qu'au recours ou non aux plantes médicinales — une réalité qui s'applique également au contexte algérien. L'étude allemande, enfin, a conclu que l'utilisation de médecines complémentaires n'était pas associée à une réduction de l'incidence des complications chroniques du diabète, et a insisté sur le fait que les bénéfices perçus par les patients relevaient davantage d'un effet global sur le bien-être et la qualité de vie que d'un effet protecteur organique démontrable.</w:t>
      </w:r>
    </w:p>
    <w:p w14:paraId="18508671" w14:textId="77777777" w:rsidR="006117AA" w:rsidRPr="006117AA" w:rsidRDefault="006117AA" w:rsidP="006117AA">
      <w:pPr>
        <w:spacing w:before="100" w:beforeAutospacing="1" w:after="100" w:afterAutospacing="1" w:line="360" w:lineRule="auto"/>
        <w:jc w:val="both"/>
        <w:rPr>
          <w:rFonts w:ascii="Times New Roman" w:eastAsia="Times New Roman" w:hAnsi="Times New Roman" w:cs="Times New Roman"/>
          <w:szCs w:val="24"/>
          <w:lang w:val="fr-FR" w:eastAsia="fr-FR"/>
        </w:rPr>
      </w:pPr>
      <w:r w:rsidRPr="006117AA">
        <w:rPr>
          <w:rFonts w:ascii="Times New Roman" w:eastAsia="Times New Roman" w:hAnsi="Times New Roman" w:cs="Times New Roman"/>
          <w:szCs w:val="24"/>
          <w:lang w:val="fr-FR" w:eastAsia="fr-FR"/>
        </w:rPr>
        <w:t>Au total, si notre étude apporte un signal favorable concernant la moindre accumulation de complications multiples chez les utilisateurs de phytothérapie, ce résultat s'inscrit dans un faisceau d'évidences convergentes invitant à la prudence : aucune des études de référence consultées ne confirme un effet protecteur significatif de la phytothérapie sur les complications chroniques du diabète de type 2. La tendance observée pourrait être davantage le reflet de facteurs comportementaux et sociaux associés à l'usage des plantes que d'un effet pharmacologique direct, et sa confirmation nécessiterait des études longitudinales contrôlées sur des populations de plus grande taille.</w:t>
      </w:r>
    </w:p>
    <w:p w14:paraId="644268CD"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p>
    <w:p w14:paraId="62BB72D0"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les plantes utilisés ,parties et méthode de préparation :</w:t>
      </w:r>
    </w:p>
    <w:p w14:paraId="4C307672"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Notre étude a recensé 26 espèces végétales appartenant à 16 familles botaniques. L'armoise (Artemisia herba-alba) domine très largement avec 48,75 % des utilisations, suivie de la cannelle (7,5 %), la coriandre (6,67 %) et le fenugrec (5,83 %). Les familles les plus représentées sont les Astéracées, les Lamiacées, les Apiacées, les Lauracées et les Fabacées. Les feuilles et parties aériennes constituent les parties les plus utilisées, et l'infusion ou la décoction représentent les modes de préparation dominants, par voie orale exclusive.</w:t>
      </w:r>
    </w:p>
    <w:p w14:paraId="08CEF179" w14:textId="4D4423E3" w:rsidR="006117AA" w:rsidRPr="006117AA" w:rsidRDefault="006117AA" w:rsidP="0059682C">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 xml:space="preserve">L'étude de Tlemcen a retrouvé la même dominance des Astéracées portée par l'armoise, associée à une forte représentation des Lamiacées (romarin, menthe, germandrée) et des Apiacées </w:t>
      </w:r>
      <w:r w:rsidRPr="006117AA">
        <w:rPr>
          <w:rFonts w:ascii="Times New Roman" w:eastAsia="Arial" w:hAnsi="Times New Roman" w:cs="Times New Roman"/>
          <w:szCs w:val="24"/>
          <w:lang w:val="fr-FR" w:eastAsia="fr-FR"/>
        </w:rPr>
        <w:lastRenderedPageBreak/>
        <w:t xml:space="preserve">(coriandre, fenouil), résultats superposables aux nôtres et témoignant d'une homogénéité des pratiques phytothérapeutiques à l'échelle du nord-ouest algérien. Des études menées à Batna et Sétif ont retrouvé des familles dominantes comparables (Astéracées, Lamiacées, Fabacées), avec l'armoise et le fenugrec comme espèces phares transrégionales, tandis qu'à Béjaïa les Apiacées occupent une place plus importante en lien avec la disponibilité locale du fenouil et de la coriandre sauvage. L'étude tunisienne a également retrouvé l'armoise et le fenugrec parmi les plantes les plus citées, avec une prédominance des préparations aqueuses, confirmant l'homogénéité maghrébine. Dongmo et al. </w:t>
      </w:r>
      <w:proofErr w:type="gramStart"/>
      <w:r w:rsidRPr="006117AA">
        <w:rPr>
          <w:rFonts w:ascii="Times New Roman" w:eastAsia="Arial" w:hAnsi="Times New Roman" w:cs="Times New Roman"/>
          <w:szCs w:val="24"/>
          <w:lang w:val="fr-FR" w:eastAsia="fr-FR"/>
        </w:rPr>
        <w:t>au</w:t>
      </w:r>
      <w:proofErr w:type="gramEnd"/>
      <w:r w:rsidRPr="006117AA">
        <w:rPr>
          <w:rFonts w:ascii="Times New Roman" w:eastAsia="Arial" w:hAnsi="Times New Roman" w:cs="Times New Roman"/>
          <w:szCs w:val="24"/>
          <w:lang w:val="fr-FR" w:eastAsia="fr-FR"/>
        </w:rPr>
        <w:t xml:space="preserve"> Cameroun ont recensé une diversité floristique différente mais une même logique d'utilisation des parties aériennes par voie orale. L'étude allemande se distingue par un recours à des compléments standardisés (gélules, extraits titrés), contrastant avec les préparations</w:t>
      </w:r>
      <w:r w:rsidR="0059682C">
        <w:rPr>
          <w:rFonts w:ascii="Times New Roman" w:eastAsia="Arial" w:hAnsi="Times New Roman" w:cs="Times New Roman"/>
          <w:szCs w:val="24"/>
          <w:lang w:val="fr-FR" w:eastAsia="fr-FR"/>
        </w:rPr>
        <w:t xml:space="preserve"> artisanales de notre contexte.</w:t>
      </w:r>
    </w:p>
    <w:p w14:paraId="061253C0"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3C892FBB" w14:textId="6ADA7CAA" w:rsidR="0059682C" w:rsidRDefault="0059682C" w:rsidP="0059682C">
      <w:pPr>
        <w:pStyle w:val="Caption"/>
        <w:keepNext/>
      </w:pPr>
      <w:bookmarkStart w:id="220" w:name="_Toc229617406"/>
      <w:r>
        <w:t xml:space="preserve">Tableau </w:t>
      </w:r>
      <w:r>
        <w:fldChar w:fldCharType="begin"/>
      </w:r>
      <w:r>
        <w:instrText xml:space="preserve"> SEQ Tableau \* ARABIC </w:instrText>
      </w:r>
      <w:r>
        <w:fldChar w:fldCharType="separate"/>
      </w:r>
      <w:r w:rsidR="00983108">
        <w:rPr>
          <w:noProof/>
        </w:rPr>
        <w:t>45</w:t>
      </w:r>
      <w:r>
        <w:fldChar w:fldCharType="end"/>
      </w:r>
      <w:r>
        <w:t xml:space="preserve"> </w:t>
      </w:r>
      <w:r w:rsidRPr="00200530">
        <w:t xml:space="preserve">Comparaison de population d'étude selon les plantes </w:t>
      </w:r>
      <w:proofErr w:type="gramStart"/>
      <w:r w:rsidRPr="00200530">
        <w:t>utilisés ,parties</w:t>
      </w:r>
      <w:proofErr w:type="gramEnd"/>
      <w:r w:rsidRPr="00200530">
        <w:t xml:space="preserve"> et méthode de préparation :</w:t>
      </w:r>
      <w:bookmarkEnd w:id="220"/>
    </w:p>
    <w:tbl>
      <w:tblPr>
        <w:tblStyle w:val="TableGrid2"/>
        <w:tblW w:w="9805" w:type="dxa"/>
        <w:tblLook w:val="04A0" w:firstRow="1" w:lastRow="0" w:firstColumn="1" w:lastColumn="0" w:noHBand="0" w:noVBand="1"/>
      </w:tblPr>
      <w:tblGrid>
        <w:gridCol w:w="2371"/>
        <w:gridCol w:w="3024"/>
        <w:gridCol w:w="2070"/>
        <w:gridCol w:w="2340"/>
      </w:tblGrid>
      <w:tr w:rsidR="006117AA" w:rsidRPr="006117AA" w14:paraId="24D1601B" w14:textId="77777777" w:rsidTr="006117AA">
        <w:tc>
          <w:tcPr>
            <w:tcW w:w="2371" w:type="dxa"/>
          </w:tcPr>
          <w:p w14:paraId="0823A75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3024" w:type="dxa"/>
          </w:tcPr>
          <w:p w14:paraId="5AD7B67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Famille dominante</w:t>
            </w:r>
          </w:p>
        </w:tc>
        <w:tc>
          <w:tcPr>
            <w:tcW w:w="2070" w:type="dxa"/>
          </w:tcPr>
          <w:p w14:paraId="207F780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Plante la plus citée</w:t>
            </w:r>
          </w:p>
        </w:tc>
        <w:tc>
          <w:tcPr>
            <w:tcW w:w="2340" w:type="dxa"/>
          </w:tcPr>
          <w:p w14:paraId="552C6FF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Mode de préparation</w:t>
            </w:r>
          </w:p>
        </w:tc>
      </w:tr>
      <w:tr w:rsidR="006117AA" w:rsidRPr="006117AA" w14:paraId="1534E22A" w14:textId="77777777" w:rsidTr="006117AA">
        <w:tc>
          <w:tcPr>
            <w:tcW w:w="2371" w:type="dxa"/>
          </w:tcPr>
          <w:p w14:paraId="0F60B6D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w:t>
            </w:r>
          </w:p>
        </w:tc>
        <w:tc>
          <w:tcPr>
            <w:tcW w:w="3024" w:type="dxa"/>
          </w:tcPr>
          <w:p w14:paraId="0C521C9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Astéracées (48,75 %)</w:t>
            </w:r>
          </w:p>
        </w:tc>
        <w:tc>
          <w:tcPr>
            <w:tcW w:w="2070" w:type="dxa"/>
          </w:tcPr>
          <w:p w14:paraId="451F63D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Armoise</w:t>
            </w:r>
          </w:p>
        </w:tc>
        <w:tc>
          <w:tcPr>
            <w:tcW w:w="2340" w:type="dxa"/>
          </w:tcPr>
          <w:p w14:paraId="6046BFB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Infusion / décoction</w:t>
            </w:r>
          </w:p>
        </w:tc>
      </w:tr>
      <w:tr w:rsidR="006117AA" w:rsidRPr="006117AA" w14:paraId="1A5B409A" w14:textId="77777777" w:rsidTr="006117AA">
        <w:tc>
          <w:tcPr>
            <w:tcW w:w="2371" w:type="dxa"/>
          </w:tcPr>
          <w:p w14:paraId="28D5183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3024" w:type="dxa"/>
          </w:tcPr>
          <w:p w14:paraId="120E96E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Astéracées + Lamiacées</w:t>
            </w:r>
          </w:p>
        </w:tc>
        <w:tc>
          <w:tcPr>
            <w:tcW w:w="2070" w:type="dxa"/>
          </w:tcPr>
          <w:p w14:paraId="54BEDF3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Armoise, romarin</w:t>
            </w:r>
          </w:p>
        </w:tc>
        <w:tc>
          <w:tcPr>
            <w:tcW w:w="2340" w:type="dxa"/>
          </w:tcPr>
          <w:p w14:paraId="398765D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Infusion / décoction</w:t>
            </w:r>
          </w:p>
        </w:tc>
      </w:tr>
      <w:tr w:rsidR="006117AA" w:rsidRPr="006117AA" w14:paraId="22EC7126" w14:textId="77777777" w:rsidTr="006117AA">
        <w:tc>
          <w:tcPr>
            <w:tcW w:w="2371" w:type="dxa"/>
          </w:tcPr>
          <w:p w14:paraId="39CA16B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Batna — Algérie</w:t>
            </w:r>
          </w:p>
        </w:tc>
        <w:tc>
          <w:tcPr>
            <w:tcW w:w="3024" w:type="dxa"/>
          </w:tcPr>
          <w:p w14:paraId="18D5F18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Astéracées + Fabacées</w:t>
            </w:r>
          </w:p>
        </w:tc>
        <w:tc>
          <w:tcPr>
            <w:tcW w:w="2070" w:type="dxa"/>
          </w:tcPr>
          <w:p w14:paraId="629F7E5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Armoise, fenugrec</w:t>
            </w:r>
          </w:p>
        </w:tc>
        <w:tc>
          <w:tcPr>
            <w:tcW w:w="2340" w:type="dxa"/>
          </w:tcPr>
          <w:p w14:paraId="1BBFAA1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Infusion / poudre</w:t>
            </w:r>
          </w:p>
        </w:tc>
      </w:tr>
      <w:tr w:rsidR="006117AA" w:rsidRPr="006117AA" w14:paraId="5BF70564" w14:textId="77777777" w:rsidTr="006117AA">
        <w:tc>
          <w:tcPr>
            <w:tcW w:w="2371" w:type="dxa"/>
          </w:tcPr>
          <w:p w14:paraId="63BD74E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Sétif — Algérie</w:t>
            </w:r>
          </w:p>
        </w:tc>
        <w:tc>
          <w:tcPr>
            <w:tcW w:w="3024" w:type="dxa"/>
          </w:tcPr>
          <w:p w14:paraId="763AA14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Lamiacées + Astéracées</w:t>
            </w:r>
          </w:p>
        </w:tc>
        <w:tc>
          <w:tcPr>
            <w:tcW w:w="2070" w:type="dxa"/>
          </w:tcPr>
          <w:p w14:paraId="424AE99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Romarin, sauge, armoise</w:t>
            </w:r>
          </w:p>
        </w:tc>
        <w:tc>
          <w:tcPr>
            <w:tcW w:w="2340" w:type="dxa"/>
          </w:tcPr>
          <w:p w14:paraId="4EEFAE1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Infusion / décoction</w:t>
            </w:r>
          </w:p>
        </w:tc>
      </w:tr>
      <w:tr w:rsidR="006117AA" w:rsidRPr="006117AA" w14:paraId="6B9ED69E" w14:textId="77777777" w:rsidTr="006117AA">
        <w:tc>
          <w:tcPr>
            <w:tcW w:w="2371" w:type="dxa"/>
          </w:tcPr>
          <w:p w14:paraId="2E96C76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3024" w:type="dxa"/>
          </w:tcPr>
          <w:p w14:paraId="696BF6A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Astéracées + Fabacées</w:t>
            </w:r>
          </w:p>
        </w:tc>
        <w:tc>
          <w:tcPr>
            <w:tcW w:w="2070" w:type="dxa"/>
          </w:tcPr>
          <w:p w14:paraId="6DE3699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Armoise, fenugrec</w:t>
            </w:r>
          </w:p>
        </w:tc>
        <w:tc>
          <w:tcPr>
            <w:tcW w:w="2340" w:type="dxa"/>
          </w:tcPr>
          <w:p w14:paraId="4857CEA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Infusion / décoction</w:t>
            </w:r>
          </w:p>
        </w:tc>
      </w:tr>
      <w:tr w:rsidR="006117AA" w:rsidRPr="006117AA" w14:paraId="559F1751" w14:textId="77777777" w:rsidTr="006117AA">
        <w:tc>
          <w:tcPr>
            <w:tcW w:w="2371" w:type="dxa"/>
          </w:tcPr>
          <w:p w14:paraId="479C6D5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3024" w:type="dxa"/>
          </w:tcPr>
          <w:p w14:paraId="571AE1C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Espèces locales africaines</w:t>
            </w:r>
          </w:p>
        </w:tc>
        <w:tc>
          <w:tcPr>
            <w:tcW w:w="2070" w:type="dxa"/>
          </w:tcPr>
          <w:p w14:paraId="3D54FE0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Espèces locales</w:t>
            </w:r>
          </w:p>
        </w:tc>
        <w:tc>
          <w:tcPr>
            <w:tcW w:w="2340" w:type="dxa"/>
          </w:tcPr>
          <w:p w14:paraId="00A1AE0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Parties aériennes, oral</w:t>
            </w:r>
          </w:p>
        </w:tc>
      </w:tr>
      <w:tr w:rsidR="006117AA" w:rsidRPr="006117AA" w14:paraId="049576D1" w14:textId="77777777" w:rsidTr="006117AA">
        <w:tc>
          <w:tcPr>
            <w:tcW w:w="2371" w:type="dxa"/>
          </w:tcPr>
          <w:p w14:paraId="534E5C2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3024" w:type="dxa"/>
          </w:tcPr>
          <w:p w14:paraId="00327F1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Compléments standardisés</w:t>
            </w:r>
          </w:p>
        </w:tc>
        <w:tc>
          <w:tcPr>
            <w:tcW w:w="2070" w:type="dxa"/>
          </w:tcPr>
          <w:p w14:paraId="2C435CC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Extraits titrés</w:t>
            </w:r>
          </w:p>
        </w:tc>
        <w:tc>
          <w:tcPr>
            <w:tcW w:w="2340" w:type="dxa"/>
          </w:tcPr>
          <w:p w14:paraId="2F4BA8B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Gélules / extraits</w:t>
            </w:r>
          </w:p>
        </w:tc>
      </w:tr>
    </w:tbl>
    <w:p w14:paraId="74FBD1B7" w14:textId="3BF90C82" w:rsidR="006117AA" w:rsidRDefault="006117AA" w:rsidP="006117AA">
      <w:pPr>
        <w:spacing w:before="80" w:after="80" w:line="360" w:lineRule="auto"/>
        <w:jc w:val="both"/>
        <w:rPr>
          <w:rFonts w:ascii="Times New Roman" w:eastAsia="Arial" w:hAnsi="Times New Roman" w:cs="Times New Roman"/>
          <w:szCs w:val="24"/>
          <w:lang w:val="fr-FR" w:eastAsia="fr-FR"/>
        </w:rPr>
      </w:pPr>
    </w:p>
    <w:p w14:paraId="5C61B410" w14:textId="2B45A5AD" w:rsidR="006117AA" w:rsidRDefault="006117AA" w:rsidP="006117AA">
      <w:pPr>
        <w:spacing w:before="80" w:after="80" w:line="360" w:lineRule="auto"/>
        <w:jc w:val="both"/>
        <w:rPr>
          <w:rFonts w:ascii="Times New Roman" w:eastAsia="Arial" w:hAnsi="Times New Roman" w:cs="Times New Roman"/>
          <w:szCs w:val="24"/>
          <w:lang w:val="fr-FR" w:eastAsia="fr-FR"/>
        </w:rPr>
      </w:pPr>
    </w:p>
    <w:p w14:paraId="29F1ABDA" w14:textId="375A810B" w:rsidR="006117AA" w:rsidRDefault="006117AA" w:rsidP="006117AA">
      <w:pPr>
        <w:spacing w:before="80" w:after="80" w:line="360" w:lineRule="auto"/>
        <w:jc w:val="both"/>
        <w:rPr>
          <w:rFonts w:ascii="Times New Roman" w:eastAsia="Arial" w:hAnsi="Times New Roman" w:cs="Times New Roman"/>
          <w:szCs w:val="24"/>
          <w:lang w:val="fr-FR" w:eastAsia="fr-FR"/>
        </w:rPr>
      </w:pPr>
    </w:p>
    <w:p w14:paraId="26155B57"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7BA9569B"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lastRenderedPageBreak/>
        <w:t>selon</w:t>
      </w:r>
      <w:proofErr w:type="gramEnd"/>
      <w:r w:rsidRPr="006117AA">
        <w:rPr>
          <w:rFonts w:ascii="Times New Roman" w:eastAsia="Arial" w:hAnsi="Times New Roman" w:cs="Times New Roman"/>
          <w:b/>
          <w:bCs/>
          <w:sz w:val="40"/>
          <w:szCs w:val="40"/>
          <w:lang w:val="fr-FR" w:eastAsia="fr-FR"/>
        </w:rPr>
        <w:t xml:space="preserve"> le nombre des plantes utilisés:</w:t>
      </w:r>
    </w:p>
    <w:p w14:paraId="2A6C85B3"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La majorité des patients utilisent une seule plante (60,1 %), 23,4 % en utilisent deux, et seulement 3,8 % en utilisent quatre ou plus. Cette prédominance de la monothérapie phytothérapeutique traduit une prudence empirique et une limitation des connaissances populaires sur les associations végétales.</w:t>
      </w:r>
    </w:p>
    <w:p w14:paraId="2051F494"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L'étude de Tlemcen a retrouvé une même tendance à la monoutilisation, avec plus de 55 % des patients recourant à une seule plante à la fois, résultat concordant avec le nôtre. L'étude tunisienne a confirmé cette tendance. L'étude camerounaise a retrouvé une proportion plus élevée d'associations de deux à trois plantes, possiblement liée à une plus grande diversité floristique locale et à des traditions de médecine traditionnelle plus structurées. L'étude allemande, avec ses compléments standardisés, montre des associations plus formalisées de principes actifs, non comparables aux préparations artisanales.</w:t>
      </w:r>
    </w:p>
    <w:p w14:paraId="03208F5C" w14:textId="708D4CFE"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3FC45EDB" w14:textId="7658EC0B" w:rsidR="0059682C" w:rsidRDefault="0059682C" w:rsidP="0059682C">
      <w:pPr>
        <w:pStyle w:val="Caption"/>
        <w:keepNext/>
      </w:pPr>
      <w:bookmarkStart w:id="221" w:name="_Toc229617407"/>
      <w:r>
        <w:t xml:space="preserve">Tableau </w:t>
      </w:r>
      <w:r>
        <w:fldChar w:fldCharType="begin"/>
      </w:r>
      <w:r>
        <w:instrText xml:space="preserve"> SEQ Tableau \* ARABIC </w:instrText>
      </w:r>
      <w:r>
        <w:fldChar w:fldCharType="separate"/>
      </w:r>
      <w:r w:rsidR="00983108">
        <w:rPr>
          <w:noProof/>
        </w:rPr>
        <w:t>46</w:t>
      </w:r>
      <w:r>
        <w:fldChar w:fldCharType="end"/>
      </w:r>
      <w:r>
        <w:t xml:space="preserve"> </w:t>
      </w:r>
      <w:r w:rsidRPr="00CE71D3">
        <w:t xml:space="preserve">: Comparaison de population d'étude selon le nombre des plantes </w:t>
      </w:r>
      <w:proofErr w:type="gramStart"/>
      <w:r w:rsidRPr="00CE71D3">
        <w:t>utilisés:</w:t>
      </w:r>
      <w:bookmarkEnd w:id="221"/>
      <w:proofErr w:type="gramEnd"/>
    </w:p>
    <w:tbl>
      <w:tblPr>
        <w:tblStyle w:val="TableGrid2"/>
        <w:tblW w:w="9175" w:type="dxa"/>
        <w:tblLook w:val="04A0" w:firstRow="1" w:lastRow="0" w:firstColumn="1" w:lastColumn="0" w:noHBand="0" w:noVBand="1"/>
      </w:tblPr>
      <w:tblGrid>
        <w:gridCol w:w="3200"/>
        <w:gridCol w:w="2080"/>
        <w:gridCol w:w="3895"/>
      </w:tblGrid>
      <w:tr w:rsidR="006117AA" w:rsidRPr="006117AA" w14:paraId="5C81136D" w14:textId="77777777" w:rsidTr="006117AA">
        <w:tc>
          <w:tcPr>
            <w:tcW w:w="3200" w:type="dxa"/>
          </w:tcPr>
          <w:p w14:paraId="13287BB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2080" w:type="dxa"/>
          </w:tcPr>
          <w:p w14:paraId="131FC7C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Une seule plante</w:t>
            </w:r>
          </w:p>
        </w:tc>
        <w:tc>
          <w:tcPr>
            <w:tcW w:w="3895" w:type="dxa"/>
          </w:tcPr>
          <w:p w14:paraId="4540A83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Deux plantes ou plus</w:t>
            </w:r>
          </w:p>
        </w:tc>
      </w:tr>
      <w:tr w:rsidR="006117AA" w:rsidRPr="006117AA" w14:paraId="56184B66" w14:textId="77777777" w:rsidTr="006117AA">
        <w:tc>
          <w:tcPr>
            <w:tcW w:w="3200" w:type="dxa"/>
          </w:tcPr>
          <w:p w14:paraId="5ED31C3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w:t>
            </w:r>
          </w:p>
        </w:tc>
        <w:tc>
          <w:tcPr>
            <w:tcW w:w="2080" w:type="dxa"/>
          </w:tcPr>
          <w:p w14:paraId="63EDEE6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60,1 %</w:t>
            </w:r>
          </w:p>
        </w:tc>
        <w:tc>
          <w:tcPr>
            <w:tcW w:w="3895" w:type="dxa"/>
          </w:tcPr>
          <w:p w14:paraId="39DFB46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39,9 %</w:t>
            </w:r>
          </w:p>
        </w:tc>
      </w:tr>
      <w:tr w:rsidR="006117AA" w:rsidRPr="006117AA" w14:paraId="00E7778C" w14:textId="77777777" w:rsidTr="006117AA">
        <w:tc>
          <w:tcPr>
            <w:tcW w:w="3200" w:type="dxa"/>
          </w:tcPr>
          <w:p w14:paraId="7D11778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2080" w:type="dxa"/>
          </w:tcPr>
          <w:p w14:paraId="22241A7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&gt; 55 %</w:t>
            </w:r>
          </w:p>
        </w:tc>
        <w:tc>
          <w:tcPr>
            <w:tcW w:w="3895" w:type="dxa"/>
          </w:tcPr>
          <w:p w14:paraId="5E19052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&lt; 45 %</w:t>
            </w:r>
          </w:p>
        </w:tc>
      </w:tr>
      <w:tr w:rsidR="006117AA" w:rsidRPr="006117AA" w14:paraId="1FE32617" w14:textId="77777777" w:rsidTr="006117AA">
        <w:tc>
          <w:tcPr>
            <w:tcW w:w="3200" w:type="dxa"/>
          </w:tcPr>
          <w:p w14:paraId="4AE1E92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2080" w:type="dxa"/>
          </w:tcPr>
          <w:p w14:paraId="57BB9A2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Majorité</w:t>
            </w:r>
          </w:p>
        </w:tc>
        <w:tc>
          <w:tcPr>
            <w:tcW w:w="3895" w:type="dxa"/>
          </w:tcPr>
          <w:p w14:paraId="5316771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Minorité</w:t>
            </w:r>
          </w:p>
        </w:tc>
      </w:tr>
      <w:tr w:rsidR="006117AA" w:rsidRPr="006117AA" w14:paraId="55787E4C" w14:textId="77777777" w:rsidTr="006117AA">
        <w:tc>
          <w:tcPr>
            <w:tcW w:w="3200" w:type="dxa"/>
          </w:tcPr>
          <w:p w14:paraId="6839027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2080" w:type="dxa"/>
          </w:tcPr>
          <w:p w14:paraId="6E1F8AD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Minorité</w:t>
            </w:r>
          </w:p>
        </w:tc>
        <w:tc>
          <w:tcPr>
            <w:tcW w:w="3895" w:type="dxa"/>
          </w:tcPr>
          <w:p w14:paraId="4B1DE8C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Associations plus fréquentes</w:t>
            </w:r>
          </w:p>
        </w:tc>
      </w:tr>
      <w:tr w:rsidR="006117AA" w:rsidRPr="006117AA" w14:paraId="2E4BA0E3" w14:textId="77777777" w:rsidTr="006117AA">
        <w:tc>
          <w:tcPr>
            <w:tcW w:w="3200" w:type="dxa"/>
          </w:tcPr>
          <w:p w14:paraId="0A921F8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2080" w:type="dxa"/>
          </w:tcPr>
          <w:p w14:paraId="22D113F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Associations standardisées</w:t>
            </w:r>
          </w:p>
        </w:tc>
        <w:tc>
          <w:tcPr>
            <w:tcW w:w="3895" w:type="dxa"/>
          </w:tcPr>
          <w:p w14:paraId="49F7462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w:t>
            </w:r>
          </w:p>
        </w:tc>
      </w:tr>
    </w:tbl>
    <w:p w14:paraId="2667DFF6"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7A079C62"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les motivations de l'utilisation </w:t>
      </w:r>
    </w:p>
    <w:p w14:paraId="11074867"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 xml:space="preserve"> Le motif principal d'utilisation dans notre étude est l'expérience positive d'un proche (78,6 %), suivi de la facilité d'obtention (13,2 %) et de la perception de moins d'effets secondaires (7,6 %). Ces résultats confirment la prédominance du facteur social sur le facteur médical dans l'adoption de la phytothérapie.</w:t>
      </w:r>
    </w:p>
    <w:p w14:paraId="5F714100"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lastRenderedPageBreak/>
        <w:t xml:space="preserve">L'étude de Tlemcen a retrouvé la même dominance du facteur social, avec la recommandation par l'entourage familial comme principal motif d'adoption, suivie de la perception d'une meilleure tolérance et de la disponibilité locale des plantes. L'étude tunisienne a confirmé le rôle central de l'entourage familial et la perception d'un traitement naturel mieux toléré. Dongmo et al. </w:t>
      </w:r>
      <w:proofErr w:type="gramStart"/>
      <w:r w:rsidRPr="006117AA">
        <w:rPr>
          <w:rFonts w:ascii="Times New Roman" w:eastAsia="Arial" w:hAnsi="Times New Roman" w:cs="Times New Roman"/>
          <w:szCs w:val="24"/>
          <w:lang w:val="fr-FR" w:eastAsia="fr-FR"/>
        </w:rPr>
        <w:t>ont</w:t>
      </w:r>
      <w:proofErr w:type="gramEnd"/>
      <w:r w:rsidRPr="006117AA">
        <w:rPr>
          <w:rFonts w:ascii="Times New Roman" w:eastAsia="Arial" w:hAnsi="Times New Roman" w:cs="Times New Roman"/>
          <w:szCs w:val="24"/>
          <w:lang w:val="fr-FR" w:eastAsia="fr-FR"/>
        </w:rPr>
        <w:t xml:space="preserve"> identifié en plus le coût moindre des plantes comme facteur déterminant dans le contexte camerounais, moins prégnant dans notre série où les médicaments antidiabétiques sont subventionnés. L'étude allemande a mis en évidence une motivation davantage orientée vers une démarche proactive de santé et une insatisfaction vis-à-vis de la médecine conventionnelle, contrastant avec la logique de transmission familiale prédominante dans notre contexte.</w:t>
      </w:r>
    </w:p>
    <w:p w14:paraId="16D795F0" w14:textId="271831E1" w:rsidR="006117AA" w:rsidRPr="006117AA" w:rsidRDefault="006117AA" w:rsidP="0059682C">
      <w:pPr>
        <w:spacing w:before="80" w:after="80" w:line="360" w:lineRule="auto"/>
        <w:jc w:val="both"/>
        <w:rPr>
          <w:rFonts w:ascii="Times New Roman" w:eastAsia="Arial" w:hAnsi="Times New Roman" w:cs="Times New Roman"/>
          <w:szCs w:val="24"/>
          <w:lang w:val="fr-FR" w:eastAsia="fr-FR"/>
        </w:rPr>
      </w:pPr>
    </w:p>
    <w:p w14:paraId="0CBD70CA" w14:textId="161DD5B9" w:rsidR="0059682C" w:rsidRDefault="0059682C" w:rsidP="0059682C">
      <w:pPr>
        <w:pStyle w:val="Caption"/>
        <w:keepNext/>
      </w:pPr>
      <w:bookmarkStart w:id="222" w:name="_Toc229617408"/>
      <w:r>
        <w:t xml:space="preserve">Tableau </w:t>
      </w:r>
      <w:r>
        <w:fldChar w:fldCharType="begin"/>
      </w:r>
      <w:r>
        <w:instrText xml:space="preserve"> SEQ Tableau \* ARABIC </w:instrText>
      </w:r>
      <w:r>
        <w:fldChar w:fldCharType="separate"/>
      </w:r>
      <w:r w:rsidR="00983108">
        <w:rPr>
          <w:noProof/>
        </w:rPr>
        <w:t>47</w:t>
      </w:r>
      <w:r>
        <w:fldChar w:fldCharType="end"/>
      </w:r>
      <w:r>
        <w:t xml:space="preserve"> </w:t>
      </w:r>
      <w:r w:rsidRPr="003D7E1D">
        <w:t xml:space="preserve">Comparaison de population d'étude selon les motivants de </w:t>
      </w:r>
      <w:proofErr w:type="gramStart"/>
      <w:r w:rsidRPr="003D7E1D">
        <w:t>l'utilisation:</w:t>
      </w:r>
      <w:bookmarkEnd w:id="222"/>
      <w:proofErr w:type="gramEnd"/>
    </w:p>
    <w:tbl>
      <w:tblPr>
        <w:tblStyle w:val="TableGrid2"/>
        <w:tblW w:w="9175" w:type="dxa"/>
        <w:tblLook w:val="04A0" w:firstRow="1" w:lastRow="0" w:firstColumn="1" w:lastColumn="0" w:noHBand="0" w:noVBand="1"/>
      </w:tblPr>
      <w:tblGrid>
        <w:gridCol w:w="3500"/>
        <w:gridCol w:w="5675"/>
      </w:tblGrid>
      <w:tr w:rsidR="006117AA" w:rsidRPr="006117AA" w14:paraId="7D2589F2" w14:textId="77777777" w:rsidTr="006117AA">
        <w:tc>
          <w:tcPr>
            <w:tcW w:w="3500" w:type="dxa"/>
          </w:tcPr>
          <w:p w14:paraId="679FD21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5675" w:type="dxa"/>
          </w:tcPr>
          <w:p w14:paraId="794C3F4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Motivation principale</w:t>
            </w:r>
          </w:p>
        </w:tc>
      </w:tr>
      <w:tr w:rsidR="006117AA" w:rsidRPr="006117AA" w14:paraId="7E0C1D19" w14:textId="77777777" w:rsidTr="006117AA">
        <w:tc>
          <w:tcPr>
            <w:tcW w:w="3500" w:type="dxa"/>
          </w:tcPr>
          <w:p w14:paraId="2429F76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w:t>
            </w:r>
          </w:p>
        </w:tc>
        <w:tc>
          <w:tcPr>
            <w:tcW w:w="5675" w:type="dxa"/>
          </w:tcPr>
          <w:p w14:paraId="7906342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Expérience d'un proche (78,6 %)</w:t>
            </w:r>
          </w:p>
        </w:tc>
      </w:tr>
      <w:tr w:rsidR="006117AA" w:rsidRPr="006117AA" w14:paraId="2C474AE1" w14:textId="77777777" w:rsidTr="006117AA">
        <w:tc>
          <w:tcPr>
            <w:tcW w:w="3500" w:type="dxa"/>
          </w:tcPr>
          <w:p w14:paraId="31C5536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5675" w:type="dxa"/>
          </w:tcPr>
          <w:p w14:paraId="7A1C571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Recommandation familiale + tolérance perçue</w:t>
            </w:r>
          </w:p>
        </w:tc>
      </w:tr>
      <w:tr w:rsidR="006117AA" w:rsidRPr="00116A61" w14:paraId="3AFFD5E4" w14:textId="77777777" w:rsidTr="006117AA">
        <w:tc>
          <w:tcPr>
            <w:tcW w:w="3500" w:type="dxa"/>
          </w:tcPr>
          <w:p w14:paraId="4610751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5675" w:type="dxa"/>
          </w:tcPr>
          <w:p w14:paraId="006843D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Entourage familial + nature perçue comme sûre</w:t>
            </w:r>
          </w:p>
        </w:tc>
      </w:tr>
      <w:tr w:rsidR="006117AA" w:rsidRPr="006117AA" w14:paraId="1C34C652" w14:textId="77777777" w:rsidTr="006117AA">
        <w:tc>
          <w:tcPr>
            <w:tcW w:w="3500" w:type="dxa"/>
          </w:tcPr>
          <w:p w14:paraId="03BD618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5675" w:type="dxa"/>
          </w:tcPr>
          <w:p w14:paraId="1354184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Entourage + coût moindre</w:t>
            </w:r>
          </w:p>
        </w:tc>
      </w:tr>
      <w:tr w:rsidR="006117AA" w:rsidRPr="00116A61" w14:paraId="5A3FCF4E" w14:textId="77777777" w:rsidTr="006117AA">
        <w:tc>
          <w:tcPr>
            <w:tcW w:w="3500" w:type="dxa"/>
          </w:tcPr>
          <w:p w14:paraId="2FA8FFC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5675" w:type="dxa"/>
          </w:tcPr>
          <w:p w14:paraId="0169FDF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Démarche proactive + insatisfaction du traitement</w:t>
            </w:r>
          </w:p>
        </w:tc>
      </w:tr>
    </w:tbl>
    <w:p w14:paraId="5D00CB7C"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028B4BC9"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les obstacles à utilisés:</w:t>
      </w:r>
    </w:p>
    <w:p w14:paraId="34E71B89"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Chez les 93 non-utilisateurs, les principaux freins sont la peur des effets secondaires (38,7 %) et le manque d'informations fiables (28,0 %), suivis de la présence de comorbidités (15,1 %) et des expériences négatives antérieures (10,8 %). La non-recommandation médicale n'est citée que par 3,2 % des patients.</w:t>
      </w:r>
    </w:p>
    <w:p w14:paraId="2118357C"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 xml:space="preserve">L'étude de Tlemcen a retrouvé des obstacles similaires, avec la crainte des effets indésirables et le manque d'information comme freins dominants, auxquels s'ajoute la méfiance vis-à-vis de la qualité et de la standardisation des produits phytothérapeutiques disponibles sur le marché local. L'étude tunisienne a retrouvé les mêmes obstacles, dominés par la crainte d'interactions avec le traitement conventionnel. L'étude camerounaise a rapporté que l'éloignement géographique des herboristes constituait un frein supplémentaire en milieu rural, non retrouvé dans notre série </w:t>
      </w:r>
      <w:r w:rsidRPr="006117AA">
        <w:rPr>
          <w:rFonts w:ascii="Times New Roman" w:eastAsia="Arial" w:hAnsi="Times New Roman" w:cs="Times New Roman"/>
          <w:szCs w:val="24"/>
          <w:lang w:val="fr-FR" w:eastAsia="fr-FR"/>
        </w:rPr>
        <w:lastRenderedPageBreak/>
        <w:t>majoritairement urbaine. L'étude allemande a mis en avant la non-recommandation médicale comme obstacle principal, à l'inverse de notre population où ce frein est le moins fréquent, traduisant une relation médecin-patient différente selon les contextes culturels.</w:t>
      </w:r>
    </w:p>
    <w:p w14:paraId="38C890F1" w14:textId="3123A8E4"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20BF3DEE" w14:textId="759265E4" w:rsidR="0059682C" w:rsidRDefault="0059682C" w:rsidP="0059682C">
      <w:pPr>
        <w:pStyle w:val="Caption"/>
        <w:keepNext/>
      </w:pPr>
      <w:bookmarkStart w:id="223" w:name="_Toc229617409"/>
      <w:r>
        <w:t xml:space="preserve">Tableau </w:t>
      </w:r>
      <w:r>
        <w:fldChar w:fldCharType="begin"/>
      </w:r>
      <w:r>
        <w:instrText xml:space="preserve"> SEQ Tableau \* ARABIC </w:instrText>
      </w:r>
      <w:r>
        <w:fldChar w:fldCharType="separate"/>
      </w:r>
      <w:r w:rsidR="00983108">
        <w:rPr>
          <w:noProof/>
        </w:rPr>
        <w:t>48</w:t>
      </w:r>
      <w:r>
        <w:fldChar w:fldCharType="end"/>
      </w:r>
      <w:r>
        <w:t xml:space="preserve"> </w:t>
      </w:r>
      <w:r w:rsidRPr="001231A9">
        <w:t>Comparaison de population d'étude selon les obstacles à utilisé</w:t>
      </w:r>
      <w:bookmarkEnd w:id="223"/>
    </w:p>
    <w:tbl>
      <w:tblPr>
        <w:tblStyle w:val="TableGrid2"/>
        <w:tblW w:w="8995" w:type="dxa"/>
        <w:tblLook w:val="04A0" w:firstRow="1" w:lastRow="0" w:firstColumn="1" w:lastColumn="0" w:noHBand="0" w:noVBand="1"/>
      </w:tblPr>
      <w:tblGrid>
        <w:gridCol w:w="3145"/>
        <w:gridCol w:w="3240"/>
        <w:gridCol w:w="2610"/>
      </w:tblGrid>
      <w:tr w:rsidR="006117AA" w:rsidRPr="006117AA" w14:paraId="3F54D417" w14:textId="77777777" w:rsidTr="006117AA">
        <w:tc>
          <w:tcPr>
            <w:tcW w:w="3145" w:type="dxa"/>
          </w:tcPr>
          <w:p w14:paraId="016D3E8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3240" w:type="dxa"/>
          </w:tcPr>
          <w:p w14:paraId="5705684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Obstacle principal</w:t>
            </w:r>
          </w:p>
        </w:tc>
        <w:tc>
          <w:tcPr>
            <w:tcW w:w="2610" w:type="dxa"/>
          </w:tcPr>
          <w:p w14:paraId="057D9F4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Obstacle secondaire</w:t>
            </w:r>
          </w:p>
        </w:tc>
      </w:tr>
      <w:tr w:rsidR="006117AA" w:rsidRPr="006117AA" w14:paraId="43D5E724" w14:textId="77777777" w:rsidTr="006117AA">
        <w:tc>
          <w:tcPr>
            <w:tcW w:w="3145" w:type="dxa"/>
          </w:tcPr>
          <w:p w14:paraId="34595A0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w:t>
            </w:r>
          </w:p>
        </w:tc>
        <w:tc>
          <w:tcPr>
            <w:tcW w:w="3240" w:type="dxa"/>
          </w:tcPr>
          <w:p w14:paraId="62DEEEE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Peur effets secondaires (38,7 %)</w:t>
            </w:r>
          </w:p>
        </w:tc>
        <w:tc>
          <w:tcPr>
            <w:tcW w:w="2610" w:type="dxa"/>
          </w:tcPr>
          <w:p w14:paraId="1D7F9DD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Manque d'informations (28,0 %)</w:t>
            </w:r>
          </w:p>
        </w:tc>
      </w:tr>
      <w:tr w:rsidR="006117AA" w:rsidRPr="006117AA" w14:paraId="3908BA12" w14:textId="77777777" w:rsidTr="006117AA">
        <w:tc>
          <w:tcPr>
            <w:tcW w:w="3145" w:type="dxa"/>
          </w:tcPr>
          <w:p w14:paraId="00111AD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3240" w:type="dxa"/>
          </w:tcPr>
          <w:p w14:paraId="2B40280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Peur effets secondaires</w:t>
            </w:r>
          </w:p>
        </w:tc>
        <w:tc>
          <w:tcPr>
            <w:tcW w:w="2610" w:type="dxa"/>
          </w:tcPr>
          <w:p w14:paraId="574CD15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Manque d'information + qualité produits</w:t>
            </w:r>
          </w:p>
        </w:tc>
      </w:tr>
      <w:tr w:rsidR="006117AA" w:rsidRPr="006117AA" w14:paraId="06D27A4D" w14:textId="77777777" w:rsidTr="006117AA">
        <w:tc>
          <w:tcPr>
            <w:tcW w:w="3145" w:type="dxa"/>
          </w:tcPr>
          <w:p w14:paraId="1ED723D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3240" w:type="dxa"/>
          </w:tcPr>
          <w:p w14:paraId="3E87177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Crainte d'interactions</w:t>
            </w:r>
          </w:p>
        </w:tc>
        <w:tc>
          <w:tcPr>
            <w:tcW w:w="2610" w:type="dxa"/>
          </w:tcPr>
          <w:p w14:paraId="5F9C360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Manque d'information</w:t>
            </w:r>
          </w:p>
        </w:tc>
      </w:tr>
      <w:tr w:rsidR="006117AA" w:rsidRPr="006117AA" w14:paraId="64EDE9BF" w14:textId="77777777" w:rsidTr="006117AA">
        <w:tc>
          <w:tcPr>
            <w:tcW w:w="3145" w:type="dxa"/>
          </w:tcPr>
          <w:p w14:paraId="53AA8CD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3240" w:type="dxa"/>
          </w:tcPr>
          <w:p w14:paraId="50E964F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Éloignement géographique (rural)</w:t>
            </w:r>
          </w:p>
        </w:tc>
        <w:tc>
          <w:tcPr>
            <w:tcW w:w="2610" w:type="dxa"/>
          </w:tcPr>
          <w:p w14:paraId="24D39AF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Crainte effets indésirables</w:t>
            </w:r>
          </w:p>
        </w:tc>
      </w:tr>
      <w:tr w:rsidR="006117AA" w:rsidRPr="006117AA" w14:paraId="3A8DCA88" w14:textId="77777777" w:rsidTr="006117AA">
        <w:tc>
          <w:tcPr>
            <w:tcW w:w="3145" w:type="dxa"/>
          </w:tcPr>
          <w:p w14:paraId="162D3EA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3240" w:type="dxa"/>
          </w:tcPr>
          <w:p w14:paraId="60CA10B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Non-recommandation médicale</w:t>
            </w:r>
          </w:p>
        </w:tc>
        <w:tc>
          <w:tcPr>
            <w:tcW w:w="2610" w:type="dxa"/>
          </w:tcPr>
          <w:p w14:paraId="42F1351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w:t>
            </w:r>
          </w:p>
        </w:tc>
      </w:tr>
    </w:tbl>
    <w:p w14:paraId="41B6B330" w14:textId="0B5904F5"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le source d'approvisionnement  :</w:t>
      </w:r>
    </w:p>
    <w:p w14:paraId="19051EDE"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Les herboristes constituent la principale source d'approvisionnement dans notre série (53,2 %), suivis de très près par la cueillette directe (46,2 %), le pharmacien n'étant presque jamais sollicité (0,6 %). Ce résultat illustre la quasi-absence d'intégration de la phytothérapie dans les circuits pharmaceutiques formels.</w:t>
      </w:r>
    </w:p>
    <w:p w14:paraId="5BB30238" w14:textId="6F535E98"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 xml:space="preserve">L'étude de Tlemcen a retrouvé la même prédominance des herboristes comme source principale, avec une proportion comparable de patients pratiquant la cueillette directe dans les zones périurbaines et rurales environnantes, et une quasi-absence du pharmacien dans les circuits d'approvisionnement. L'étude tunisienne a retrouvé une prédominance similaire des herboristes et marchés traditionnels. Dongmo et al. </w:t>
      </w:r>
      <w:proofErr w:type="gramStart"/>
      <w:r w:rsidRPr="006117AA">
        <w:rPr>
          <w:rFonts w:ascii="Times New Roman" w:eastAsia="Arial" w:hAnsi="Times New Roman" w:cs="Times New Roman"/>
          <w:szCs w:val="24"/>
          <w:lang w:val="fr-FR" w:eastAsia="fr-FR"/>
        </w:rPr>
        <w:t>ont</w:t>
      </w:r>
      <w:proofErr w:type="gramEnd"/>
      <w:r w:rsidRPr="006117AA">
        <w:rPr>
          <w:rFonts w:ascii="Times New Roman" w:eastAsia="Arial" w:hAnsi="Times New Roman" w:cs="Times New Roman"/>
          <w:szCs w:val="24"/>
          <w:lang w:val="fr-FR" w:eastAsia="fr-FR"/>
        </w:rPr>
        <w:t xml:space="preserve"> rapporté une importance encore plus marquée de la cueillette dans le contexte camerounais rural. L'étude allemande se distingue nettement, avec un approvisionnement majoritairement en pharmacie ou magasins spécialisés, reflétant une phytothérapie encadrée réglementairement.</w:t>
      </w:r>
    </w:p>
    <w:p w14:paraId="1D7CCF41" w14:textId="7752581D" w:rsidR="006117AA" w:rsidRPr="006117AA" w:rsidRDefault="006117AA" w:rsidP="0059682C">
      <w:pPr>
        <w:spacing w:before="80" w:after="80" w:line="360" w:lineRule="auto"/>
        <w:jc w:val="both"/>
        <w:rPr>
          <w:rFonts w:ascii="Times New Roman" w:eastAsia="Arial" w:hAnsi="Times New Roman" w:cs="Times New Roman"/>
          <w:szCs w:val="24"/>
          <w:lang w:val="fr-FR" w:eastAsia="fr-FR"/>
        </w:rPr>
      </w:pPr>
    </w:p>
    <w:p w14:paraId="5550C2FD" w14:textId="1DA4D6D4" w:rsidR="0059682C" w:rsidRDefault="0059682C" w:rsidP="0059682C">
      <w:pPr>
        <w:pStyle w:val="Caption"/>
        <w:keepNext/>
      </w:pPr>
      <w:bookmarkStart w:id="224" w:name="_Toc229617410"/>
      <w:r>
        <w:t xml:space="preserve">Tableau </w:t>
      </w:r>
      <w:r>
        <w:fldChar w:fldCharType="begin"/>
      </w:r>
      <w:r>
        <w:instrText xml:space="preserve"> SEQ Tableau \* ARABIC </w:instrText>
      </w:r>
      <w:r>
        <w:fldChar w:fldCharType="separate"/>
      </w:r>
      <w:r w:rsidR="00983108">
        <w:rPr>
          <w:noProof/>
        </w:rPr>
        <w:t>49</w:t>
      </w:r>
      <w:r>
        <w:fldChar w:fldCharType="end"/>
      </w:r>
      <w:r>
        <w:t xml:space="preserve"> </w:t>
      </w:r>
      <w:r w:rsidRPr="000A267B">
        <w:t xml:space="preserve">Comparaison de population d'étude selon le source </w:t>
      </w:r>
      <w:proofErr w:type="gramStart"/>
      <w:r w:rsidRPr="000A267B">
        <w:t>d'approvisionnement:</w:t>
      </w:r>
      <w:bookmarkEnd w:id="224"/>
      <w:proofErr w:type="gramEnd"/>
    </w:p>
    <w:tbl>
      <w:tblPr>
        <w:tblStyle w:val="TableGrid2"/>
        <w:tblW w:w="9085" w:type="dxa"/>
        <w:tblLook w:val="04A0" w:firstRow="1" w:lastRow="0" w:firstColumn="1" w:lastColumn="0" w:noHBand="0" w:noVBand="1"/>
      </w:tblPr>
      <w:tblGrid>
        <w:gridCol w:w="3055"/>
        <w:gridCol w:w="3690"/>
        <w:gridCol w:w="2340"/>
      </w:tblGrid>
      <w:tr w:rsidR="006117AA" w:rsidRPr="006117AA" w14:paraId="17F8EB55" w14:textId="77777777" w:rsidTr="006117AA">
        <w:tc>
          <w:tcPr>
            <w:tcW w:w="3055" w:type="dxa"/>
          </w:tcPr>
          <w:p w14:paraId="5827B12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3690" w:type="dxa"/>
          </w:tcPr>
          <w:p w14:paraId="05C3018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Source principale</w:t>
            </w:r>
          </w:p>
        </w:tc>
        <w:tc>
          <w:tcPr>
            <w:tcW w:w="2340" w:type="dxa"/>
          </w:tcPr>
          <w:p w14:paraId="251E56E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Pharmacien</w:t>
            </w:r>
          </w:p>
        </w:tc>
      </w:tr>
      <w:tr w:rsidR="006117AA" w:rsidRPr="006117AA" w14:paraId="0FFB44EA" w14:textId="77777777" w:rsidTr="006117AA">
        <w:tc>
          <w:tcPr>
            <w:tcW w:w="3055" w:type="dxa"/>
          </w:tcPr>
          <w:p w14:paraId="4368E8A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lastRenderedPageBreak/>
              <w:t>Notre étude — Laghouat</w:t>
            </w:r>
          </w:p>
        </w:tc>
        <w:tc>
          <w:tcPr>
            <w:tcW w:w="3690" w:type="dxa"/>
          </w:tcPr>
          <w:p w14:paraId="2AB33C0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Herboriste (53,2 %), cueillette (46,2 %)</w:t>
            </w:r>
          </w:p>
        </w:tc>
        <w:tc>
          <w:tcPr>
            <w:tcW w:w="2340" w:type="dxa"/>
          </w:tcPr>
          <w:p w14:paraId="3912595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0,6 %</w:t>
            </w:r>
          </w:p>
        </w:tc>
      </w:tr>
      <w:tr w:rsidR="006117AA" w:rsidRPr="006117AA" w14:paraId="14B894E2" w14:textId="77777777" w:rsidTr="006117AA">
        <w:tc>
          <w:tcPr>
            <w:tcW w:w="3055" w:type="dxa"/>
          </w:tcPr>
          <w:p w14:paraId="358F8FB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3690" w:type="dxa"/>
          </w:tcPr>
          <w:p w14:paraId="5F8916A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Herboriste + cueillette</w:t>
            </w:r>
          </w:p>
        </w:tc>
        <w:tc>
          <w:tcPr>
            <w:tcW w:w="2340" w:type="dxa"/>
          </w:tcPr>
          <w:p w14:paraId="2935EC5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Quasi absent</w:t>
            </w:r>
          </w:p>
        </w:tc>
      </w:tr>
      <w:tr w:rsidR="006117AA" w:rsidRPr="006117AA" w14:paraId="03DEB9BE" w14:textId="77777777" w:rsidTr="006117AA">
        <w:tc>
          <w:tcPr>
            <w:tcW w:w="3055" w:type="dxa"/>
          </w:tcPr>
          <w:p w14:paraId="08345C5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3690" w:type="dxa"/>
          </w:tcPr>
          <w:p w14:paraId="5BC694C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Herboriste + marché traditionnel</w:t>
            </w:r>
          </w:p>
        </w:tc>
        <w:tc>
          <w:tcPr>
            <w:tcW w:w="2340" w:type="dxa"/>
          </w:tcPr>
          <w:p w14:paraId="6C473C3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Rare</w:t>
            </w:r>
          </w:p>
        </w:tc>
      </w:tr>
      <w:tr w:rsidR="006117AA" w:rsidRPr="006117AA" w14:paraId="14BF4A09" w14:textId="77777777" w:rsidTr="006117AA">
        <w:tc>
          <w:tcPr>
            <w:tcW w:w="3055" w:type="dxa"/>
          </w:tcPr>
          <w:p w14:paraId="12886FE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3690" w:type="dxa"/>
          </w:tcPr>
          <w:p w14:paraId="1739245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Cueillette majoritaire (rural)</w:t>
            </w:r>
          </w:p>
        </w:tc>
        <w:tc>
          <w:tcPr>
            <w:tcW w:w="2340" w:type="dxa"/>
          </w:tcPr>
          <w:p w14:paraId="0634056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Absent</w:t>
            </w:r>
          </w:p>
        </w:tc>
      </w:tr>
      <w:tr w:rsidR="006117AA" w:rsidRPr="006117AA" w14:paraId="00F85E25" w14:textId="77777777" w:rsidTr="006117AA">
        <w:tc>
          <w:tcPr>
            <w:tcW w:w="3055" w:type="dxa"/>
          </w:tcPr>
          <w:p w14:paraId="0987EF0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3690" w:type="dxa"/>
          </w:tcPr>
          <w:p w14:paraId="3EEA668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Pharmacie / magasins spécialisés</w:t>
            </w:r>
          </w:p>
        </w:tc>
        <w:tc>
          <w:tcPr>
            <w:tcW w:w="2340" w:type="dxa"/>
          </w:tcPr>
          <w:p w14:paraId="416CAB6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Majoritaire</w:t>
            </w:r>
          </w:p>
        </w:tc>
      </w:tr>
    </w:tbl>
    <w:p w14:paraId="53406F1B"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69F34B74"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le prise conjoite avec le traitement  et déclaration au médecin  :</w:t>
      </w:r>
    </w:p>
    <w:p w14:paraId="35A294FB"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Dans notre série, 88 % des patients associent la phytothérapie à leur traitement antidiabétique conventionnel, mais 93,7 % ne l'ont pas déclaré à leur médecin. Cette dissociation entre usage concomitant et non-divulgation représente le risque clinique le plus important de notre étude.</w:t>
      </w:r>
    </w:p>
    <w:p w14:paraId="393A33FB"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 xml:space="preserve">L'étude de Tlemcen a retrouvé un taux de prise conjointe similaire dépassant 85 %, avec un taux de non-déclaration au médecin supérieur à 90 %, expliqué par la crainte d'une désapprobation médicale et la perception que les plantes, étant naturelles, ne nécessitent pas de déclaration. L'étude tunisienne a retrouvé un taux de non-déclaration estimé à plus de 85 %. Dongmo et al. </w:t>
      </w:r>
      <w:proofErr w:type="gramStart"/>
      <w:r w:rsidRPr="006117AA">
        <w:rPr>
          <w:rFonts w:ascii="Times New Roman" w:eastAsia="Arial" w:hAnsi="Times New Roman" w:cs="Times New Roman"/>
          <w:szCs w:val="24"/>
          <w:lang w:val="fr-FR" w:eastAsia="fr-FR"/>
        </w:rPr>
        <w:t>ont</w:t>
      </w:r>
      <w:proofErr w:type="gramEnd"/>
      <w:r w:rsidRPr="006117AA">
        <w:rPr>
          <w:rFonts w:ascii="Times New Roman" w:eastAsia="Arial" w:hAnsi="Times New Roman" w:cs="Times New Roman"/>
          <w:szCs w:val="24"/>
          <w:lang w:val="fr-FR" w:eastAsia="fr-FR"/>
        </w:rPr>
        <w:t xml:space="preserve"> rapporté que 30 % des patients réduisaient leurs doses d'ADO lors de l'utilisation des plantes sans en informer leur médecin, aggravant le risque d'hypoglycémie. L'étude allemande a insisté sur ce phénomène de non-divulgation comme problème de sécurité majeur, et recommande l'intégration systématique d'un questionnement sur les médecines alternatives dans toute consultation de suivi.</w:t>
      </w:r>
    </w:p>
    <w:p w14:paraId="08E8F303" w14:textId="7EAA88BC" w:rsidR="006117AA" w:rsidRPr="006117AA" w:rsidRDefault="006117AA" w:rsidP="0059682C">
      <w:pPr>
        <w:spacing w:before="80" w:after="80" w:line="360" w:lineRule="auto"/>
        <w:jc w:val="both"/>
        <w:rPr>
          <w:rFonts w:ascii="Times New Roman" w:eastAsia="Arial" w:hAnsi="Times New Roman" w:cs="Times New Roman"/>
          <w:szCs w:val="24"/>
          <w:lang w:val="fr-FR" w:eastAsia="fr-FR"/>
        </w:rPr>
      </w:pPr>
    </w:p>
    <w:p w14:paraId="7031769F" w14:textId="439CA75B" w:rsidR="0059682C" w:rsidRDefault="0059682C" w:rsidP="0059682C">
      <w:pPr>
        <w:pStyle w:val="Caption"/>
        <w:keepNext/>
      </w:pPr>
      <w:bookmarkStart w:id="225" w:name="_Toc229617411"/>
      <w:r>
        <w:t xml:space="preserve">Tableau </w:t>
      </w:r>
      <w:r>
        <w:fldChar w:fldCharType="begin"/>
      </w:r>
      <w:r>
        <w:instrText xml:space="preserve"> SEQ Tableau \* ARABIC </w:instrText>
      </w:r>
      <w:r>
        <w:fldChar w:fldCharType="separate"/>
      </w:r>
      <w:r w:rsidR="00983108">
        <w:rPr>
          <w:noProof/>
        </w:rPr>
        <w:t>50</w:t>
      </w:r>
      <w:r>
        <w:fldChar w:fldCharType="end"/>
      </w:r>
      <w:r>
        <w:t xml:space="preserve"> </w:t>
      </w:r>
      <w:r w:rsidRPr="004B68BD">
        <w:t xml:space="preserve">Comparaison de population d'étude selon le prise conjoite avec le </w:t>
      </w:r>
      <w:proofErr w:type="gramStart"/>
      <w:r w:rsidRPr="004B68BD">
        <w:t>traitement  et</w:t>
      </w:r>
      <w:proofErr w:type="gramEnd"/>
      <w:r w:rsidRPr="004B68BD">
        <w:t xml:space="preserve"> déclaration au médecin  :</w:t>
      </w:r>
      <w:bookmarkEnd w:id="225"/>
    </w:p>
    <w:tbl>
      <w:tblPr>
        <w:tblStyle w:val="TableGrid2"/>
        <w:tblW w:w="9622" w:type="dxa"/>
        <w:tblLook w:val="04A0" w:firstRow="1" w:lastRow="0" w:firstColumn="1" w:lastColumn="0" w:noHBand="0" w:noVBand="1"/>
      </w:tblPr>
      <w:tblGrid>
        <w:gridCol w:w="3775"/>
        <w:gridCol w:w="2070"/>
        <w:gridCol w:w="3777"/>
      </w:tblGrid>
      <w:tr w:rsidR="006117AA" w:rsidRPr="006117AA" w14:paraId="2A2A3019" w14:textId="77777777" w:rsidTr="006117AA">
        <w:trPr>
          <w:trHeight w:val="504"/>
        </w:trPr>
        <w:tc>
          <w:tcPr>
            <w:tcW w:w="3775" w:type="dxa"/>
          </w:tcPr>
          <w:p w14:paraId="6BBF70D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2070" w:type="dxa"/>
          </w:tcPr>
          <w:p w14:paraId="2A599FA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Prise conjointe</w:t>
            </w:r>
          </w:p>
        </w:tc>
        <w:tc>
          <w:tcPr>
            <w:tcW w:w="3777" w:type="dxa"/>
          </w:tcPr>
          <w:p w14:paraId="4B4ED40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Non-déclaration au médecin</w:t>
            </w:r>
          </w:p>
        </w:tc>
      </w:tr>
      <w:tr w:rsidR="006117AA" w:rsidRPr="006117AA" w14:paraId="3C7227CE" w14:textId="77777777" w:rsidTr="006117AA">
        <w:trPr>
          <w:trHeight w:val="247"/>
        </w:trPr>
        <w:tc>
          <w:tcPr>
            <w:tcW w:w="3775" w:type="dxa"/>
          </w:tcPr>
          <w:p w14:paraId="2F83F11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w:t>
            </w:r>
          </w:p>
        </w:tc>
        <w:tc>
          <w:tcPr>
            <w:tcW w:w="2070" w:type="dxa"/>
          </w:tcPr>
          <w:p w14:paraId="73C5008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88,0 %</w:t>
            </w:r>
          </w:p>
        </w:tc>
        <w:tc>
          <w:tcPr>
            <w:tcW w:w="3777" w:type="dxa"/>
          </w:tcPr>
          <w:p w14:paraId="67B240F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93,7 %</w:t>
            </w:r>
          </w:p>
        </w:tc>
      </w:tr>
      <w:tr w:rsidR="006117AA" w:rsidRPr="006117AA" w14:paraId="09ADDD98" w14:textId="77777777" w:rsidTr="006117AA">
        <w:trPr>
          <w:trHeight w:val="256"/>
        </w:trPr>
        <w:tc>
          <w:tcPr>
            <w:tcW w:w="3775" w:type="dxa"/>
          </w:tcPr>
          <w:p w14:paraId="026DE3E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2070" w:type="dxa"/>
          </w:tcPr>
          <w:p w14:paraId="4CCCD52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&gt; 85 %</w:t>
            </w:r>
          </w:p>
        </w:tc>
        <w:tc>
          <w:tcPr>
            <w:tcW w:w="3777" w:type="dxa"/>
          </w:tcPr>
          <w:p w14:paraId="6919466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&gt; 90 %</w:t>
            </w:r>
          </w:p>
        </w:tc>
      </w:tr>
      <w:tr w:rsidR="006117AA" w:rsidRPr="006117AA" w14:paraId="55C78AA6" w14:textId="77777777" w:rsidTr="006117AA">
        <w:trPr>
          <w:trHeight w:val="247"/>
        </w:trPr>
        <w:tc>
          <w:tcPr>
            <w:tcW w:w="3775" w:type="dxa"/>
          </w:tcPr>
          <w:p w14:paraId="6E1AC85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2070" w:type="dxa"/>
          </w:tcPr>
          <w:p w14:paraId="14848D5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Majoritaire</w:t>
            </w:r>
          </w:p>
        </w:tc>
        <w:tc>
          <w:tcPr>
            <w:tcW w:w="3777" w:type="dxa"/>
          </w:tcPr>
          <w:p w14:paraId="3C2E42D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&gt; 85 %</w:t>
            </w:r>
          </w:p>
        </w:tc>
      </w:tr>
      <w:tr w:rsidR="006117AA" w:rsidRPr="006117AA" w14:paraId="2D520A3E" w14:textId="77777777" w:rsidTr="006117AA">
        <w:trPr>
          <w:trHeight w:val="750"/>
        </w:trPr>
        <w:tc>
          <w:tcPr>
            <w:tcW w:w="3775" w:type="dxa"/>
          </w:tcPr>
          <w:p w14:paraId="631ED9E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2070" w:type="dxa"/>
          </w:tcPr>
          <w:p w14:paraId="319A0CF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Majoritaire</w:t>
            </w:r>
          </w:p>
        </w:tc>
        <w:tc>
          <w:tcPr>
            <w:tcW w:w="3777" w:type="dxa"/>
          </w:tcPr>
          <w:p w14:paraId="7DF14E3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Fréquente + réduction doses ADO</w:t>
            </w:r>
          </w:p>
        </w:tc>
      </w:tr>
      <w:tr w:rsidR="006117AA" w:rsidRPr="006117AA" w14:paraId="3BAA0427" w14:textId="77777777" w:rsidTr="006117AA">
        <w:trPr>
          <w:trHeight w:val="504"/>
        </w:trPr>
        <w:tc>
          <w:tcPr>
            <w:tcW w:w="3775" w:type="dxa"/>
          </w:tcPr>
          <w:p w14:paraId="3F5FAEF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2070" w:type="dxa"/>
          </w:tcPr>
          <w:p w14:paraId="54C8D7C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Fréquente</w:t>
            </w:r>
          </w:p>
        </w:tc>
        <w:tc>
          <w:tcPr>
            <w:tcW w:w="3777" w:type="dxa"/>
          </w:tcPr>
          <w:p w14:paraId="380BE70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Problème de sécurité documenté</w:t>
            </w:r>
          </w:p>
        </w:tc>
      </w:tr>
    </w:tbl>
    <w:p w14:paraId="5742A2D3" w14:textId="168C5D09"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12475A4C"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l'efficacité :</w:t>
      </w:r>
    </w:p>
    <w:p w14:paraId="565FC723"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93 % des utilisateurs perçoivent la phytothérapie comme efficace, contre seulement 7 % qui la jugent inefficace. Cette perception très favorable contraste avec l'équilibre glycémique objectif, où plus de 51,9 % restent hors des cibles (HbA1c &gt; 7 %), soulignant le décalage entre efficacité subjective et contrôle métabolique réel.</w:t>
      </w:r>
    </w:p>
    <w:p w14:paraId="33676607"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 xml:space="preserve">L'étude de Tlemcen a retrouvé une proportion similaire de patients satisfaits de l'efficacité perçue (supérieure à 90 %), sans corrélation avec l'amélioration de l'HbA1c, concluant à un probable effet placebo renforcé par la confiance accordée aux savoirs traditionnels et aux recommandations de l'entourage. L'étude tunisienne a fait le même constat d'efficacité perçue élevée sans corrélation biologique. Dongmo et al. </w:t>
      </w:r>
      <w:proofErr w:type="gramStart"/>
      <w:r w:rsidRPr="006117AA">
        <w:rPr>
          <w:rFonts w:ascii="Times New Roman" w:eastAsia="Arial" w:hAnsi="Times New Roman" w:cs="Times New Roman"/>
          <w:szCs w:val="24"/>
          <w:lang w:val="fr-FR" w:eastAsia="fr-FR"/>
        </w:rPr>
        <w:t>ont</w:t>
      </w:r>
      <w:proofErr w:type="gramEnd"/>
      <w:r w:rsidRPr="006117AA">
        <w:rPr>
          <w:rFonts w:ascii="Times New Roman" w:eastAsia="Arial" w:hAnsi="Times New Roman" w:cs="Times New Roman"/>
          <w:szCs w:val="24"/>
          <w:lang w:val="fr-FR" w:eastAsia="fr-FR"/>
        </w:rPr>
        <w:t xml:space="preserve"> également retrouvé une satisfaction subjective élevée non corrélée aux paramètres biologiques. L'étude allemande a insisté sur la nécessité de distinguer efficacité perçue et efficacité prouvée. Ces données convergent pour rappeler que la perception favorable ne constitue pas une preuve d'efficacité et ne doit pas conduire à substituer la phytothérapie au traitement conventionnel.</w:t>
      </w:r>
    </w:p>
    <w:p w14:paraId="20C1EBFE" w14:textId="55C4B3FB" w:rsidR="006117AA" w:rsidRPr="006117AA" w:rsidRDefault="006117AA" w:rsidP="0059682C">
      <w:pPr>
        <w:spacing w:before="80" w:after="80" w:line="360" w:lineRule="auto"/>
        <w:jc w:val="both"/>
        <w:rPr>
          <w:rFonts w:ascii="Times New Roman" w:eastAsia="Arial" w:hAnsi="Times New Roman" w:cs="Times New Roman"/>
          <w:szCs w:val="24"/>
          <w:lang w:val="fr-FR" w:eastAsia="fr-FR"/>
        </w:rPr>
      </w:pPr>
    </w:p>
    <w:p w14:paraId="08BEA97D" w14:textId="3B0288B3" w:rsidR="0059682C" w:rsidRDefault="0059682C" w:rsidP="0059682C">
      <w:pPr>
        <w:pStyle w:val="Caption"/>
        <w:keepNext/>
      </w:pPr>
      <w:bookmarkStart w:id="226" w:name="_Toc229617412"/>
      <w:r>
        <w:t xml:space="preserve">Tableau </w:t>
      </w:r>
      <w:r>
        <w:fldChar w:fldCharType="begin"/>
      </w:r>
      <w:r>
        <w:instrText xml:space="preserve"> SEQ Tableau \* ARABIC </w:instrText>
      </w:r>
      <w:r>
        <w:fldChar w:fldCharType="separate"/>
      </w:r>
      <w:r w:rsidR="00983108">
        <w:rPr>
          <w:noProof/>
        </w:rPr>
        <w:t>51</w:t>
      </w:r>
      <w:r>
        <w:fldChar w:fldCharType="end"/>
      </w:r>
      <w:r>
        <w:t xml:space="preserve"> </w:t>
      </w:r>
      <w:r w:rsidRPr="00381622">
        <w:t xml:space="preserve">Comparaison de population d'étude selon </w:t>
      </w:r>
      <w:proofErr w:type="gramStart"/>
      <w:r w:rsidRPr="00381622">
        <w:t>l'effécacité:</w:t>
      </w:r>
      <w:bookmarkEnd w:id="226"/>
      <w:proofErr w:type="gramEnd"/>
    </w:p>
    <w:tbl>
      <w:tblPr>
        <w:tblStyle w:val="TableGrid2"/>
        <w:tblW w:w="9151" w:type="dxa"/>
        <w:tblLook w:val="04A0" w:firstRow="1" w:lastRow="0" w:firstColumn="1" w:lastColumn="0" w:noHBand="0" w:noVBand="1"/>
      </w:tblPr>
      <w:tblGrid>
        <w:gridCol w:w="3979"/>
        <w:gridCol w:w="2586"/>
        <w:gridCol w:w="2586"/>
      </w:tblGrid>
      <w:tr w:rsidR="006117AA" w:rsidRPr="006117AA" w14:paraId="6EE20760" w14:textId="77777777" w:rsidTr="006117AA">
        <w:trPr>
          <w:trHeight w:val="768"/>
        </w:trPr>
        <w:tc>
          <w:tcPr>
            <w:tcW w:w="3979" w:type="dxa"/>
          </w:tcPr>
          <w:p w14:paraId="4A8733C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2586" w:type="dxa"/>
          </w:tcPr>
          <w:p w14:paraId="3FD9741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Efficacité perçue (%)</w:t>
            </w:r>
          </w:p>
        </w:tc>
        <w:tc>
          <w:tcPr>
            <w:tcW w:w="2586" w:type="dxa"/>
          </w:tcPr>
          <w:p w14:paraId="14467AC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Corrélation avec HbA1c</w:t>
            </w:r>
          </w:p>
        </w:tc>
      </w:tr>
      <w:tr w:rsidR="006117AA" w:rsidRPr="006117AA" w14:paraId="3635505A" w14:textId="77777777" w:rsidTr="006117AA">
        <w:trPr>
          <w:trHeight w:val="377"/>
        </w:trPr>
        <w:tc>
          <w:tcPr>
            <w:tcW w:w="3979" w:type="dxa"/>
          </w:tcPr>
          <w:p w14:paraId="7041E63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w:t>
            </w:r>
          </w:p>
        </w:tc>
        <w:tc>
          <w:tcPr>
            <w:tcW w:w="2586" w:type="dxa"/>
          </w:tcPr>
          <w:p w14:paraId="2B2974A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93,0 %</w:t>
            </w:r>
          </w:p>
        </w:tc>
        <w:tc>
          <w:tcPr>
            <w:tcW w:w="2586" w:type="dxa"/>
          </w:tcPr>
          <w:p w14:paraId="706D8FD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Non évaluée</w:t>
            </w:r>
          </w:p>
        </w:tc>
      </w:tr>
      <w:tr w:rsidR="006117AA" w:rsidRPr="006117AA" w14:paraId="218B57D2" w14:textId="77777777" w:rsidTr="006117AA">
        <w:trPr>
          <w:trHeight w:val="391"/>
        </w:trPr>
        <w:tc>
          <w:tcPr>
            <w:tcW w:w="3979" w:type="dxa"/>
          </w:tcPr>
          <w:p w14:paraId="36586DB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2586" w:type="dxa"/>
          </w:tcPr>
          <w:p w14:paraId="79765B0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&gt; 90 %</w:t>
            </w:r>
          </w:p>
        </w:tc>
        <w:tc>
          <w:tcPr>
            <w:tcW w:w="2586" w:type="dxa"/>
          </w:tcPr>
          <w:p w14:paraId="4C8EE8F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de corrélation</w:t>
            </w:r>
          </w:p>
        </w:tc>
      </w:tr>
      <w:tr w:rsidR="006117AA" w:rsidRPr="006117AA" w14:paraId="78D96D80" w14:textId="77777777" w:rsidTr="006117AA">
        <w:trPr>
          <w:trHeight w:val="377"/>
        </w:trPr>
        <w:tc>
          <w:tcPr>
            <w:tcW w:w="3979" w:type="dxa"/>
          </w:tcPr>
          <w:p w14:paraId="79B4C6D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2586" w:type="dxa"/>
          </w:tcPr>
          <w:p w14:paraId="273CFEB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Élevée</w:t>
            </w:r>
          </w:p>
        </w:tc>
        <w:tc>
          <w:tcPr>
            <w:tcW w:w="2586" w:type="dxa"/>
          </w:tcPr>
          <w:p w14:paraId="6A05BAB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de corrélation</w:t>
            </w:r>
          </w:p>
        </w:tc>
      </w:tr>
      <w:tr w:rsidR="006117AA" w:rsidRPr="006117AA" w14:paraId="66D75134" w14:textId="77777777" w:rsidTr="006117AA">
        <w:trPr>
          <w:trHeight w:val="768"/>
        </w:trPr>
        <w:tc>
          <w:tcPr>
            <w:tcW w:w="3979" w:type="dxa"/>
          </w:tcPr>
          <w:p w14:paraId="484AB1F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2586" w:type="dxa"/>
          </w:tcPr>
          <w:p w14:paraId="749A7BA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Élevée</w:t>
            </w:r>
          </w:p>
        </w:tc>
        <w:tc>
          <w:tcPr>
            <w:tcW w:w="2586" w:type="dxa"/>
          </w:tcPr>
          <w:p w14:paraId="658628C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de corrélation biologique</w:t>
            </w:r>
          </w:p>
        </w:tc>
      </w:tr>
      <w:tr w:rsidR="006117AA" w:rsidRPr="006117AA" w14:paraId="7D08D77E" w14:textId="77777777" w:rsidTr="006117AA">
        <w:trPr>
          <w:trHeight w:val="753"/>
        </w:trPr>
        <w:tc>
          <w:tcPr>
            <w:tcW w:w="3979" w:type="dxa"/>
          </w:tcPr>
          <w:p w14:paraId="6D531BD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2586" w:type="dxa"/>
          </w:tcPr>
          <w:p w14:paraId="2860132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Variable</w:t>
            </w:r>
          </w:p>
        </w:tc>
        <w:tc>
          <w:tcPr>
            <w:tcW w:w="2586" w:type="dxa"/>
          </w:tcPr>
          <w:p w14:paraId="08CB5F0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d'amélioration démontrée</w:t>
            </w:r>
          </w:p>
        </w:tc>
      </w:tr>
    </w:tbl>
    <w:p w14:paraId="57400212" w14:textId="21D9CF4E" w:rsidR="006117AA" w:rsidRDefault="006117AA" w:rsidP="006117AA">
      <w:pPr>
        <w:spacing w:before="80" w:after="80" w:line="360" w:lineRule="auto"/>
        <w:jc w:val="both"/>
        <w:rPr>
          <w:rFonts w:ascii="Times New Roman" w:eastAsia="Arial" w:hAnsi="Times New Roman" w:cs="Times New Roman"/>
          <w:szCs w:val="24"/>
          <w:lang w:val="fr-FR" w:eastAsia="fr-FR"/>
        </w:rPr>
      </w:pPr>
    </w:p>
    <w:p w14:paraId="3BF29D2E" w14:textId="6584D03D" w:rsidR="0059682C" w:rsidRDefault="0059682C" w:rsidP="006117AA">
      <w:pPr>
        <w:spacing w:before="80" w:after="80" w:line="360" w:lineRule="auto"/>
        <w:jc w:val="both"/>
        <w:rPr>
          <w:rFonts w:ascii="Times New Roman" w:eastAsia="Arial" w:hAnsi="Times New Roman" w:cs="Times New Roman"/>
          <w:szCs w:val="24"/>
          <w:lang w:val="fr-FR" w:eastAsia="fr-FR"/>
        </w:rPr>
      </w:pPr>
    </w:p>
    <w:p w14:paraId="3335AEE5" w14:textId="2D834EE6" w:rsidR="0059682C" w:rsidRDefault="0059682C" w:rsidP="006117AA">
      <w:pPr>
        <w:spacing w:before="80" w:after="80" w:line="360" w:lineRule="auto"/>
        <w:jc w:val="both"/>
        <w:rPr>
          <w:rFonts w:ascii="Times New Roman" w:eastAsia="Arial" w:hAnsi="Times New Roman" w:cs="Times New Roman"/>
          <w:szCs w:val="24"/>
          <w:lang w:val="fr-FR" w:eastAsia="fr-FR"/>
        </w:rPr>
      </w:pPr>
    </w:p>
    <w:p w14:paraId="2176A0E1" w14:textId="77777777" w:rsidR="0059682C" w:rsidRPr="006117AA" w:rsidRDefault="0059682C" w:rsidP="006117AA">
      <w:pPr>
        <w:spacing w:before="80" w:after="80" w:line="360" w:lineRule="auto"/>
        <w:jc w:val="both"/>
        <w:rPr>
          <w:rFonts w:ascii="Times New Roman" w:eastAsia="Arial" w:hAnsi="Times New Roman" w:cs="Times New Roman"/>
          <w:szCs w:val="24"/>
          <w:lang w:val="fr-FR" w:eastAsia="fr-FR"/>
        </w:rPr>
      </w:pPr>
    </w:p>
    <w:p w14:paraId="4D9C4BC6"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la profession :</w:t>
      </w:r>
    </w:p>
    <w:p w14:paraId="0013BF9A"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Dans les deux groupes, les femmes au foyer (FAF) constituent la catégorie professionnelle la plus représentée : 43,7 % chez les utilisateurs et 40,9 % chez les non-utilisateurs, suivies des retraités (24,7 % vs 22,6 %) et des travailleurs libres (14,6 % vs 23,7 %). Cette distribution reflète la structure socioprofessionnelle de la population diabétique de Laghouat, majoritairement féminine et inactive professionnellement.</w:t>
      </w:r>
    </w:p>
    <w:p w14:paraId="10AA342A"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L'étude de Tlemcen a retrouvé une même prédominance des femmes au foyer parmi les utilisateurs de plantes médicinales, soulignant le rôle central de cette catégorie dans la transmission et le maintien des pratiques herboristiques au sein du foyer. L'étude tunisienne n'a pas analysé la profession comme variable indépendante, mais note la surreprésentation des femmes au foyer parmi les utilisatrices. L'étude camerounaise a rapporté une majorité de patients agriculteurs ou sans emploi formel, profil différent du nôtre mais convergent quant à l'inactivité professionnelle comme facteur favorisant l'ancrage dans les pratiques traditionnelles. Ces résultats suggèrent que la disponibilité temporelle liée à l'inactivité professionnelle favorise la pratique et la transmission de la phytothérapie.</w:t>
      </w:r>
    </w:p>
    <w:p w14:paraId="4F176B1D" w14:textId="5027B5E5" w:rsidR="006117AA" w:rsidRPr="006117AA" w:rsidRDefault="006117AA" w:rsidP="0059682C">
      <w:pPr>
        <w:spacing w:before="80" w:after="80" w:line="360" w:lineRule="auto"/>
        <w:jc w:val="both"/>
        <w:rPr>
          <w:rFonts w:ascii="Times New Roman" w:eastAsia="Arial" w:hAnsi="Times New Roman" w:cs="Times New Roman"/>
          <w:szCs w:val="24"/>
          <w:lang w:val="fr-FR" w:eastAsia="fr-FR"/>
        </w:rPr>
      </w:pPr>
    </w:p>
    <w:p w14:paraId="22FDD54F" w14:textId="2E45EEE8" w:rsidR="0059682C" w:rsidRDefault="0059682C" w:rsidP="0059682C">
      <w:pPr>
        <w:pStyle w:val="Caption"/>
        <w:keepNext/>
      </w:pPr>
      <w:bookmarkStart w:id="227" w:name="_Toc229617413"/>
      <w:r>
        <w:t xml:space="preserve">Tableau </w:t>
      </w:r>
      <w:r>
        <w:fldChar w:fldCharType="begin"/>
      </w:r>
      <w:r>
        <w:instrText xml:space="preserve"> SEQ Tableau \* ARABIC </w:instrText>
      </w:r>
      <w:r>
        <w:fldChar w:fldCharType="separate"/>
      </w:r>
      <w:r w:rsidR="00983108">
        <w:rPr>
          <w:noProof/>
        </w:rPr>
        <w:t>52</w:t>
      </w:r>
      <w:r>
        <w:fldChar w:fldCharType="end"/>
      </w:r>
      <w:r>
        <w:t xml:space="preserve"> </w:t>
      </w:r>
      <w:r w:rsidRPr="007948AA">
        <w:t xml:space="preserve">Comparaison de population d'étude selon la </w:t>
      </w:r>
      <w:proofErr w:type="gramStart"/>
      <w:r w:rsidRPr="007948AA">
        <w:t>profession:</w:t>
      </w:r>
      <w:bookmarkEnd w:id="227"/>
      <w:proofErr w:type="gramEnd"/>
    </w:p>
    <w:tbl>
      <w:tblPr>
        <w:tblStyle w:val="TableGrid2"/>
        <w:tblW w:w="9121" w:type="dxa"/>
        <w:tblLook w:val="04A0" w:firstRow="1" w:lastRow="0" w:firstColumn="1" w:lastColumn="0" w:noHBand="0" w:noVBand="1"/>
      </w:tblPr>
      <w:tblGrid>
        <w:gridCol w:w="3966"/>
        <w:gridCol w:w="2974"/>
        <w:gridCol w:w="2181"/>
      </w:tblGrid>
      <w:tr w:rsidR="006117AA" w:rsidRPr="006117AA" w14:paraId="0755603B" w14:textId="77777777" w:rsidTr="006117AA">
        <w:trPr>
          <w:trHeight w:val="224"/>
        </w:trPr>
        <w:tc>
          <w:tcPr>
            <w:tcW w:w="3966" w:type="dxa"/>
          </w:tcPr>
          <w:p w14:paraId="50750AA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2974" w:type="dxa"/>
          </w:tcPr>
          <w:p w14:paraId="3525AD3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Catégorie dominante</w:t>
            </w:r>
          </w:p>
        </w:tc>
        <w:tc>
          <w:tcPr>
            <w:tcW w:w="2181" w:type="dxa"/>
          </w:tcPr>
          <w:p w14:paraId="0171D71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Fréquence</w:t>
            </w:r>
          </w:p>
        </w:tc>
      </w:tr>
      <w:tr w:rsidR="006117AA" w:rsidRPr="006117AA" w14:paraId="5F9E5D5A" w14:textId="77777777" w:rsidTr="006117AA">
        <w:trPr>
          <w:trHeight w:val="233"/>
        </w:trPr>
        <w:tc>
          <w:tcPr>
            <w:tcW w:w="3966" w:type="dxa"/>
          </w:tcPr>
          <w:p w14:paraId="715966D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utilisateurs</w:t>
            </w:r>
          </w:p>
        </w:tc>
        <w:tc>
          <w:tcPr>
            <w:tcW w:w="2974" w:type="dxa"/>
          </w:tcPr>
          <w:p w14:paraId="0DCC10C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Femmes au foyer (FAF)</w:t>
            </w:r>
          </w:p>
        </w:tc>
        <w:tc>
          <w:tcPr>
            <w:tcW w:w="2181" w:type="dxa"/>
          </w:tcPr>
          <w:p w14:paraId="68AD68E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43,7 %</w:t>
            </w:r>
          </w:p>
        </w:tc>
      </w:tr>
      <w:tr w:rsidR="006117AA" w:rsidRPr="006117AA" w14:paraId="1F99B8D6" w14:textId="77777777" w:rsidTr="006117AA">
        <w:trPr>
          <w:trHeight w:val="224"/>
        </w:trPr>
        <w:tc>
          <w:tcPr>
            <w:tcW w:w="3966" w:type="dxa"/>
          </w:tcPr>
          <w:p w14:paraId="5970341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non-utilisateurs</w:t>
            </w:r>
          </w:p>
        </w:tc>
        <w:tc>
          <w:tcPr>
            <w:tcW w:w="2974" w:type="dxa"/>
          </w:tcPr>
          <w:p w14:paraId="408A390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Femmes au foyer (FAF)</w:t>
            </w:r>
          </w:p>
        </w:tc>
        <w:tc>
          <w:tcPr>
            <w:tcW w:w="2181" w:type="dxa"/>
          </w:tcPr>
          <w:p w14:paraId="11B9CA7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40,9 %</w:t>
            </w:r>
          </w:p>
        </w:tc>
      </w:tr>
      <w:tr w:rsidR="006117AA" w:rsidRPr="006117AA" w14:paraId="56251F93" w14:textId="77777777" w:rsidTr="006117AA">
        <w:trPr>
          <w:trHeight w:val="224"/>
        </w:trPr>
        <w:tc>
          <w:tcPr>
            <w:tcW w:w="3966" w:type="dxa"/>
          </w:tcPr>
          <w:p w14:paraId="6754AFA6"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2974" w:type="dxa"/>
          </w:tcPr>
          <w:p w14:paraId="36E35F3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Femmes au foyer</w:t>
            </w:r>
          </w:p>
        </w:tc>
        <w:tc>
          <w:tcPr>
            <w:tcW w:w="2181" w:type="dxa"/>
          </w:tcPr>
          <w:p w14:paraId="4BC816F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Prédominante</w:t>
            </w:r>
          </w:p>
        </w:tc>
      </w:tr>
      <w:tr w:rsidR="006117AA" w:rsidRPr="006117AA" w14:paraId="25758616" w14:textId="77777777" w:rsidTr="006117AA">
        <w:trPr>
          <w:trHeight w:val="233"/>
        </w:trPr>
        <w:tc>
          <w:tcPr>
            <w:tcW w:w="3966" w:type="dxa"/>
          </w:tcPr>
          <w:p w14:paraId="6939263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w:t>
            </w:r>
          </w:p>
        </w:tc>
        <w:tc>
          <w:tcPr>
            <w:tcW w:w="2974" w:type="dxa"/>
          </w:tcPr>
          <w:p w14:paraId="507AECD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Femmes au foyer</w:t>
            </w:r>
          </w:p>
        </w:tc>
        <w:tc>
          <w:tcPr>
            <w:tcW w:w="2181" w:type="dxa"/>
          </w:tcPr>
          <w:p w14:paraId="16DC88B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Surreprésentées</w:t>
            </w:r>
          </w:p>
        </w:tc>
      </w:tr>
      <w:tr w:rsidR="006117AA" w:rsidRPr="006117AA" w14:paraId="4A66D891" w14:textId="77777777" w:rsidTr="006117AA">
        <w:trPr>
          <w:trHeight w:val="448"/>
        </w:trPr>
        <w:tc>
          <w:tcPr>
            <w:tcW w:w="3966" w:type="dxa"/>
          </w:tcPr>
          <w:p w14:paraId="28A5B6E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2974" w:type="dxa"/>
          </w:tcPr>
          <w:p w14:paraId="7866D5F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Agriculteurs / sans emploi</w:t>
            </w:r>
          </w:p>
        </w:tc>
        <w:tc>
          <w:tcPr>
            <w:tcW w:w="2181" w:type="dxa"/>
          </w:tcPr>
          <w:p w14:paraId="1C2B765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Majorité</w:t>
            </w:r>
          </w:p>
        </w:tc>
      </w:tr>
    </w:tbl>
    <w:p w14:paraId="668F1607"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1A4D0534"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la zone de résidence :</w:t>
      </w:r>
    </w:p>
    <w:p w14:paraId="17CD5CA2"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 xml:space="preserve">Les non-utilisateurs de notre série sont majoritairement issus du milieu urbain (95,7 % vs 4,3 % en milieu rural). La même tendance est attendue chez les utilisateurs, compte tenu du lieu de </w:t>
      </w:r>
      <w:r w:rsidRPr="006117AA">
        <w:rPr>
          <w:rFonts w:ascii="Times New Roman" w:eastAsia="Arial" w:hAnsi="Times New Roman" w:cs="Times New Roman"/>
          <w:szCs w:val="24"/>
          <w:lang w:val="fr-FR" w:eastAsia="fr-FR"/>
        </w:rPr>
        <w:lastRenderedPageBreak/>
        <w:t>recrutement (</w:t>
      </w:r>
      <w:proofErr w:type="gramStart"/>
      <w:r w:rsidRPr="006117AA">
        <w:rPr>
          <w:rFonts w:ascii="Times New Roman" w:eastAsia="Arial" w:hAnsi="Times New Roman" w:cs="Times New Roman"/>
          <w:szCs w:val="24"/>
          <w:lang w:val="fr-FR" w:eastAsia="fr-FR"/>
        </w:rPr>
        <w:t>polyclinique urbain</w:t>
      </w:r>
      <w:proofErr w:type="gramEnd"/>
      <w:r w:rsidRPr="006117AA">
        <w:rPr>
          <w:rFonts w:ascii="Times New Roman" w:eastAsia="Arial" w:hAnsi="Times New Roman" w:cs="Times New Roman"/>
          <w:szCs w:val="24"/>
          <w:lang w:val="fr-FR" w:eastAsia="fr-FR"/>
        </w:rPr>
        <w:t xml:space="preserve"> de Laghouat). Paradoxalement, on aurait pu s'attendre à une surreprésentation du milieu rural, traditionnellement plus ancré dans les pratiques herboristiques.</w:t>
      </w:r>
    </w:p>
    <w:p w14:paraId="3C6763EE"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L'étude de Tlemcen a retrouvé une majorité d'utilisateurs en milieu urbain, malgré un ancrage culturel fort de la phytothérapie dans les zones rurales environnantes, suggérant que l'urbanisation ne constitue pas un frein à ces pratiques lorsqu'elles sont portées par la transmission familiale. L'étude camerounaise a en revanche retrouvé une utilisation plus fréquente en milieu rural, dans un contexte d'accès limité aux soins conventionnels. L'étude tunisienne n'a pas distingué les deux zones de résidence. L'étude allemande, entièrement menée en milieu urbain, a observé un recours aux médecines alternatives y compris dans les grandes villes. Ces résultats confirment que la phytothérapie transcende la frontière rural–urbain lorsqu'elle est portée par la culture et la transmission intergénérationnelle.</w:t>
      </w:r>
    </w:p>
    <w:p w14:paraId="4D6EAC53" w14:textId="421ED850" w:rsidR="006117AA" w:rsidRPr="006117AA" w:rsidRDefault="006117AA" w:rsidP="0059682C">
      <w:pPr>
        <w:spacing w:before="80" w:after="80" w:line="360" w:lineRule="auto"/>
        <w:jc w:val="both"/>
        <w:rPr>
          <w:rFonts w:ascii="Times New Roman" w:eastAsia="Arial" w:hAnsi="Times New Roman" w:cs="Times New Roman"/>
          <w:szCs w:val="24"/>
          <w:lang w:val="fr-FR" w:eastAsia="fr-FR"/>
        </w:rPr>
      </w:pPr>
    </w:p>
    <w:p w14:paraId="67B09EAE" w14:textId="746D553B" w:rsidR="0059682C" w:rsidRDefault="0059682C" w:rsidP="0059682C">
      <w:pPr>
        <w:pStyle w:val="Caption"/>
        <w:keepNext/>
      </w:pPr>
      <w:bookmarkStart w:id="228" w:name="_Toc229617414"/>
      <w:r>
        <w:t xml:space="preserve">Tableau </w:t>
      </w:r>
      <w:r>
        <w:fldChar w:fldCharType="begin"/>
      </w:r>
      <w:r>
        <w:instrText xml:space="preserve"> SEQ Tableau \* ARABIC </w:instrText>
      </w:r>
      <w:r>
        <w:fldChar w:fldCharType="separate"/>
      </w:r>
      <w:r w:rsidR="00983108">
        <w:rPr>
          <w:noProof/>
        </w:rPr>
        <w:t>53</w:t>
      </w:r>
      <w:r>
        <w:fldChar w:fldCharType="end"/>
      </w:r>
      <w:r>
        <w:t xml:space="preserve"> </w:t>
      </w:r>
      <w:r w:rsidRPr="005C7B6B">
        <w:t>Comparaison de population d'étude selon la zone de résidence :</w:t>
      </w:r>
      <w:bookmarkEnd w:id="228"/>
    </w:p>
    <w:tbl>
      <w:tblPr>
        <w:tblStyle w:val="TableGrid2"/>
        <w:tblW w:w="9521" w:type="dxa"/>
        <w:tblLook w:val="04A0" w:firstRow="1" w:lastRow="0" w:firstColumn="1" w:lastColumn="0" w:noHBand="0" w:noVBand="1"/>
      </w:tblPr>
      <w:tblGrid>
        <w:gridCol w:w="3881"/>
        <w:gridCol w:w="2846"/>
        <w:gridCol w:w="2794"/>
      </w:tblGrid>
      <w:tr w:rsidR="006117AA" w:rsidRPr="006117AA" w14:paraId="4C1C4181" w14:textId="77777777" w:rsidTr="006117AA">
        <w:trPr>
          <w:trHeight w:val="384"/>
        </w:trPr>
        <w:tc>
          <w:tcPr>
            <w:tcW w:w="3881" w:type="dxa"/>
          </w:tcPr>
          <w:p w14:paraId="29D5D4C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2846" w:type="dxa"/>
          </w:tcPr>
          <w:p w14:paraId="0B4FB97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Milieu dominant</w:t>
            </w:r>
          </w:p>
        </w:tc>
        <w:tc>
          <w:tcPr>
            <w:tcW w:w="2794" w:type="dxa"/>
          </w:tcPr>
          <w:p w14:paraId="0C8B03C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Observation</w:t>
            </w:r>
          </w:p>
        </w:tc>
      </w:tr>
      <w:tr w:rsidR="006117AA" w:rsidRPr="006117AA" w14:paraId="30A5BEF7" w14:textId="77777777" w:rsidTr="006117AA">
        <w:trPr>
          <w:trHeight w:val="783"/>
        </w:trPr>
        <w:tc>
          <w:tcPr>
            <w:tcW w:w="3881" w:type="dxa"/>
          </w:tcPr>
          <w:p w14:paraId="7309E0C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 (non-utilisateurs)</w:t>
            </w:r>
          </w:p>
        </w:tc>
        <w:tc>
          <w:tcPr>
            <w:tcW w:w="2846" w:type="dxa"/>
          </w:tcPr>
          <w:p w14:paraId="5D0045B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Urbain (95,7 %)</w:t>
            </w:r>
          </w:p>
        </w:tc>
        <w:tc>
          <w:tcPr>
            <w:tcW w:w="2794" w:type="dxa"/>
          </w:tcPr>
          <w:p w14:paraId="6E7F9C8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Biais de recrutement</w:t>
            </w:r>
          </w:p>
        </w:tc>
      </w:tr>
      <w:tr w:rsidR="006117AA" w:rsidRPr="006117AA" w14:paraId="30CE21E0" w14:textId="77777777" w:rsidTr="006117AA">
        <w:trPr>
          <w:trHeight w:val="783"/>
        </w:trPr>
        <w:tc>
          <w:tcPr>
            <w:tcW w:w="3881" w:type="dxa"/>
          </w:tcPr>
          <w:p w14:paraId="619BD96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2846" w:type="dxa"/>
          </w:tcPr>
          <w:p w14:paraId="32EF3B4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Urbain majoritaire</w:t>
            </w:r>
          </w:p>
        </w:tc>
        <w:tc>
          <w:tcPr>
            <w:tcW w:w="2794" w:type="dxa"/>
          </w:tcPr>
          <w:p w14:paraId="1EC2C36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Transmission familiale maintenue</w:t>
            </w:r>
          </w:p>
        </w:tc>
      </w:tr>
      <w:tr w:rsidR="006117AA" w:rsidRPr="006117AA" w14:paraId="41A5C8A8" w14:textId="77777777" w:rsidTr="006117AA">
        <w:trPr>
          <w:trHeight w:val="783"/>
        </w:trPr>
        <w:tc>
          <w:tcPr>
            <w:tcW w:w="3881" w:type="dxa"/>
          </w:tcPr>
          <w:p w14:paraId="6EF66CB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2846" w:type="dxa"/>
          </w:tcPr>
          <w:p w14:paraId="7EB54FE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Rural</w:t>
            </w:r>
          </w:p>
        </w:tc>
        <w:tc>
          <w:tcPr>
            <w:tcW w:w="2794" w:type="dxa"/>
          </w:tcPr>
          <w:p w14:paraId="0CC6CCA7"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Accès limité aux soins</w:t>
            </w:r>
          </w:p>
        </w:tc>
      </w:tr>
      <w:tr w:rsidR="006117AA" w:rsidRPr="006117AA" w14:paraId="17E9977D" w14:textId="77777777" w:rsidTr="006117AA">
        <w:trPr>
          <w:trHeight w:val="384"/>
        </w:trPr>
        <w:tc>
          <w:tcPr>
            <w:tcW w:w="3881" w:type="dxa"/>
          </w:tcPr>
          <w:p w14:paraId="100FB26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w:t>
            </w:r>
          </w:p>
        </w:tc>
        <w:tc>
          <w:tcPr>
            <w:tcW w:w="2846" w:type="dxa"/>
          </w:tcPr>
          <w:p w14:paraId="453B8C9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Non précisé</w:t>
            </w:r>
          </w:p>
        </w:tc>
        <w:tc>
          <w:tcPr>
            <w:tcW w:w="2794" w:type="dxa"/>
          </w:tcPr>
          <w:p w14:paraId="188DEDD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w:t>
            </w:r>
          </w:p>
        </w:tc>
      </w:tr>
      <w:tr w:rsidR="006117AA" w:rsidRPr="00116A61" w14:paraId="7093F5F4" w14:textId="77777777" w:rsidTr="006117AA">
        <w:trPr>
          <w:trHeight w:val="783"/>
        </w:trPr>
        <w:tc>
          <w:tcPr>
            <w:tcW w:w="3881" w:type="dxa"/>
          </w:tcPr>
          <w:p w14:paraId="7765561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w:t>
            </w:r>
          </w:p>
        </w:tc>
        <w:tc>
          <w:tcPr>
            <w:tcW w:w="2846" w:type="dxa"/>
          </w:tcPr>
          <w:p w14:paraId="05A4E60F"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Urbain</w:t>
            </w:r>
          </w:p>
        </w:tc>
        <w:tc>
          <w:tcPr>
            <w:tcW w:w="2794" w:type="dxa"/>
          </w:tcPr>
          <w:p w14:paraId="221A935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Recours aux MA fréquent en ville</w:t>
            </w:r>
          </w:p>
        </w:tc>
      </w:tr>
    </w:tbl>
    <w:p w14:paraId="774F810E"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4016FA2F"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le niveau d'instruction:</w:t>
      </w:r>
    </w:p>
    <w:p w14:paraId="4C88BFE7"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Les utilisateurs de phytothérapie sont majoritairement de niveau primaire (31,6 %) ou analphabète (29,1 %), soit 60,7 % de faible niveau d'instruction. Chez les non-utilisateurs, les analphabètes représentent 35,5 % et le niveau primaire 23,7 %, soit 59,2 % également de bas niveau. La différence entre les deux groupes est peu marquée, nuançant l'idée reçue selon laquelle la phytothérapie serait l'apanage exclusif des patients peu instruits.</w:t>
      </w:r>
    </w:p>
    <w:p w14:paraId="3536F129"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lastRenderedPageBreak/>
        <w:t>L'étude de Tlemcen a retrouvé une prédominance similaire des niveaux primaire et analphabète chez les utilisateurs, avec toutefois une proportion légèrement plus élevée de patients instruits ayant recours aux plantes, attribuée à une démarche de recherche d'informations sur les plantes via internet. L'étude tunisienne et l'étude camerounaise ont toutes deux retrouvé une prévalence plus élevée du recours aux plantes chez les patients de faible niveau scolaire. À l'inverse, l'étude allemande a observé un recours aux médecines alternatives fréquent aussi chez les patients instruits, motivé par une démarche proactive plutôt que par méfiance. Ces résultats suggèrent que le niveau d'instruction influence davantage les motivations que la prévalence du recours lui-même.</w:t>
      </w:r>
    </w:p>
    <w:p w14:paraId="6A633680" w14:textId="64973F80"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78ADB33F" w14:textId="77F1CF57" w:rsidR="0059682C" w:rsidRDefault="0059682C" w:rsidP="0059682C">
      <w:pPr>
        <w:pStyle w:val="Caption"/>
        <w:keepNext/>
      </w:pPr>
      <w:bookmarkStart w:id="229" w:name="_Toc229617415"/>
      <w:r>
        <w:t xml:space="preserve">Tableau </w:t>
      </w:r>
      <w:r>
        <w:fldChar w:fldCharType="begin"/>
      </w:r>
      <w:r>
        <w:instrText xml:space="preserve"> SEQ Tableau \* ARABIC </w:instrText>
      </w:r>
      <w:r>
        <w:fldChar w:fldCharType="separate"/>
      </w:r>
      <w:r w:rsidR="00983108">
        <w:rPr>
          <w:noProof/>
        </w:rPr>
        <w:t>54</w:t>
      </w:r>
      <w:r>
        <w:fldChar w:fldCharType="end"/>
      </w:r>
      <w:r>
        <w:t xml:space="preserve"> </w:t>
      </w:r>
      <w:r w:rsidRPr="006B5CA8">
        <w:t xml:space="preserve">Comparaison de population d'étude selon le niveau </w:t>
      </w:r>
      <w:proofErr w:type="gramStart"/>
      <w:r w:rsidRPr="006B5CA8">
        <w:t>d'instruction:</w:t>
      </w:r>
      <w:bookmarkEnd w:id="229"/>
      <w:proofErr w:type="gramEnd"/>
    </w:p>
    <w:tbl>
      <w:tblPr>
        <w:tblStyle w:val="TableGrid2"/>
        <w:tblW w:w="9318" w:type="dxa"/>
        <w:tblLook w:val="04A0" w:firstRow="1" w:lastRow="0" w:firstColumn="1" w:lastColumn="0" w:noHBand="0" w:noVBand="1"/>
      </w:tblPr>
      <w:tblGrid>
        <w:gridCol w:w="4811"/>
        <w:gridCol w:w="4507"/>
      </w:tblGrid>
      <w:tr w:rsidR="006117AA" w:rsidRPr="00116A61" w14:paraId="6B1717C8" w14:textId="77777777" w:rsidTr="006117AA">
        <w:trPr>
          <w:trHeight w:val="256"/>
        </w:trPr>
        <w:tc>
          <w:tcPr>
            <w:tcW w:w="4811" w:type="dxa"/>
          </w:tcPr>
          <w:p w14:paraId="7B2EBE0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4507" w:type="dxa"/>
          </w:tcPr>
          <w:p w14:paraId="4B3C8069"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Profil dominant chez les utilisateurs</w:t>
            </w:r>
          </w:p>
        </w:tc>
      </w:tr>
      <w:tr w:rsidR="006117AA" w:rsidRPr="006117AA" w14:paraId="34AECE35" w14:textId="77777777" w:rsidTr="006117AA">
        <w:trPr>
          <w:trHeight w:val="266"/>
        </w:trPr>
        <w:tc>
          <w:tcPr>
            <w:tcW w:w="4811" w:type="dxa"/>
          </w:tcPr>
          <w:p w14:paraId="6FF8331D"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 utilisateurs</w:t>
            </w:r>
          </w:p>
        </w:tc>
        <w:tc>
          <w:tcPr>
            <w:tcW w:w="4507" w:type="dxa"/>
          </w:tcPr>
          <w:p w14:paraId="1FCDC94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Primaire + analphabète = 60,7 %</w:t>
            </w:r>
          </w:p>
        </w:tc>
      </w:tr>
      <w:tr w:rsidR="006117AA" w:rsidRPr="006117AA" w14:paraId="395CF081" w14:textId="77777777" w:rsidTr="006117AA">
        <w:trPr>
          <w:trHeight w:val="522"/>
        </w:trPr>
        <w:tc>
          <w:tcPr>
            <w:tcW w:w="4811" w:type="dxa"/>
          </w:tcPr>
          <w:p w14:paraId="312989F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 non-utilisateurs</w:t>
            </w:r>
          </w:p>
        </w:tc>
        <w:tc>
          <w:tcPr>
            <w:tcW w:w="4507" w:type="dxa"/>
          </w:tcPr>
          <w:p w14:paraId="219DAF5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Analphabète + primaire = 59,2 %</w:t>
            </w:r>
          </w:p>
        </w:tc>
      </w:tr>
      <w:tr w:rsidR="006117AA" w:rsidRPr="00116A61" w14:paraId="2614F623" w14:textId="77777777" w:rsidTr="006117AA">
        <w:trPr>
          <w:trHeight w:val="513"/>
        </w:trPr>
        <w:tc>
          <w:tcPr>
            <w:tcW w:w="4811" w:type="dxa"/>
          </w:tcPr>
          <w:p w14:paraId="3D83526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4507" w:type="dxa"/>
          </w:tcPr>
          <w:p w14:paraId="71FD8645"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Bas niveau majoritaire, instruits également présents</w:t>
            </w:r>
          </w:p>
        </w:tc>
      </w:tr>
      <w:tr w:rsidR="006117AA" w:rsidRPr="006117AA" w14:paraId="68A25EE1" w14:textId="77777777" w:rsidTr="006117AA">
        <w:trPr>
          <w:trHeight w:val="266"/>
        </w:trPr>
        <w:tc>
          <w:tcPr>
            <w:tcW w:w="4811" w:type="dxa"/>
          </w:tcPr>
          <w:p w14:paraId="0D3353F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4507" w:type="dxa"/>
          </w:tcPr>
          <w:p w14:paraId="0527F303"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Faible niveau scolaire prédominant</w:t>
            </w:r>
          </w:p>
        </w:tc>
      </w:tr>
      <w:tr w:rsidR="006117AA" w:rsidRPr="00116A61" w14:paraId="5B083FB0" w14:textId="77777777" w:rsidTr="006117AA">
        <w:trPr>
          <w:trHeight w:val="522"/>
        </w:trPr>
        <w:tc>
          <w:tcPr>
            <w:tcW w:w="4811" w:type="dxa"/>
          </w:tcPr>
          <w:p w14:paraId="381EBEB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4507" w:type="dxa"/>
          </w:tcPr>
          <w:p w14:paraId="0E868E2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Faible instruction associée aux pratiques traditionnelles</w:t>
            </w:r>
          </w:p>
        </w:tc>
      </w:tr>
      <w:tr w:rsidR="006117AA" w:rsidRPr="00116A61" w14:paraId="19276D23" w14:textId="77777777" w:rsidTr="006117AA">
        <w:trPr>
          <w:trHeight w:val="513"/>
        </w:trPr>
        <w:tc>
          <w:tcPr>
            <w:tcW w:w="4811" w:type="dxa"/>
          </w:tcPr>
          <w:p w14:paraId="668034C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4507" w:type="dxa"/>
          </w:tcPr>
          <w:p w14:paraId="5F74A69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Recours fréquent aussi chez les instruits</w:t>
            </w:r>
          </w:p>
        </w:tc>
      </w:tr>
    </w:tbl>
    <w:p w14:paraId="18928460"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47ED143E" w14:textId="77777777" w:rsidR="006117AA" w:rsidRPr="006117AA" w:rsidRDefault="006117AA" w:rsidP="006117AA">
      <w:pPr>
        <w:spacing w:before="100" w:after="100" w:line="360" w:lineRule="auto"/>
        <w:jc w:val="both"/>
        <w:rPr>
          <w:rFonts w:ascii="Times New Roman" w:eastAsia="Arial" w:hAnsi="Times New Roman" w:cs="Times New Roman"/>
          <w:b/>
          <w:bCs/>
          <w:sz w:val="40"/>
          <w:szCs w:val="40"/>
          <w:lang w:val="fr-FR" w:eastAsia="fr-FR"/>
        </w:rPr>
      </w:pPr>
      <w:proofErr w:type="gramStart"/>
      <w:r w:rsidRPr="006117AA">
        <w:rPr>
          <w:rFonts w:ascii="Times New Roman" w:eastAsia="Arial" w:hAnsi="Times New Roman" w:cs="Times New Roman"/>
          <w:b/>
          <w:bCs/>
          <w:sz w:val="40"/>
          <w:szCs w:val="40"/>
          <w:lang w:val="fr-FR" w:eastAsia="fr-FR"/>
        </w:rPr>
        <w:t>selon</w:t>
      </w:r>
      <w:proofErr w:type="gramEnd"/>
      <w:r w:rsidRPr="006117AA">
        <w:rPr>
          <w:rFonts w:ascii="Times New Roman" w:eastAsia="Arial" w:hAnsi="Times New Roman" w:cs="Times New Roman"/>
          <w:b/>
          <w:bCs/>
          <w:sz w:val="40"/>
          <w:szCs w:val="40"/>
          <w:lang w:val="fr-FR" w:eastAsia="fr-FR"/>
        </w:rPr>
        <w:t xml:space="preserve"> le niveau socio-économique:</w:t>
      </w:r>
    </w:p>
    <w:p w14:paraId="6D2E5F4B" w14:textId="77777777" w:rsidR="006117AA" w:rsidRPr="006117AA" w:rsidRDefault="006117AA" w:rsidP="006117AA">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Le niveau socio-économique moyen domine dans les deux groupes (75,9 % chez les utilisateurs, 74,2 % chez les non-utilisateurs), avec une distribution quasi identique ne permettant pas de distinguer les deux groupes sur cette variable.</w:t>
      </w:r>
    </w:p>
    <w:p w14:paraId="508C3F0D" w14:textId="45A07F9E" w:rsidR="0059682C" w:rsidRPr="006117AA" w:rsidRDefault="006117AA" w:rsidP="0059682C">
      <w:pPr>
        <w:spacing w:before="100" w:after="100" w:line="360" w:lineRule="auto"/>
        <w:jc w:val="both"/>
        <w:rPr>
          <w:rFonts w:ascii="Times New Roman" w:eastAsia="Arial" w:hAnsi="Times New Roman" w:cs="Times New Roman"/>
          <w:szCs w:val="24"/>
          <w:lang w:val="fr-FR" w:eastAsia="fr-FR"/>
        </w:rPr>
      </w:pPr>
      <w:r w:rsidRPr="006117AA">
        <w:rPr>
          <w:rFonts w:ascii="Times New Roman" w:eastAsia="Arial" w:hAnsi="Times New Roman" w:cs="Times New Roman"/>
          <w:szCs w:val="24"/>
          <w:lang w:val="fr-FR" w:eastAsia="fr-FR"/>
        </w:rPr>
        <w:t xml:space="preserve">L'étude de Tlemcen a retrouvé la même prédominance du niveau moyen dans les deux groupes, sans différence significative, ce qui concorde avec notre résultat dans un contexte algérien où les médicaments antidiabétiques sont largement subventionnés, réduisant le poids du facteur économique dans le choix thérapeutique. L'étude tunisienne n'a pas retrouvé de différence statistiquement significative du niveau socio-économique entre utilisateurs et non-utilisateurs. </w:t>
      </w:r>
      <w:r w:rsidRPr="006117AA">
        <w:rPr>
          <w:rFonts w:ascii="Times New Roman" w:eastAsia="Arial" w:hAnsi="Times New Roman" w:cs="Times New Roman"/>
          <w:szCs w:val="24"/>
          <w:lang w:val="fr-FR" w:eastAsia="fr-FR"/>
        </w:rPr>
        <w:lastRenderedPageBreak/>
        <w:t>L'étude camerounaise a en revanche rapporté une association entre revenu bas et recours à la médecine traditionnelle, dans un contexte d'accès limité aux médicaments conventionnels. L'étude allemande, dans un contexte de couverture sociale universelle, n'a pas retrouvé de lien entre revenus et recours aux médecines alternatives. Ces résultats indiquent que le niveau socio-économique n'est pas un déterminant majeur du recours à la phytothérapie dans les contextes où l'accès aux so</w:t>
      </w:r>
      <w:r w:rsidR="0059682C">
        <w:rPr>
          <w:rFonts w:ascii="Times New Roman" w:eastAsia="Arial" w:hAnsi="Times New Roman" w:cs="Times New Roman"/>
          <w:szCs w:val="24"/>
          <w:lang w:val="fr-FR" w:eastAsia="fr-FR"/>
        </w:rPr>
        <w:t>ins conventionnels est garanti.</w:t>
      </w:r>
    </w:p>
    <w:p w14:paraId="7BB1C6BD" w14:textId="3CCAF0FF" w:rsidR="0059682C" w:rsidRDefault="0059682C" w:rsidP="0059682C">
      <w:pPr>
        <w:pStyle w:val="Caption"/>
        <w:keepNext/>
      </w:pPr>
    </w:p>
    <w:p w14:paraId="57021D48" w14:textId="5758E786" w:rsidR="0059682C" w:rsidRDefault="0059682C" w:rsidP="0059682C">
      <w:pPr>
        <w:pStyle w:val="Caption"/>
        <w:keepNext/>
      </w:pPr>
      <w:bookmarkStart w:id="230" w:name="_Toc229617416"/>
      <w:r>
        <w:t xml:space="preserve">Tableau </w:t>
      </w:r>
      <w:r>
        <w:fldChar w:fldCharType="begin"/>
      </w:r>
      <w:r>
        <w:instrText xml:space="preserve"> SEQ Tableau \* ARABIC </w:instrText>
      </w:r>
      <w:r>
        <w:fldChar w:fldCharType="separate"/>
      </w:r>
      <w:r w:rsidR="00983108">
        <w:rPr>
          <w:noProof/>
        </w:rPr>
        <w:t>55</w:t>
      </w:r>
      <w:r>
        <w:fldChar w:fldCharType="end"/>
      </w:r>
      <w:r>
        <w:t xml:space="preserve"> </w:t>
      </w:r>
      <w:r w:rsidRPr="004C4A81">
        <w:t>Comparaison de population d'étude selon le niveau socio-économique :</w:t>
      </w:r>
      <w:bookmarkEnd w:id="230"/>
    </w:p>
    <w:tbl>
      <w:tblPr>
        <w:tblStyle w:val="TableGrid2"/>
        <w:tblW w:w="9317" w:type="dxa"/>
        <w:tblLook w:val="04A0" w:firstRow="1" w:lastRow="0" w:firstColumn="1" w:lastColumn="0" w:noHBand="0" w:noVBand="1"/>
      </w:tblPr>
      <w:tblGrid>
        <w:gridCol w:w="4051"/>
        <w:gridCol w:w="2633"/>
        <w:gridCol w:w="2633"/>
      </w:tblGrid>
      <w:tr w:rsidR="006117AA" w:rsidRPr="006117AA" w14:paraId="0270F740" w14:textId="77777777" w:rsidTr="006117AA">
        <w:trPr>
          <w:trHeight w:val="527"/>
        </w:trPr>
        <w:tc>
          <w:tcPr>
            <w:tcW w:w="4051" w:type="dxa"/>
          </w:tcPr>
          <w:p w14:paraId="2D958BDE"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w:t>
            </w:r>
          </w:p>
        </w:tc>
        <w:tc>
          <w:tcPr>
            <w:tcW w:w="2633" w:type="dxa"/>
          </w:tcPr>
          <w:p w14:paraId="5D238FA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NSE dominant</w:t>
            </w:r>
          </w:p>
        </w:tc>
        <w:tc>
          <w:tcPr>
            <w:tcW w:w="2633" w:type="dxa"/>
          </w:tcPr>
          <w:p w14:paraId="3849CE0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Différence entre groupes</w:t>
            </w:r>
          </w:p>
        </w:tc>
      </w:tr>
      <w:tr w:rsidR="006117AA" w:rsidRPr="006117AA" w14:paraId="33A7952D" w14:textId="77777777" w:rsidTr="006117AA">
        <w:trPr>
          <w:trHeight w:val="258"/>
        </w:trPr>
        <w:tc>
          <w:tcPr>
            <w:tcW w:w="4051" w:type="dxa"/>
          </w:tcPr>
          <w:p w14:paraId="42CA018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Notre étude — Laghouat</w:t>
            </w:r>
          </w:p>
        </w:tc>
        <w:tc>
          <w:tcPr>
            <w:tcW w:w="2633" w:type="dxa"/>
          </w:tcPr>
          <w:p w14:paraId="5AA9897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Moyen (~75 %)</w:t>
            </w:r>
          </w:p>
        </w:tc>
        <w:tc>
          <w:tcPr>
            <w:tcW w:w="2633" w:type="dxa"/>
          </w:tcPr>
          <w:p w14:paraId="350C4B0A"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Non significative</w:t>
            </w:r>
          </w:p>
        </w:tc>
      </w:tr>
      <w:tr w:rsidR="006117AA" w:rsidRPr="006117AA" w14:paraId="3A7B743F" w14:textId="77777777" w:rsidTr="006117AA">
        <w:trPr>
          <w:trHeight w:val="268"/>
        </w:trPr>
        <w:tc>
          <w:tcPr>
            <w:tcW w:w="4051" w:type="dxa"/>
          </w:tcPr>
          <w:p w14:paraId="3F12B152"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de Tlemcen — Algérie</w:t>
            </w:r>
          </w:p>
        </w:tc>
        <w:tc>
          <w:tcPr>
            <w:tcW w:w="2633" w:type="dxa"/>
          </w:tcPr>
          <w:p w14:paraId="4B2965B0"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Moyen majoritaire</w:t>
            </w:r>
          </w:p>
        </w:tc>
        <w:tc>
          <w:tcPr>
            <w:tcW w:w="2633" w:type="dxa"/>
          </w:tcPr>
          <w:p w14:paraId="0E2EF50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Non significative</w:t>
            </w:r>
          </w:p>
        </w:tc>
      </w:tr>
      <w:tr w:rsidR="006117AA" w:rsidRPr="006117AA" w14:paraId="4C31416B" w14:textId="77777777" w:rsidTr="006117AA">
        <w:trPr>
          <w:trHeight w:val="258"/>
        </w:trPr>
        <w:tc>
          <w:tcPr>
            <w:tcW w:w="4051" w:type="dxa"/>
          </w:tcPr>
          <w:p w14:paraId="2D27792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tunisienne — INN Tunis</w:t>
            </w:r>
          </w:p>
        </w:tc>
        <w:tc>
          <w:tcPr>
            <w:tcW w:w="2633" w:type="dxa"/>
          </w:tcPr>
          <w:p w14:paraId="5E5F354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Moyen</w:t>
            </w:r>
          </w:p>
        </w:tc>
        <w:tc>
          <w:tcPr>
            <w:tcW w:w="2633" w:type="dxa"/>
          </w:tcPr>
          <w:p w14:paraId="058B4DB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Non significative</w:t>
            </w:r>
          </w:p>
        </w:tc>
      </w:tr>
      <w:tr w:rsidR="006117AA" w:rsidRPr="006117AA" w14:paraId="21DA8CFA" w14:textId="77777777" w:rsidTr="006117AA">
        <w:trPr>
          <w:trHeight w:val="527"/>
        </w:trPr>
        <w:tc>
          <w:tcPr>
            <w:tcW w:w="4051" w:type="dxa"/>
          </w:tcPr>
          <w:p w14:paraId="18A77AD8"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Dongmo et al. — Cameroun</w:t>
            </w:r>
          </w:p>
        </w:tc>
        <w:tc>
          <w:tcPr>
            <w:tcW w:w="2633" w:type="dxa"/>
          </w:tcPr>
          <w:p w14:paraId="6C20633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Bas revenu</w:t>
            </w:r>
          </w:p>
        </w:tc>
        <w:tc>
          <w:tcPr>
            <w:tcW w:w="2633" w:type="dxa"/>
          </w:tcPr>
          <w:p w14:paraId="318A4DE1"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Association significative</w:t>
            </w:r>
          </w:p>
        </w:tc>
      </w:tr>
      <w:tr w:rsidR="006117AA" w:rsidRPr="006117AA" w14:paraId="021BE957" w14:textId="77777777" w:rsidTr="006117AA">
        <w:trPr>
          <w:trHeight w:val="258"/>
        </w:trPr>
        <w:tc>
          <w:tcPr>
            <w:tcW w:w="4051" w:type="dxa"/>
          </w:tcPr>
          <w:p w14:paraId="585F1D4C"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Étude allemande — Europe</w:t>
            </w:r>
          </w:p>
        </w:tc>
        <w:tc>
          <w:tcPr>
            <w:tcW w:w="2633" w:type="dxa"/>
          </w:tcPr>
          <w:p w14:paraId="53F3DB94"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Variable</w:t>
            </w:r>
          </w:p>
        </w:tc>
        <w:tc>
          <w:tcPr>
            <w:tcW w:w="2633" w:type="dxa"/>
          </w:tcPr>
          <w:p w14:paraId="4D3B96FB" w14:textId="77777777" w:rsidR="006117AA" w:rsidRPr="006117AA" w:rsidRDefault="006117AA" w:rsidP="006117AA">
            <w:pPr>
              <w:spacing w:line="360" w:lineRule="auto"/>
              <w:jc w:val="both"/>
              <w:rPr>
                <w:rFonts w:ascii="Times New Roman" w:hAnsi="Times New Roman" w:cs="Times New Roman"/>
              </w:rPr>
            </w:pPr>
            <w:r w:rsidRPr="006117AA">
              <w:rPr>
                <w:rFonts w:ascii="Times New Roman" w:hAnsi="Times New Roman" w:cs="Times New Roman"/>
                <w:sz w:val="22"/>
              </w:rPr>
              <w:t>Pas de lien établi</w:t>
            </w:r>
          </w:p>
        </w:tc>
      </w:tr>
    </w:tbl>
    <w:p w14:paraId="03D34D08"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5C3ED5A4" w14:textId="77777777" w:rsidR="006117AA" w:rsidRPr="006117AA" w:rsidRDefault="006117AA" w:rsidP="006117AA">
      <w:pPr>
        <w:spacing w:before="80" w:after="80" w:line="360" w:lineRule="auto"/>
        <w:jc w:val="both"/>
        <w:rPr>
          <w:rFonts w:ascii="Times New Roman" w:eastAsia="Arial" w:hAnsi="Times New Roman" w:cs="Times New Roman"/>
          <w:szCs w:val="24"/>
          <w:lang w:val="fr-FR" w:eastAsia="fr-FR"/>
        </w:rPr>
      </w:pPr>
    </w:p>
    <w:p w14:paraId="0FB8E4F2" w14:textId="2D740B8E" w:rsidR="006117AA" w:rsidRDefault="006117AA">
      <w:pPr>
        <w:rPr>
          <w:sz w:val="28"/>
          <w:szCs w:val="28"/>
          <w:lang w:val="fr-FR"/>
        </w:rPr>
      </w:pPr>
      <w:r>
        <w:rPr>
          <w:sz w:val="28"/>
          <w:szCs w:val="28"/>
          <w:lang w:val="fr-FR"/>
        </w:rPr>
        <w:br w:type="page"/>
      </w:r>
    </w:p>
    <w:p w14:paraId="57EC0DFE" w14:textId="77777777" w:rsidR="00B139C3" w:rsidRDefault="00B139C3" w:rsidP="007277D4">
      <w:pPr>
        <w:rPr>
          <w:sz w:val="28"/>
          <w:szCs w:val="28"/>
          <w:lang w:val="fr-FR"/>
        </w:rPr>
      </w:pPr>
    </w:p>
    <w:p w14:paraId="0F71810B" w14:textId="77777777" w:rsidR="00664D0A" w:rsidRPr="00664D0A" w:rsidRDefault="00664D0A" w:rsidP="00B139C3">
      <w:pPr>
        <w:rPr>
          <w:sz w:val="28"/>
          <w:szCs w:val="28"/>
          <w:lang w:val="fr-FR"/>
        </w:rPr>
      </w:pPr>
    </w:p>
    <w:p w14:paraId="5501FD5C" w14:textId="77777777" w:rsidR="00664D0A" w:rsidRPr="00664D0A" w:rsidRDefault="00664D0A" w:rsidP="00B139C3">
      <w:pPr>
        <w:rPr>
          <w:rFonts w:ascii="Times New Roman" w:eastAsia="Times New Roman" w:hAnsi="Times New Roman" w:cs="Times New Roman"/>
          <w:lang w:val="fr-FR" w:eastAsia="fr-FR"/>
        </w:rPr>
      </w:pPr>
    </w:p>
    <w:p w14:paraId="4861A463" w14:textId="77777777" w:rsidR="00664D0A" w:rsidRPr="00664D0A" w:rsidRDefault="00664D0A" w:rsidP="00B139C3">
      <w:pPr>
        <w:rPr>
          <w:rFonts w:ascii="Times New Roman" w:eastAsia="Times New Roman" w:hAnsi="Times New Roman" w:cs="Times New Roman"/>
          <w:lang w:val="fr-FR" w:eastAsia="fr-FR"/>
        </w:rPr>
      </w:pPr>
    </w:p>
    <w:p w14:paraId="64EC4E5E" w14:textId="77777777" w:rsidR="00664D0A" w:rsidRPr="00664D0A" w:rsidRDefault="00664D0A" w:rsidP="00B139C3">
      <w:pPr>
        <w:rPr>
          <w:rFonts w:ascii="Times New Roman" w:eastAsia="Times New Roman" w:hAnsi="Times New Roman" w:cs="Times New Roman"/>
          <w:lang w:val="fr-FR" w:eastAsia="fr-FR"/>
        </w:rPr>
      </w:pPr>
    </w:p>
    <w:p w14:paraId="58875546" w14:textId="77777777" w:rsidR="00664D0A" w:rsidRPr="00664D0A" w:rsidRDefault="00664D0A" w:rsidP="00B139C3">
      <w:pPr>
        <w:rPr>
          <w:sz w:val="28"/>
          <w:szCs w:val="28"/>
          <w:lang w:val="fr-FR"/>
        </w:rPr>
      </w:pPr>
    </w:p>
    <w:p w14:paraId="5ADF3233" w14:textId="6F262A6C" w:rsidR="00664D0A" w:rsidRPr="00664D0A" w:rsidRDefault="00B139C3" w:rsidP="00B139C3">
      <w:pPr>
        <w:rPr>
          <w:rFonts w:ascii="Times New Roman" w:eastAsia="Times New Roman" w:hAnsi="Times New Roman" w:cs="Times New Roman"/>
          <w:lang w:val="fr-FR" w:eastAsia="fr-FR"/>
        </w:rPr>
      </w:pPr>
      <w:r>
        <w:rPr>
          <w:noProof/>
          <w:lang w:val="fr-FR" w:eastAsia="fr-FR"/>
        </w:rPr>
        <mc:AlternateContent>
          <mc:Choice Requires="wps">
            <w:drawing>
              <wp:anchor distT="0" distB="0" distL="114300" distR="114300" simplePos="0" relativeHeight="251666432" behindDoc="0" locked="0" layoutInCell="1" allowOverlap="1" wp14:anchorId="5723517B" wp14:editId="6AC930BA">
                <wp:simplePos x="0" y="0"/>
                <wp:positionH relativeFrom="margin">
                  <wp:posOffset>561975</wp:posOffset>
                </wp:positionH>
                <wp:positionV relativeFrom="paragraph">
                  <wp:posOffset>78650</wp:posOffset>
                </wp:positionV>
                <wp:extent cx="4797188" cy="3582537"/>
                <wp:effectExtent l="0" t="0" r="22860" b="18415"/>
                <wp:wrapNone/>
                <wp:docPr id="43" name="Snip Diagonal Corner Rectangle 43"/>
                <wp:cNvGraphicFramePr/>
                <a:graphic xmlns:a="http://schemas.openxmlformats.org/drawingml/2006/main">
                  <a:graphicData uri="http://schemas.microsoft.com/office/word/2010/wordprocessingShape">
                    <wps:wsp>
                      <wps:cNvSpPr/>
                      <wps:spPr>
                        <a:xfrm>
                          <a:off x="0" y="0"/>
                          <a:ext cx="4797188" cy="3582537"/>
                        </a:xfrm>
                        <a:prstGeom prst="snip2DiagRect">
                          <a:avLst/>
                        </a:prstGeom>
                        <a:solidFill>
                          <a:sysClr val="window" lastClr="FFFFFF"/>
                        </a:solidFill>
                        <a:ln w="12700" cap="flat" cmpd="sng" algn="ctr">
                          <a:solidFill>
                            <a:sysClr val="windowText" lastClr="000000"/>
                          </a:solidFill>
                          <a:prstDash val="solid"/>
                          <a:miter lim="800000"/>
                        </a:ln>
                        <a:effectLst/>
                      </wps:spPr>
                      <wps:txbx>
                        <w:txbxContent>
                          <w:p w14:paraId="0F6EEBA7" w14:textId="009C9A26" w:rsidR="00F568F0" w:rsidRPr="00B139C3" w:rsidRDefault="00F568F0" w:rsidP="007277D4">
                            <w:pPr>
                              <w:jc w:val="center"/>
                              <w:outlineLvl w:val="0"/>
                              <w:rPr>
                                <w:rFonts w:cstheme="majorBidi"/>
                                <w:b/>
                                <w:bCs/>
                                <w:sz w:val="96"/>
                                <w:szCs w:val="96"/>
                                <w:lang w:val="fr-FR"/>
                              </w:rPr>
                            </w:pPr>
                            <w:bookmarkStart w:id="231" w:name="_Toc229618851"/>
                            <w:r>
                              <w:rPr>
                                <w:rFonts w:cstheme="majorBidi"/>
                                <w:b/>
                                <w:bCs/>
                                <w:sz w:val="96"/>
                                <w:szCs w:val="96"/>
                                <w:lang w:val="fr-FR"/>
                              </w:rPr>
                              <w:t>Conclusion</w:t>
                            </w:r>
                            <w:bookmarkEnd w:id="23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3517B" id="Snip Diagonal Corner Rectangle 43" o:spid="_x0000_s1033" style="position:absolute;margin-left:44.25pt;margin-top:6.2pt;width:377.75pt;height:282.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797188,358253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" adj="-11796480,,5400" path="m,l4200087,r597101,597101l4797188,3582537r,l597101,3582537,,2985436,,xe" fillcolor="window" strokecolor="windowText" strokeweight="1pt">
                <v:stroke joinstyle="miter"/>
                <v:formulas/>
                <v:path arrowok="t" o:connecttype="custom" o:connectlocs="0,0;4200087,0;4797188,597101;4797188,3582537;4797188,3582537;597101,3582537;0,2985436;0,0" o:connectangles="0,0,0,0,0,0,0,0" textboxrect="0,0,4797188,3582537"/>
                <v:textbox>
                  <w:txbxContent>
                    <w:p w14:paraId="0F6EEBA7" w14:textId="009C9A26" w:rsidR="00F568F0" w:rsidRPr="00B139C3" w:rsidRDefault="00F568F0" w:rsidP="007277D4">
                      <w:pPr>
                        <w:jc w:val="center"/>
                        <w:outlineLvl w:val="0"/>
                        <w:rPr>
                          <w:rFonts w:cstheme="majorBidi"/>
                          <w:b/>
                          <w:bCs/>
                          <w:sz w:val="96"/>
                          <w:szCs w:val="96"/>
                          <w:lang w:val="fr-FR"/>
                        </w:rPr>
                      </w:pPr>
                      <w:bookmarkStart w:id="237" w:name="_Toc229618851"/>
                      <w:r>
                        <w:rPr>
                          <w:rFonts w:cstheme="majorBidi"/>
                          <w:b/>
                          <w:bCs/>
                          <w:sz w:val="96"/>
                          <w:szCs w:val="96"/>
                          <w:lang w:val="fr-FR"/>
                        </w:rPr>
                        <w:t>Conclusion</w:t>
                      </w:r>
                      <w:bookmarkEnd w:id="237"/>
                    </w:p>
                  </w:txbxContent>
                </v:textbox>
                <w10:wrap anchorx="margin"/>
              </v:shape>
            </w:pict>
          </mc:Fallback>
        </mc:AlternateContent>
      </w:r>
    </w:p>
    <w:p w14:paraId="3F95AB37" w14:textId="77777777" w:rsidR="00664D0A" w:rsidRPr="00664D0A" w:rsidRDefault="00664D0A" w:rsidP="00B139C3">
      <w:pPr>
        <w:rPr>
          <w:rFonts w:ascii="Times New Roman" w:eastAsia="Times New Roman" w:hAnsi="Times New Roman" w:cs="Times New Roman"/>
          <w:lang w:val="fr-FR" w:eastAsia="fr-FR"/>
        </w:rPr>
      </w:pPr>
    </w:p>
    <w:p w14:paraId="6BD62AE7" w14:textId="72BB2311" w:rsidR="00664D0A" w:rsidRPr="00664D0A" w:rsidRDefault="00664D0A" w:rsidP="00B139C3">
      <w:pPr>
        <w:rPr>
          <w:rFonts w:ascii="Times New Roman" w:eastAsia="Times New Roman" w:hAnsi="Times New Roman" w:cs="Times New Roman"/>
          <w:lang w:val="fr-FR" w:eastAsia="fr-FR"/>
        </w:rPr>
      </w:pPr>
    </w:p>
    <w:p w14:paraId="1238DC87" w14:textId="5561A58B" w:rsidR="00664D0A" w:rsidRPr="00664D0A" w:rsidRDefault="00664D0A" w:rsidP="00B139C3">
      <w:pPr>
        <w:rPr>
          <w:rFonts w:ascii="Times New Roman" w:eastAsia="Calibri" w:hAnsi="Times New Roman" w:cs="Times New Roman"/>
          <w:sz w:val="28"/>
          <w:szCs w:val="28"/>
          <w:lang w:val="fr-FR"/>
        </w:rPr>
      </w:pPr>
    </w:p>
    <w:p w14:paraId="2A70DD38" w14:textId="59B631DD" w:rsidR="00664D0A" w:rsidRPr="00664D0A" w:rsidRDefault="00664D0A" w:rsidP="00B139C3">
      <w:pPr>
        <w:rPr>
          <w:rFonts w:ascii="Times New Roman" w:eastAsia="Times New Roman" w:hAnsi="Times New Roman" w:cs="Times New Roman"/>
          <w:lang w:val="fr-FR" w:eastAsia="fr-FR"/>
        </w:rPr>
      </w:pPr>
    </w:p>
    <w:p w14:paraId="46E36D55" w14:textId="5813A6F5" w:rsidR="00664D0A" w:rsidRPr="00664D0A" w:rsidRDefault="00664D0A" w:rsidP="00B139C3">
      <w:pPr>
        <w:rPr>
          <w:rFonts w:eastAsia="Times New Roman"/>
          <w:lang w:val="fr-FR" w:eastAsia="fr-FR"/>
        </w:rPr>
      </w:pPr>
    </w:p>
    <w:p w14:paraId="1DE6345E" w14:textId="77777777" w:rsidR="00664D0A" w:rsidRPr="00664D0A" w:rsidRDefault="00664D0A" w:rsidP="00B139C3">
      <w:pPr>
        <w:rPr>
          <w:lang w:val="fr-FR"/>
        </w:rPr>
      </w:pPr>
    </w:p>
    <w:p w14:paraId="2373AF80" w14:textId="1C8ECCC3" w:rsidR="00664D0A" w:rsidRPr="00664D0A" w:rsidRDefault="00664D0A" w:rsidP="00B139C3">
      <w:pPr>
        <w:rPr>
          <w:sz w:val="32"/>
          <w:szCs w:val="32"/>
          <w:lang w:val="fr-FR"/>
        </w:rPr>
      </w:pPr>
    </w:p>
    <w:p w14:paraId="28208191" w14:textId="77777777" w:rsidR="00664D0A" w:rsidRPr="00664D0A" w:rsidRDefault="00664D0A" w:rsidP="00B139C3">
      <w:pPr>
        <w:rPr>
          <w:lang w:val="fr-FR" w:bidi="ar-DZ"/>
        </w:rPr>
      </w:pPr>
    </w:p>
    <w:p w14:paraId="021756C5" w14:textId="77777777" w:rsidR="00664D0A" w:rsidRDefault="00664D0A" w:rsidP="00B139C3">
      <w:pPr>
        <w:rPr>
          <w:lang w:val="fr-FR"/>
        </w:rPr>
      </w:pPr>
    </w:p>
    <w:p w14:paraId="546874CB" w14:textId="2F3E1EB1" w:rsidR="00664D0A" w:rsidRPr="00664D0A" w:rsidRDefault="00664D0A" w:rsidP="00B139C3">
      <w:pPr>
        <w:rPr>
          <w:lang w:val="fr-FR"/>
        </w:rPr>
      </w:pPr>
    </w:p>
    <w:p w14:paraId="4655768D" w14:textId="7B668C6B" w:rsidR="00664D0A" w:rsidRPr="00664D0A" w:rsidRDefault="00664D0A" w:rsidP="00B139C3">
      <w:pPr>
        <w:rPr>
          <w:lang w:val="fr-FR"/>
        </w:rPr>
      </w:pPr>
    </w:p>
    <w:p w14:paraId="57B1D1CB" w14:textId="69A79D49" w:rsidR="00664D0A" w:rsidRPr="00664D0A" w:rsidRDefault="00664D0A" w:rsidP="00B139C3">
      <w:pPr>
        <w:rPr>
          <w:lang w:val="fr-FR"/>
        </w:rPr>
      </w:pPr>
    </w:p>
    <w:p w14:paraId="5BCA3907" w14:textId="43A33644" w:rsidR="00664D0A" w:rsidRPr="00664D0A" w:rsidRDefault="00664D0A" w:rsidP="00B139C3">
      <w:pPr>
        <w:rPr>
          <w:lang w:val="fr-FR"/>
        </w:rPr>
      </w:pPr>
    </w:p>
    <w:p w14:paraId="77FAAB0A" w14:textId="7EE991E0" w:rsidR="00664D0A" w:rsidRPr="00664D0A" w:rsidRDefault="00664D0A" w:rsidP="00B139C3">
      <w:pPr>
        <w:rPr>
          <w:lang w:val="fr-FR"/>
        </w:rPr>
      </w:pPr>
    </w:p>
    <w:p w14:paraId="6680953E" w14:textId="130CDA7A" w:rsidR="00664D0A" w:rsidRDefault="00664D0A" w:rsidP="00B139C3">
      <w:pPr>
        <w:rPr>
          <w:lang w:val="fr-FR"/>
        </w:rPr>
      </w:pPr>
      <w:r>
        <w:rPr>
          <w:lang w:val="fr-FR"/>
        </w:rPr>
        <w:tab/>
      </w:r>
    </w:p>
    <w:p w14:paraId="6DEA5A0A" w14:textId="4FA28648" w:rsidR="00664D0A" w:rsidRDefault="00664D0A" w:rsidP="00B139C3">
      <w:pPr>
        <w:rPr>
          <w:lang w:val="fr-FR"/>
        </w:rPr>
      </w:pPr>
      <w:r>
        <w:rPr>
          <w:lang w:val="fr-FR"/>
        </w:rPr>
        <w:br w:type="page"/>
      </w:r>
    </w:p>
    <w:p w14:paraId="528D2EC3" w14:textId="77777777" w:rsidR="00664D0A" w:rsidRPr="005D40BC" w:rsidRDefault="00664D0A" w:rsidP="00B139C3">
      <w:pPr>
        <w:rPr>
          <w:sz w:val="40"/>
          <w:szCs w:val="40"/>
        </w:rPr>
      </w:pPr>
      <w:proofErr w:type="gramStart"/>
      <w:r w:rsidRPr="008A1758">
        <w:rPr>
          <w:sz w:val="40"/>
          <w:szCs w:val="40"/>
        </w:rPr>
        <w:lastRenderedPageBreak/>
        <w:t>Conclusion :</w:t>
      </w:r>
      <w:proofErr w:type="gramEnd"/>
    </w:p>
    <w:p w14:paraId="0D47D5DF" w14:textId="77777777" w:rsidR="00664D0A" w:rsidRPr="00664D0A" w:rsidRDefault="00664D0A" w:rsidP="00B139C3">
      <w:pPr>
        <w:rPr>
          <w:lang w:val="fr-FR"/>
        </w:rPr>
      </w:pPr>
      <w:r w:rsidRPr="00664D0A">
        <w:rPr>
          <w:sz w:val="36"/>
          <w:szCs w:val="36"/>
          <w:lang w:val="fr-FR"/>
        </w:rPr>
        <w:t xml:space="preserve">    </w:t>
      </w:r>
      <w:r w:rsidRPr="00664D0A">
        <w:rPr>
          <w:lang w:val="fr-FR"/>
        </w:rPr>
        <w:t>Le diabète sucré de type 2 est devenu l'un des problèmes sanitaires les plus préoccupants de notre époque, constituant une véritable épidémie mondiale aux conséquences humaines, sociales et économiques considérables. En Algérie, et particulièrement dans la région de Laghouat, les plantes médicinales sont encore largement utilisées par les patients diabétiques pour gérer cette maladie chronique, souvent en parallèle et sans déclaration au médecin traitant. C'est dans cette optique que nous avons réalisé cette enquête épidémiologique transversale afin de documenter les pratiques phytothérapeutiques des patients diabétiques de type 2 suivis au niveau de la polyclinique Djoudi Ahmed de Laghouat, d'en identifier les déterminants et d'évaluer leur relation avec l'équilibre métabolique.</w:t>
      </w:r>
    </w:p>
    <w:p w14:paraId="17E47620" w14:textId="77777777" w:rsidR="00664D0A" w:rsidRPr="00664D0A" w:rsidRDefault="00664D0A" w:rsidP="00B139C3">
      <w:pPr>
        <w:rPr>
          <w:lang w:val="fr-FR"/>
        </w:rPr>
      </w:pPr>
    </w:p>
    <w:p w14:paraId="32946040" w14:textId="77777777" w:rsidR="00664D0A" w:rsidRPr="00664D0A" w:rsidRDefault="00664D0A" w:rsidP="00B139C3">
      <w:pPr>
        <w:rPr>
          <w:lang w:val="fr-FR"/>
        </w:rPr>
      </w:pPr>
      <w:r w:rsidRPr="00664D0A">
        <w:rPr>
          <w:lang w:val="fr-FR"/>
        </w:rPr>
        <w:t xml:space="preserve">    </w:t>
      </w:r>
      <w:r w:rsidRPr="00664D0A">
        <w:rPr>
          <w:rFonts w:ascii="Times New Roman" w:eastAsia="Times New Roman" w:hAnsi="Times New Roman" w:cs="Times New Roman"/>
          <w:lang w:val="fr-FR"/>
        </w:rPr>
        <w:t>Dans cette étude portant sur 251 pati</w:t>
      </w:r>
      <w:r w:rsidRPr="00664D0A">
        <w:rPr>
          <w:lang w:val="fr-FR"/>
        </w:rPr>
        <w:t xml:space="preserve">ents répartis en deux groupes : </w:t>
      </w:r>
      <w:r w:rsidRPr="00664D0A">
        <w:rPr>
          <w:rFonts w:ascii="Times New Roman" w:eastAsia="Times New Roman" w:hAnsi="Times New Roman" w:cs="Times New Roman"/>
          <w:lang w:val="fr-FR"/>
        </w:rPr>
        <w:t>utilisateurs de plantes médicinales (n=1</w:t>
      </w:r>
      <w:r w:rsidRPr="00664D0A">
        <w:rPr>
          <w:lang w:val="fr-FR"/>
        </w:rPr>
        <w:t xml:space="preserve">58) et non-utilisateurs (n=93), </w:t>
      </w:r>
      <w:r w:rsidRPr="00664D0A">
        <w:rPr>
          <w:rFonts w:ascii="Times New Roman" w:eastAsia="Times New Roman" w:hAnsi="Times New Roman" w:cs="Times New Roman"/>
          <w:lang w:val="fr-FR"/>
        </w:rPr>
        <w:t>plusieurs variables sociodémographiques, cliniques, biologiques et comportementales ont été comparées. Les résultats ont mis en évidence que les utilisateurs de phytothérapie présentaient un profil sociodémographique globalement comparable à celui des non-utilisateurs, avec toutefois une légère prédominance féminine, une représentation plus marquée des tranches d'âge avancées et une proportion plus élevée de patients de faible niveau d'instruction. Sur le plan clinique, une tendance à un meilleur équilibre glycémique relatif a été observée dans le groupe utilisateurs par rapport au groupe non-utilisateurs, sans que cette différence puisse être attribuée de manière causale à l'usage des plantes médicinales, compte tenu du caractère transversal de l'étude et de la multiplicité des facteurs confondan</w:t>
      </w:r>
      <w:r w:rsidRPr="00664D0A">
        <w:rPr>
          <w:lang w:val="fr-FR"/>
        </w:rPr>
        <w:t>ts.</w:t>
      </w:r>
    </w:p>
    <w:p w14:paraId="013D3AB1" w14:textId="77777777" w:rsidR="00664D0A" w:rsidRPr="00664D0A" w:rsidRDefault="00664D0A" w:rsidP="00B139C3">
      <w:pPr>
        <w:rPr>
          <w:lang w:val="fr-FR"/>
        </w:rPr>
      </w:pPr>
    </w:p>
    <w:p w14:paraId="250137B3" w14:textId="77777777" w:rsidR="00664D0A" w:rsidRPr="00664D0A" w:rsidRDefault="00664D0A" w:rsidP="00B139C3">
      <w:pPr>
        <w:rPr>
          <w:lang w:val="fr-FR"/>
        </w:rPr>
      </w:pPr>
      <w:r w:rsidRPr="00664D0A">
        <w:rPr>
          <w:rFonts w:ascii="Times New Roman" w:eastAsia="Times New Roman" w:hAnsi="Times New Roman" w:cs="Times New Roman"/>
          <w:lang w:val="fr-FR"/>
        </w:rPr>
        <w:t xml:space="preserve">Ainsi, les résultats de notre étude suggèrent que le recours à la phytothérapie est une pratique répandue, structurée et culturellement ancrée chez les patients diabétiques de la région de Laghouat, et que son impact sur l'équilibre métabolique, bien que non démontré de manière causale, mérite d'être exploré par des études longitudinales contrôlées. Cette étude demeure à son stade préliminaire et constitue une base de travail appelant des investigations phytochimiques, pharmacologiques et cliniques plus approfondies, notamment sur les espèces présentant les valeurs d'usage les plus élevées, afin de mieux caractériser leurs composés actifs, leurs mécanismes d'action et leur profil de sécurité dans le contexte spécifique du diabète de </w:t>
      </w:r>
      <w:r w:rsidRPr="00664D0A">
        <w:rPr>
          <w:lang w:val="fr-FR"/>
        </w:rPr>
        <w:t xml:space="preserve">type. </w:t>
      </w:r>
    </w:p>
    <w:p w14:paraId="3AC285A0" w14:textId="77777777" w:rsidR="00664D0A" w:rsidRPr="00664D0A" w:rsidRDefault="00664D0A" w:rsidP="00B139C3">
      <w:pPr>
        <w:rPr>
          <w:lang w:val="fr-FR"/>
        </w:rPr>
      </w:pPr>
    </w:p>
    <w:p w14:paraId="538D27EC" w14:textId="77777777" w:rsidR="00664D0A" w:rsidRPr="00664D0A" w:rsidRDefault="00664D0A" w:rsidP="00B139C3">
      <w:pPr>
        <w:rPr>
          <w:rFonts w:ascii="Calibri" w:eastAsia="Times New Roman" w:hAnsi="Calibri" w:cs="Arial"/>
          <w:sz w:val="21"/>
          <w:szCs w:val="21"/>
          <w:lang w:val="fr-FR" w:eastAsia="fr-FR"/>
        </w:rPr>
      </w:pPr>
    </w:p>
    <w:p w14:paraId="3BF9F420" w14:textId="77777777" w:rsidR="00B139C3" w:rsidRDefault="00B139C3" w:rsidP="00B139C3">
      <w:pPr>
        <w:rPr>
          <w:rFonts w:eastAsia="Times New Roman" w:cstheme="majorBidi"/>
          <w:sz w:val="96"/>
          <w:szCs w:val="96"/>
          <w:lang w:val="fr-FR" w:eastAsia="fr-FR"/>
        </w:rPr>
      </w:pPr>
      <w:r>
        <w:rPr>
          <w:rFonts w:eastAsia="Times New Roman" w:cstheme="majorBidi"/>
          <w:sz w:val="96"/>
          <w:szCs w:val="96"/>
          <w:lang w:val="fr-FR" w:eastAsia="fr-FR"/>
        </w:rPr>
        <w:br w:type="page"/>
      </w:r>
    </w:p>
    <w:p w14:paraId="7365B90A" w14:textId="7E74CCC0" w:rsidR="00664D0A" w:rsidRPr="00B139C3" w:rsidRDefault="007277D4" w:rsidP="00B139C3">
      <w:pPr>
        <w:rPr>
          <w:rFonts w:ascii="Goudy Old Style" w:eastAsia="Times New Roman" w:hAnsi="Goudy Old Style" w:cs="Tahoma"/>
          <w:sz w:val="56"/>
          <w:szCs w:val="56"/>
          <w:lang w:val="fr-FR" w:eastAsia="fr-FR"/>
        </w:rPr>
      </w:pPr>
      <w:r>
        <w:rPr>
          <w:noProof/>
          <w:lang w:val="fr-FR" w:eastAsia="fr-FR"/>
        </w:rPr>
        <w:lastRenderedPageBreak/>
        <mc:AlternateContent>
          <mc:Choice Requires="wps">
            <w:drawing>
              <wp:anchor distT="0" distB="0" distL="114300" distR="114300" simplePos="0" relativeHeight="251668480" behindDoc="0" locked="0" layoutInCell="1" allowOverlap="1" wp14:anchorId="696267C6" wp14:editId="61DFD669">
                <wp:simplePos x="0" y="0"/>
                <wp:positionH relativeFrom="margin">
                  <wp:align>center</wp:align>
                </wp:positionH>
                <wp:positionV relativeFrom="paragraph">
                  <wp:posOffset>2317687</wp:posOffset>
                </wp:positionV>
                <wp:extent cx="5677989" cy="3582537"/>
                <wp:effectExtent l="0" t="0" r="18415" b="18415"/>
                <wp:wrapNone/>
                <wp:docPr id="42" name="Snip Diagonal Corner Rectangle 42"/>
                <wp:cNvGraphicFramePr/>
                <a:graphic xmlns:a="http://schemas.openxmlformats.org/drawingml/2006/main">
                  <a:graphicData uri="http://schemas.microsoft.com/office/word/2010/wordprocessingShape">
                    <wps:wsp>
                      <wps:cNvSpPr/>
                      <wps:spPr>
                        <a:xfrm>
                          <a:off x="0" y="0"/>
                          <a:ext cx="5677989" cy="3582537"/>
                        </a:xfrm>
                        <a:prstGeom prst="snip2DiagRect">
                          <a:avLst/>
                        </a:prstGeom>
                      </wps:spPr>
                      <wps:style>
                        <a:lnRef idx="2">
                          <a:schemeClr val="dk1"/>
                        </a:lnRef>
                        <a:fillRef idx="1">
                          <a:schemeClr val="lt1"/>
                        </a:fillRef>
                        <a:effectRef idx="0">
                          <a:schemeClr val="dk1"/>
                        </a:effectRef>
                        <a:fontRef idx="minor">
                          <a:schemeClr val="dk1"/>
                        </a:fontRef>
                      </wps:style>
                      <wps:txbx>
                        <w:txbxContent>
                          <w:p w14:paraId="7F1745B7" w14:textId="77777777" w:rsidR="00F568F0" w:rsidRPr="00B139C3" w:rsidRDefault="00F568F0" w:rsidP="007277D4">
                            <w:pPr>
                              <w:tabs>
                                <w:tab w:val="left" w:pos="7845"/>
                              </w:tabs>
                              <w:spacing w:line="360" w:lineRule="auto"/>
                              <w:jc w:val="center"/>
                              <w:outlineLvl w:val="0"/>
                              <w:rPr>
                                <w:rFonts w:eastAsia="Times New Roman" w:cstheme="majorBidi"/>
                                <w:b/>
                                <w:bCs/>
                                <w:sz w:val="96"/>
                                <w:szCs w:val="96"/>
                                <w:lang w:val="fr-FR" w:eastAsia="fr-FR"/>
                              </w:rPr>
                            </w:pPr>
                            <w:bookmarkStart w:id="232" w:name="_Toc229618852"/>
                            <w:r w:rsidRPr="00B139C3">
                              <w:rPr>
                                <w:rFonts w:eastAsia="Times New Roman" w:cstheme="majorBidi"/>
                                <w:b/>
                                <w:bCs/>
                                <w:sz w:val="96"/>
                                <w:szCs w:val="96"/>
                                <w:lang w:val="fr-FR" w:eastAsia="fr-FR"/>
                              </w:rPr>
                              <w:t>Forces, limites et recommandations</w:t>
                            </w:r>
                            <w:bookmarkEnd w:id="23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267C6" id="Snip Diagonal Corner Rectangle 42" o:spid="_x0000_s1034" style="position:absolute;margin-left:0;margin-top:182.5pt;width:447.1pt;height:282.1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5677989,358253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" adj="-11796480,,5400" path="m,l5080888,r597101,597101l5677989,3582537r,l597101,3582537,,2985436,,xe" fillcolor="white [3201]" strokecolor="black [3200]" strokeweight="1pt">
                <v:stroke joinstyle="miter"/>
                <v:formulas/>
                <v:path arrowok="t" o:connecttype="custom" o:connectlocs="0,0;5080888,0;5677989,597101;5677989,3582537;5677989,3582537;597101,3582537;0,2985436;0,0" o:connectangles="0,0,0,0,0,0,0,0" textboxrect="0,0,5677989,3582537"/>
                <v:textbox>
                  <w:txbxContent>
                    <w:p w14:paraId="7F1745B7" w14:textId="77777777" w:rsidR="00F568F0" w:rsidRPr="00B139C3" w:rsidRDefault="00F568F0" w:rsidP="007277D4">
                      <w:pPr>
                        <w:tabs>
                          <w:tab w:val="left" w:pos="7845"/>
                        </w:tabs>
                        <w:spacing w:line="360" w:lineRule="auto"/>
                        <w:jc w:val="center"/>
                        <w:outlineLvl w:val="0"/>
                        <w:rPr>
                          <w:rFonts w:eastAsia="Times New Roman" w:cstheme="majorBidi"/>
                          <w:b/>
                          <w:bCs/>
                          <w:sz w:val="96"/>
                          <w:szCs w:val="96"/>
                          <w:lang w:val="fr-FR" w:eastAsia="fr-FR"/>
                        </w:rPr>
                      </w:pPr>
                      <w:bookmarkStart w:id="239" w:name="_Toc229618852"/>
                      <w:r w:rsidRPr="00B139C3">
                        <w:rPr>
                          <w:rFonts w:eastAsia="Times New Roman" w:cstheme="majorBidi"/>
                          <w:b/>
                          <w:bCs/>
                          <w:sz w:val="96"/>
                          <w:szCs w:val="96"/>
                          <w:lang w:val="fr-FR" w:eastAsia="fr-FR"/>
                        </w:rPr>
                        <w:t>Forces, limites et recommandations</w:t>
                      </w:r>
                      <w:bookmarkEnd w:id="239"/>
                    </w:p>
                  </w:txbxContent>
                </v:textbox>
                <w10:wrap anchorx="margin"/>
              </v:shape>
            </w:pict>
          </mc:Fallback>
        </mc:AlternateContent>
      </w:r>
      <w:r w:rsidR="00664D0A">
        <w:rPr>
          <w:rFonts w:ascii="Goudy Old Style" w:eastAsia="Times New Roman" w:hAnsi="Goudy Old Style" w:cs="Tahoma"/>
          <w:sz w:val="56"/>
          <w:szCs w:val="56"/>
          <w:lang w:val="fr-FR" w:eastAsia="fr-FR"/>
        </w:rPr>
        <w:br w:type="page"/>
      </w:r>
    </w:p>
    <w:p w14:paraId="2A464087" w14:textId="77777777" w:rsidR="00664D0A" w:rsidRPr="00664D0A" w:rsidRDefault="00664D0A" w:rsidP="00B139C3">
      <w:pPr>
        <w:rPr>
          <w:lang w:val="fr-FR"/>
        </w:rPr>
      </w:pPr>
    </w:p>
    <w:p w14:paraId="64265029" w14:textId="77777777" w:rsidR="00664D0A" w:rsidRPr="00CB543A" w:rsidRDefault="00664D0A" w:rsidP="007277D4">
      <w:pPr>
        <w:rPr>
          <w:b/>
          <w:bCs/>
          <w:sz w:val="32"/>
          <w:szCs w:val="28"/>
          <w:lang w:val="fr-FR"/>
        </w:rPr>
      </w:pPr>
      <w:r w:rsidRPr="00CB543A">
        <w:rPr>
          <w:b/>
          <w:bCs/>
          <w:sz w:val="32"/>
          <w:szCs w:val="28"/>
          <w:lang w:val="fr-FR"/>
        </w:rPr>
        <w:t>Intérêts et points forts de l’étude :</w:t>
      </w:r>
    </w:p>
    <w:p w14:paraId="2CDE1BEC" w14:textId="77777777" w:rsidR="00664D0A" w:rsidRPr="00CB543A" w:rsidRDefault="00664D0A" w:rsidP="00B139C3">
      <w:pPr>
        <w:rPr>
          <w:lang w:val="fr-FR"/>
        </w:rPr>
      </w:pPr>
      <w:r w:rsidRPr="00CB543A">
        <w:rPr>
          <w:rStyle w:val="Strong"/>
          <w:lang w:val="fr-FR"/>
        </w:rPr>
        <w:t>1. Sur le plan méthodologique</w:t>
      </w:r>
      <w:r w:rsidRPr="00CB543A">
        <w:rPr>
          <w:lang w:val="fr-FR"/>
        </w:rPr>
        <w:t> : Notre étude adopte une approche quantitative et qualitative, ce qui lui confère une richesse analytique permettant non seulement de quantifier les pratiques phytothérapeutiques, mais aussi d'en explorer les motivations, les obstacles et les perceptions. La collecte des données par questionnaire informatisé via Google Form garantit une saisie standardisée, limitant les erreurs de transcription manuelle.</w:t>
      </w:r>
    </w:p>
    <w:p w14:paraId="5FE1FD35" w14:textId="77777777" w:rsidR="00664D0A" w:rsidRPr="00CB543A" w:rsidRDefault="00664D0A" w:rsidP="00B139C3">
      <w:pPr>
        <w:rPr>
          <w:lang w:val="fr-FR"/>
        </w:rPr>
      </w:pPr>
      <w:r w:rsidRPr="00CB543A">
        <w:rPr>
          <w:rStyle w:val="Strong"/>
          <w:lang w:val="fr-FR"/>
        </w:rPr>
        <w:t>2. Sur le plan de l'échantillonnage :</w:t>
      </w:r>
      <w:r w:rsidRPr="00CB543A">
        <w:rPr>
          <w:lang w:val="fr-FR"/>
        </w:rPr>
        <w:t xml:space="preserve"> L'effectif de 251 patients constitue un échantillon conséquent pour une étude régionale menée dans la wilaya de Laghouat, renforçant la représentativité des résultats et la puissance des analyses comparatives entre les deux groupes (utilisateurs et non-utilisateurs).</w:t>
      </w:r>
    </w:p>
    <w:p w14:paraId="7BBBB73D" w14:textId="77777777" w:rsidR="00664D0A" w:rsidRPr="00CB543A" w:rsidRDefault="00664D0A" w:rsidP="00B139C3">
      <w:pPr>
        <w:rPr>
          <w:lang w:val="fr-FR"/>
        </w:rPr>
      </w:pPr>
      <w:r w:rsidRPr="00CB543A">
        <w:rPr>
          <w:rStyle w:val="Strong"/>
          <w:lang w:val="fr-FR"/>
        </w:rPr>
        <w:t>3. Sur le plan de l'originalité</w:t>
      </w:r>
      <w:r w:rsidRPr="00CB543A">
        <w:rPr>
          <w:lang w:val="fr-FR"/>
        </w:rPr>
        <w:t xml:space="preserve"> Notre étude est l'une des premières à décrire de manière exhaustive les pratiques phytothérapeutiques chez les diabétiques de type 2 dans la région de Laghouat. Elle apporte des données ethnobotaniques locales originales, jusqu'alors peu documentées, et recense pour la première fois 26 espèces végétales utilisées dans cette population spécifique.</w:t>
      </w:r>
    </w:p>
    <w:p w14:paraId="6B7188F5" w14:textId="77777777" w:rsidR="00664D0A" w:rsidRPr="00CB543A" w:rsidRDefault="00664D0A" w:rsidP="00B139C3">
      <w:pPr>
        <w:rPr>
          <w:lang w:val="fr-FR"/>
        </w:rPr>
      </w:pPr>
      <w:r w:rsidRPr="00CB543A">
        <w:rPr>
          <w:rStyle w:val="Strong"/>
          <w:lang w:val="fr-FR"/>
        </w:rPr>
        <w:t>4. Sur le plan analytique</w:t>
      </w:r>
      <w:r w:rsidRPr="00CB543A">
        <w:rPr>
          <w:lang w:val="fr-FR"/>
        </w:rPr>
        <w:t xml:space="preserve"> La comparaison entre utilisateurs et non-utilisateurs sur plusieurs </w:t>
      </w:r>
      <w:proofErr w:type="gramStart"/>
      <w:r w:rsidRPr="00CB543A">
        <w:rPr>
          <w:lang w:val="fr-FR"/>
        </w:rPr>
        <w:t>variables  notamment</w:t>
      </w:r>
      <w:proofErr w:type="gramEnd"/>
      <w:r w:rsidRPr="00CB543A">
        <w:rPr>
          <w:lang w:val="fr-FR"/>
        </w:rPr>
        <w:t xml:space="preserve"> l'équilibre glycémique (HbA1c), les caractéristiques socio-démographiques, l'ancienneté du diabète et le traitement en cours  permet une analyse multidimensionnelle des déterminants du recours à la phytothérapie, allant au-delà d'une simple description des plantes utilisées.</w:t>
      </w:r>
    </w:p>
    <w:p w14:paraId="7DA00B1F" w14:textId="77777777" w:rsidR="00664D0A" w:rsidRPr="00CB543A" w:rsidRDefault="00664D0A" w:rsidP="00B139C3">
      <w:pPr>
        <w:rPr>
          <w:lang w:val="fr-FR"/>
        </w:rPr>
      </w:pPr>
      <w:r w:rsidRPr="00CB543A">
        <w:rPr>
          <w:rStyle w:val="Strong"/>
          <w:lang w:val="fr-FR"/>
        </w:rPr>
        <w:t>5. Sur le plan de la pertinence clinique et de santé publique</w:t>
      </w:r>
      <w:r w:rsidRPr="00CB543A">
        <w:rPr>
          <w:lang w:val="fr-FR"/>
        </w:rPr>
        <w:t xml:space="preserve"> L'étude met en lumière un phénomène clinique majeur et sous-estimé : la prise conjointe non déclarée de plantes médicinales avec le traitement antidiabétique conventionnel chez 93,7 % des utilisateurs. Ce résultat constitue un signal d'alerte important pour les professionnels de santé et les décideurs sanitaires de la région.</w:t>
      </w:r>
    </w:p>
    <w:p w14:paraId="6DDB8429" w14:textId="237B023D" w:rsidR="007277D4" w:rsidRDefault="00664D0A" w:rsidP="007277D4">
      <w:pPr>
        <w:rPr>
          <w:lang w:val="fr-FR"/>
        </w:rPr>
      </w:pPr>
      <w:r w:rsidRPr="00CB543A">
        <w:rPr>
          <w:rStyle w:val="Strong"/>
          <w:lang w:val="fr-FR"/>
        </w:rPr>
        <w:t>6. Sur le plan de la comparaison avec la littérature</w:t>
      </w:r>
      <w:r w:rsidRPr="00CB543A">
        <w:rPr>
          <w:lang w:val="fr-FR"/>
        </w:rPr>
        <w:t xml:space="preserve"> Les résultats sont systématiquement confrontés à des études nationales (Tlemcen, Batna, Sétif, Béjaïa) et internationales (Tunisie, Cameroun, Allemagne), ce qui permet de situer notre travail dans un contexte scientifique plus large et d'en évaluer la concordanc</w:t>
      </w:r>
      <w:r w:rsidR="007C4445" w:rsidRPr="00CB543A">
        <w:rPr>
          <w:lang w:val="fr-FR"/>
        </w:rPr>
        <w:t>e avec les données disponibles.</w:t>
      </w:r>
    </w:p>
    <w:p w14:paraId="4111A9C3" w14:textId="5DAA823E" w:rsidR="007277D4" w:rsidRDefault="007277D4" w:rsidP="007277D4">
      <w:pPr>
        <w:rPr>
          <w:lang w:val="fr-FR"/>
        </w:rPr>
      </w:pPr>
    </w:p>
    <w:p w14:paraId="71536DA5" w14:textId="28A24D14" w:rsidR="007277D4" w:rsidRDefault="007277D4" w:rsidP="007277D4">
      <w:pPr>
        <w:rPr>
          <w:lang w:val="fr-FR"/>
        </w:rPr>
      </w:pPr>
    </w:p>
    <w:p w14:paraId="7573AEBC" w14:textId="72036485" w:rsidR="007277D4" w:rsidRDefault="007277D4" w:rsidP="007277D4">
      <w:pPr>
        <w:rPr>
          <w:lang w:val="fr-FR"/>
        </w:rPr>
      </w:pPr>
    </w:p>
    <w:p w14:paraId="073436D5" w14:textId="79284E3C" w:rsidR="007277D4" w:rsidRDefault="007277D4" w:rsidP="007277D4">
      <w:pPr>
        <w:rPr>
          <w:lang w:val="fr-FR"/>
        </w:rPr>
      </w:pPr>
    </w:p>
    <w:p w14:paraId="1A4E513B" w14:textId="77777777" w:rsidR="007277D4" w:rsidRPr="00664D0A" w:rsidRDefault="007277D4" w:rsidP="007277D4">
      <w:pPr>
        <w:rPr>
          <w:lang w:val="fr-FR"/>
        </w:rPr>
      </w:pPr>
    </w:p>
    <w:p w14:paraId="5BCA3AFF" w14:textId="77777777" w:rsidR="00664D0A" w:rsidRPr="007277D4" w:rsidRDefault="00664D0A" w:rsidP="007277D4">
      <w:pPr>
        <w:rPr>
          <w:b/>
          <w:bCs/>
          <w:sz w:val="32"/>
          <w:szCs w:val="28"/>
          <w:lang w:val="fr-FR"/>
        </w:rPr>
      </w:pPr>
      <w:r w:rsidRPr="007277D4">
        <w:rPr>
          <w:b/>
          <w:bCs/>
          <w:sz w:val="32"/>
          <w:szCs w:val="28"/>
          <w:lang w:val="fr-FR"/>
        </w:rPr>
        <w:lastRenderedPageBreak/>
        <w:t>Les limites et les points faibles de l’étude :</w:t>
      </w:r>
    </w:p>
    <w:p w14:paraId="78462CE3" w14:textId="77777777" w:rsidR="00664D0A" w:rsidRPr="00664D0A" w:rsidRDefault="00664D0A" w:rsidP="00B139C3">
      <w:pPr>
        <w:rPr>
          <w:lang w:val="fr-FR"/>
        </w:rPr>
      </w:pPr>
      <w:r w:rsidRPr="00DF431A">
        <w:rPr>
          <w:rFonts w:hAnsi="Symbol"/>
        </w:rPr>
        <w:t></w:t>
      </w:r>
      <w:r w:rsidRPr="00664D0A">
        <w:rPr>
          <w:lang w:val="fr-FR"/>
        </w:rPr>
        <w:t xml:space="preserve"> Design</w:t>
      </w:r>
      <w:r w:rsidRPr="00664D0A">
        <w:rPr>
          <w:rStyle w:val="Strong"/>
          <w:lang w:val="fr-FR"/>
        </w:rPr>
        <w:t xml:space="preserve"> </w:t>
      </w:r>
      <w:proofErr w:type="gramStart"/>
      <w:r w:rsidRPr="00664D0A">
        <w:rPr>
          <w:rStyle w:val="Strong"/>
          <w:b w:val="0"/>
          <w:bCs w:val="0"/>
          <w:lang w:val="fr-FR"/>
        </w:rPr>
        <w:t>transversal</w:t>
      </w:r>
      <w:r w:rsidRPr="00664D0A">
        <w:rPr>
          <w:lang w:val="fr-FR"/>
        </w:rPr>
        <w:t xml:space="preserve"> :</w:t>
      </w:r>
      <w:proofErr w:type="gramEnd"/>
      <w:r w:rsidRPr="00664D0A">
        <w:rPr>
          <w:lang w:val="fr-FR"/>
        </w:rPr>
        <w:t xml:space="preserve"> ne permet pas d'établir de lien de causalité entre l'utilisation des plantes et l'équilibre glycémique observé. </w:t>
      </w:r>
    </w:p>
    <w:p w14:paraId="37350204" w14:textId="77777777" w:rsidR="00664D0A" w:rsidRPr="00664D0A" w:rsidRDefault="00664D0A" w:rsidP="00B139C3">
      <w:pPr>
        <w:rPr>
          <w:lang w:val="fr-FR"/>
        </w:rPr>
      </w:pPr>
      <w:r w:rsidRPr="00DF431A">
        <w:rPr>
          <w:rFonts w:hAnsi="Symbol"/>
        </w:rPr>
        <w:t></w:t>
      </w:r>
      <w:r w:rsidRPr="00664D0A">
        <w:rPr>
          <w:lang w:val="fr-FR"/>
        </w:rPr>
        <w:t xml:space="preserve"> Caractère</w:t>
      </w:r>
      <w:r w:rsidRPr="00664D0A">
        <w:rPr>
          <w:rStyle w:val="Strong"/>
          <w:lang w:val="fr-FR"/>
        </w:rPr>
        <w:t xml:space="preserve"> </w:t>
      </w:r>
      <w:proofErr w:type="gramStart"/>
      <w:r w:rsidRPr="00664D0A">
        <w:rPr>
          <w:rStyle w:val="Strong"/>
          <w:b w:val="0"/>
          <w:bCs w:val="0"/>
          <w:lang w:val="fr-FR"/>
        </w:rPr>
        <w:t>monocentrique</w:t>
      </w:r>
      <w:r w:rsidRPr="00664D0A">
        <w:rPr>
          <w:lang w:val="fr-FR"/>
        </w:rPr>
        <w:t xml:space="preserve"> :</w:t>
      </w:r>
      <w:proofErr w:type="gramEnd"/>
      <w:r w:rsidRPr="00664D0A">
        <w:rPr>
          <w:lang w:val="fr-FR"/>
        </w:rPr>
        <w:t xml:space="preserve"> les résultats ne sont pas généralisables à l'ensemble de la wilaya, notamment aux zones rurales et au secteur privé. </w:t>
      </w:r>
    </w:p>
    <w:p w14:paraId="079B2F8B" w14:textId="77777777" w:rsidR="00664D0A" w:rsidRPr="00664D0A" w:rsidRDefault="00664D0A" w:rsidP="00B139C3">
      <w:pPr>
        <w:rPr>
          <w:lang w:val="fr-FR"/>
        </w:rPr>
      </w:pPr>
      <w:r w:rsidRPr="00DF431A">
        <w:rPr>
          <w:rFonts w:hAnsi="Symbol"/>
        </w:rPr>
        <w:t></w:t>
      </w:r>
      <w:r w:rsidRPr="00664D0A">
        <w:rPr>
          <w:lang w:val="fr-FR"/>
        </w:rPr>
        <w:t xml:space="preserve"> Biais</w:t>
      </w:r>
      <w:r w:rsidRPr="00664D0A">
        <w:rPr>
          <w:rStyle w:val="Strong"/>
          <w:lang w:val="fr-FR"/>
        </w:rPr>
        <w:t xml:space="preserve"> </w:t>
      </w:r>
      <w:r w:rsidRPr="00664D0A">
        <w:rPr>
          <w:rStyle w:val="Strong"/>
          <w:b w:val="0"/>
          <w:bCs w:val="0"/>
          <w:lang w:val="fr-FR"/>
        </w:rPr>
        <w:t xml:space="preserve">de </w:t>
      </w:r>
      <w:proofErr w:type="gramStart"/>
      <w:r w:rsidRPr="00664D0A">
        <w:rPr>
          <w:rStyle w:val="Strong"/>
          <w:b w:val="0"/>
          <w:bCs w:val="0"/>
          <w:lang w:val="fr-FR"/>
        </w:rPr>
        <w:t>déclaration</w:t>
      </w:r>
      <w:r w:rsidRPr="00664D0A">
        <w:rPr>
          <w:lang w:val="fr-FR"/>
        </w:rPr>
        <w:t xml:space="preserve"> :</w:t>
      </w:r>
      <w:proofErr w:type="gramEnd"/>
      <w:r w:rsidRPr="00664D0A">
        <w:rPr>
          <w:lang w:val="fr-FR"/>
        </w:rPr>
        <w:t xml:space="preserve"> les données reposent sur le déclaratif des patients, exposant à des erreurs de mémorisation ou d'identification des plantes par leurs noms vernaculaires. </w:t>
      </w:r>
    </w:p>
    <w:p w14:paraId="735A1C25" w14:textId="31802994" w:rsidR="00664D0A" w:rsidRPr="00664D0A" w:rsidRDefault="00664D0A" w:rsidP="006117AA">
      <w:pPr>
        <w:rPr>
          <w:lang w:val="fr-FR"/>
        </w:rPr>
      </w:pPr>
      <w:r w:rsidRPr="00DF431A">
        <w:rPr>
          <w:rFonts w:hAnsi="Symbol"/>
        </w:rPr>
        <w:t></w:t>
      </w:r>
      <w:r w:rsidRPr="00664D0A">
        <w:rPr>
          <w:lang w:val="fr-FR"/>
        </w:rPr>
        <w:t xml:space="preserve"> Absence</w:t>
      </w:r>
      <w:r w:rsidRPr="00664D0A">
        <w:rPr>
          <w:rStyle w:val="Strong"/>
          <w:lang w:val="fr-FR"/>
        </w:rPr>
        <w:t xml:space="preserve"> </w:t>
      </w:r>
      <w:r w:rsidRPr="00664D0A">
        <w:rPr>
          <w:rStyle w:val="Strong"/>
          <w:b w:val="0"/>
          <w:bCs w:val="0"/>
          <w:lang w:val="fr-FR"/>
        </w:rPr>
        <w:t xml:space="preserve">de suivi </w:t>
      </w:r>
      <w:proofErr w:type="gramStart"/>
      <w:r w:rsidRPr="00664D0A">
        <w:rPr>
          <w:rStyle w:val="Strong"/>
          <w:b w:val="0"/>
          <w:bCs w:val="0"/>
          <w:lang w:val="fr-FR"/>
        </w:rPr>
        <w:t>longitudinal</w:t>
      </w:r>
      <w:r w:rsidRPr="00664D0A">
        <w:rPr>
          <w:lang w:val="fr-FR"/>
        </w:rPr>
        <w:t xml:space="preserve"> :</w:t>
      </w:r>
      <w:proofErr w:type="gramEnd"/>
      <w:r w:rsidRPr="00664D0A">
        <w:rPr>
          <w:lang w:val="fr-FR"/>
        </w:rPr>
        <w:t xml:space="preserve"> une seule mesure d'HbA1c sans contrôle avant/après ne permet pas d'évaluer un eff</w:t>
      </w:r>
      <w:r w:rsidR="006117AA">
        <w:rPr>
          <w:lang w:val="fr-FR"/>
        </w:rPr>
        <w:t xml:space="preserve">et propre de la phytothérapie. </w:t>
      </w:r>
    </w:p>
    <w:p w14:paraId="62F6B2FF" w14:textId="77777777" w:rsidR="00664D0A" w:rsidRPr="00664D0A" w:rsidRDefault="00664D0A" w:rsidP="00B139C3">
      <w:pPr>
        <w:rPr>
          <w:lang w:val="fr-FR"/>
        </w:rPr>
      </w:pPr>
    </w:p>
    <w:p w14:paraId="2D3DCEB5" w14:textId="77777777" w:rsidR="00664D0A" w:rsidRPr="00CB543A" w:rsidRDefault="00664D0A" w:rsidP="007277D4">
      <w:pPr>
        <w:rPr>
          <w:b/>
          <w:bCs/>
          <w:lang w:val="fr-FR"/>
        </w:rPr>
      </w:pPr>
      <w:r w:rsidRPr="00CB543A">
        <w:rPr>
          <w:b/>
          <w:bCs/>
          <w:sz w:val="32"/>
          <w:szCs w:val="28"/>
          <w:lang w:val="fr-FR"/>
        </w:rPr>
        <w:t>Les recommendations :</w:t>
      </w:r>
    </w:p>
    <w:p w14:paraId="372FC913" w14:textId="77777777" w:rsidR="00664D0A" w:rsidRPr="00664D0A" w:rsidRDefault="00664D0A" w:rsidP="00B139C3">
      <w:pPr>
        <w:rPr>
          <w:lang w:val="fr-FR"/>
        </w:rPr>
      </w:pPr>
      <w:r w:rsidRPr="00664D0A">
        <w:rPr>
          <w:lang w:val="fr-FR"/>
        </w:rPr>
        <w:t>1. Intégrer systématiquement le questionnement sur la phytothérapie dans la consultation médicale :  Tout médecin prenant en charge un patient diabétique de type 2 devrait, lors de chaque consultation de suivi, interroger de manière bienveillante et non jugeante le patient sur son recours éventuel aux plantes médicinales. Cette démarche doit devenir un réflexe clinique au même titre que la vérification de l'observance médicamenteuse.</w:t>
      </w:r>
    </w:p>
    <w:p w14:paraId="571BC6BB" w14:textId="223B6E16" w:rsidR="00664D0A" w:rsidRPr="00664D0A" w:rsidRDefault="00664D0A" w:rsidP="007277D4">
      <w:pPr>
        <w:rPr>
          <w:lang w:val="fr-FR"/>
        </w:rPr>
      </w:pPr>
      <w:r w:rsidRPr="00664D0A">
        <w:rPr>
          <w:lang w:val="fr-FR"/>
        </w:rPr>
        <w:t xml:space="preserve">2. Introduire une rubrique dédiée dans le dossier médical du patient diabétique : Il est recommandé d'ajouter dans le dossier médical de tout patient diabétique une section intitulée </w:t>
      </w:r>
      <w:r w:rsidRPr="00664D0A">
        <w:rPr>
          <w:i/>
          <w:iCs/>
          <w:lang w:val="fr-FR"/>
        </w:rPr>
        <w:t>« Utilisation de produits traditionnels et plantes médicinales »</w:t>
      </w:r>
      <w:r w:rsidRPr="00664D0A">
        <w:rPr>
          <w:lang w:val="fr-FR"/>
        </w:rPr>
        <w:t>, renseignée à chaque consultation. Cette rubrique permettrait de tracer les plantes utilisées, leur mode de préparation, leur fréquence d'utilisation et leur association ave</w:t>
      </w:r>
      <w:r w:rsidR="007277D4">
        <w:rPr>
          <w:lang w:val="fr-FR"/>
        </w:rPr>
        <w:t xml:space="preserve">c le traitement conventionnel, </w:t>
      </w:r>
    </w:p>
    <w:p w14:paraId="43985891" w14:textId="2D1DF2B0" w:rsidR="00664D0A" w:rsidRPr="00664D0A" w:rsidRDefault="00664D0A" w:rsidP="007277D4">
      <w:pPr>
        <w:rPr>
          <w:lang w:val="fr-FR"/>
        </w:rPr>
      </w:pPr>
      <w:r w:rsidRPr="00664D0A">
        <w:rPr>
          <w:lang w:val="fr-FR"/>
        </w:rPr>
        <w:t>3. Développer une éducation thérapeutique du patient (ETP) adaptée au contexte culturel local : Les programmes d'ETP destinés aux patients diabétiques de Laghouat doivent intégrer un volet spécifique sur la phytothérapie, abordant de manière équilibrée les bénéfices potentiels et</w:t>
      </w:r>
      <w:r w:rsidR="007277D4">
        <w:rPr>
          <w:lang w:val="fr-FR"/>
        </w:rPr>
        <w:t xml:space="preserve"> les risques réels des plantes.</w:t>
      </w:r>
    </w:p>
    <w:p w14:paraId="468A7A9B" w14:textId="77777777" w:rsidR="00664D0A" w:rsidRPr="00664D0A" w:rsidRDefault="00664D0A" w:rsidP="00B139C3">
      <w:pPr>
        <w:rPr>
          <w:lang w:val="fr-FR"/>
        </w:rPr>
      </w:pPr>
      <w:r w:rsidRPr="00664D0A">
        <w:rPr>
          <w:lang w:val="fr-FR"/>
        </w:rPr>
        <w:t xml:space="preserve">4. Renforcer l'alliance thérapeutique pour réduire la méfiance patient-médecin : </w:t>
      </w:r>
    </w:p>
    <w:p w14:paraId="498E7489" w14:textId="191EF6C6" w:rsidR="00664D0A" w:rsidRPr="00664D0A" w:rsidRDefault="00664D0A" w:rsidP="00B139C3">
      <w:pPr>
        <w:rPr>
          <w:lang w:val="fr-FR"/>
        </w:rPr>
      </w:pPr>
      <w:r w:rsidRPr="00664D0A">
        <w:rPr>
          <w:lang w:val="fr-FR"/>
        </w:rPr>
        <w:t>Notre étude révèle que la non-déclaration de l'usage des plantes est souvent motivée par la crainte d'une réaction négative du médecin. Il est donc essentiel de former les professionnels de santé à adopter une posture d'écoute active, de respect de dialogue ouvert, afin de restaurer la confiance et de favoriser une relation médecin-malade plus transparente et plus humaine.</w:t>
      </w:r>
    </w:p>
    <w:p w14:paraId="791978A5" w14:textId="77777777" w:rsidR="00664D0A" w:rsidRPr="00664D0A" w:rsidRDefault="00664D0A" w:rsidP="00B139C3">
      <w:pPr>
        <w:rPr>
          <w:lang w:val="fr-FR"/>
        </w:rPr>
      </w:pPr>
      <w:r w:rsidRPr="00664D0A">
        <w:rPr>
          <w:lang w:val="fr-FR"/>
        </w:rPr>
        <w:t>5. Améliorer l'observance thérapeutique par une approche intégrative :</w:t>
      </w:r>
    </w:p>
    <w:p w14:paraId="613639B7" w14:textId="77777777" w:rsidR="00664D0A" w:rsidRPr="00664D0A" w:rsidRDefault="00664D0A" w:rsidP="00B139C3">
      <w:pPr>
        <w:rPr>
          <w:lang w:val="fr-FR"/>
        </w:rPr>
      </w:pPr>
      <w:r w:rsidRPr="00664D0A">
        <w:rPr>
          <w:lang w:val="fr-FR"/>
        </w:rPr>
        <w:t xml:space="preserve">Plutôt que d'opposer médecine conventionnelle et phytothérapie, il est recommandé d'adopter une approche intégrative qui reconnaît les pratiques traditionnelles du patient tout en s'assurant qu'elles ne compromettent pas l'efficacité du traitement antidiabétique prescrit. Cette posture </w:t>
      </w:r>
      <w:r w:rsidRPr="00664D0A">
        <w:rPr>
          <w:lang w:val="fr-FR"/>
        </w:rPr>
        <w:lastRenderedPageBreak/>
        <w:t>favorise l'adhésion du patient à son traitement et réduit le risque d'abandon ou de substitution non contrôlée.</w:t>
      </w:r>
    </w:p>
    <w:p w14:paraId="78511158" w14:textId="77777777" w:rsidR="00664D0A" w:rsidRPr="00664D0A" w:rsidRDefault="00664D0A" w:rsidP="00B139C3">
      <w:pPr>
        <w:rPr>
          <w:lang w:val="fr-FR"/>
        </w:rPr>
      </w:pPr>
      <w:r w:rsidRPr="00664D0A">
        <w:rPr>
          <w:lang w:val="fr-FR"/>
        </w:rPr>
        <w:t>6. Sensibiliser les patients aux risques des interactions médicamenteuses liées aux plantes : Une information claire et accessible doit être délivrée aux patients sur les risques toxiques et les interactions potentielles entre certaines plantes médicinales et les antidiabétiques oraux ou l'insuline, notamment le risque d'hypoglycémie ou d'effets hépatotoxiques. Cette sensibilisation peut se faire lors des consultations, mais aussi à travers des supports éducatifs adaptés au niveau d'instruction de la population locale.</w:t>
      </w:r>
    </w:p>
    <w:p w14:paraId="59136470" w14:textId="77777777" w:rsidR="00664D0A" w:rsidRPr="00664D0A" w:rsidRDefault="00664D0A" w:rsidP="00B139C3">
      <w:pPr>
        <w:rPr>
          <w:lang w:val="fr-FR"/>
        </w:rPr>
      </w:pPr>
    </w:p>
    <w:p w14:paraId="3A544FD1" w14:textId="07E9D453" w:rsidR="00664D0A" w:rsidRPr="00CB543A" w:rsidRDefault="00664D0A" w:rsidP="006117AA">
      <w:pPr>
        <w:rPr>
          <w:b/>
          <w:bCs/>
          <w:lang w:val="fr-FR"/>
        </w:rPr>
      </w:pPr>
      <w:r w:rsidRPr="00CB543A">
        <w:rPr>
          <w:lang w:val="fr-FR"/>
        </w:rPr>
        <w:t xml:space="preserve">  </w:t>
      </w:r>
      <w:r w:rsidRPr="00CB543A">
        <w:rPr>
          <w:b/>
          <w:bCs/>
          <w:sz w:val="28"/>
          <w:szCs w:val="24"/>
          <w:lang w:val="fr-FR"/>
        </w:rPr>
        <w:t xml:space="preserve">Recommandations à la communauté scientifique : </w:t>
      </w:r>
    </w:p>
    <w:p w14:paraId="4F86D121" w14:textId="77777777" w:rsidR="00664D0A" w:rsidRPr="00664D0A" w:rsidRDefault="00664D0A" w:rsidP="00B139C3">
      <w:pPr>
        <w:rPr>
          <w:lang w:val="fr-FR"/>
        </w:rPr>
      </w:pPr>
      <w:r w:rsidRPr="00664D0A">
        <w:rPr>
          <w:lang w:val="fr-FR"/>
        </w:rPr>
        <w:t>1. Reconnaître l'importance des pratiques culturelles dans la gestion du diabète</w:t>
      </w:r>
    </w:p>
    <w:p w14:paraId="7B5CE0A9" w14:textId="77777777" w:rsidR="00664D0A" w:rsidRPr="00664D0A" w:rsidRDefault="00664D0A" w:rsidP="00B139C3">
      <w:pPr>
        <w:rPr>
          <w:lang w:val="fr-FR"/>
        </w:rPr>
      </w:pPr>
      <w:r w:rsidRPr="00664D0A">
        <w:rPr>
          <w:lang w:val="fr-FR"/>
        </w:rPr>
        <w:t>Cesser de considérer ces pratiques comme purement « irrationnelles », et les étudier avec rigueur scientifique.</w:t>
      </w:r>
    </w:p>
    <w:p w14:paraId="3523B087" w14:textId="77777777" w:rsidR="00664D0A" w:rsidRPr="00CB543A" w:rsidRDefault="00664D0A" w:rsidP="00B139C3">
      <w:pPr>
        <w:rPr>
          <w:lang w:val="fr-FR"/>
        </w:rPr>
      </w:pPr>
      <w:r w:rsidRPr="00CB543A">
        <w:rPr>
          <w:lang w:val="fr-FR"/>
        </w:rPr>
        <w:t>2. Encourager les recherches multidisciplinaires</w:t>
      </w:r>
    </w:p>
    <w:p w14:paraId="353802A3" w14:textId="77777777" w:rsidR="00664D0A" w:rsidRPr="00664D0A" w:rsidRDefault="00664D0A" w:rsidP="00B139C3">
      <w:pPr>
        <w:rPr>
          <w:lang w:val="fr-FR"/>
        </w:rPr>
      </w:pPr>
      <w:r w:rsidRPr="00664D0A">
        <w:rPr>
          <w:lang w:val="fr-FR"/>
        </w:rPr>
        <w:t>Favoriser les collaborations entre chercheurs en médecine, en anthropologie, en sociologie, en pharmacognosie et en psychologie.</w:t>
      </w:r>
    </w:p>
    <w:p w14:paraId="40C9E7A7" w14:textId="77777777" w:rsidR="00664D0A" w:rsidRPr="00664D0A" w:rsidRDefault="00664D0A" w:rsidP="00B139C3">
      <w:pPr>
        <w:rPr>
          <w:lang w:val="fr-FR"/>
        </w:rPr>
      </w:pPr>
      <w:r w:rsidRPr="00664D0A">
        <w:rPr>
          <w:lang w:val="fr-FR"/>
        </w:rPr>
        <w:t>Financer des projets de recherche-action sur les usages traditionnels des plantes et leur efficacité réelle.</w:t>
      </w:r>
    </w:p>
    <w:p w14:paraId="1CC8D39A" w14:textId="77777777" w:rsidR="00664D0A" w:rsidRPr="00664D0A" w:rsidRDefault="00664D0A" w:rsidP="00B139C3">
      <w:pPr>
        <w:rPr>
          <w:lang w:val="fr-FR"/>
        </w:rPr>
      </w:pPr>
      <w:r w:rsidRPr="00664D0A">
        <w:rPr>
          <w:lang w:val="fr-FR"/>
        </w:rPr>
        <w:t>3. Créer une base de données scientifique sur les plantes médicinales locales utilisées dans le diabète</w:t>
      </w:r>
    </w:p>
    <w:p w14:paraId="5F6A7DEE" w14:textId="77777777" w:rsidR="00664D0A" w:rsidRPr="00664D0A" w:rsidRDefault="00664D0A" w:rsidP="00B139C3">
      <w:pPr>
        <w:rPr>
          <w:lang w:val="fr-FR"/>
        </w:rPr>
      </w:pPr>
      <w:r w:rsidRPr="00664D0A">
        <w:rPr>
          <w:lang w:val="fr-FR"/>
        </w:rPr>
        <w:t>Identifier, classifier et étudier pharmacologiquement les plantes utilisées par les patients.</w:t>
      </w:r>
    </w:p>
    <w:p w14:paraId="136DFC24" w14:textId="77777777" w:rsidR="00664D0A" w:rsidRPr="00664D0A" w:rsidRDefault="00664D0A" w:rsidP="00B139C3">
      <w:pPr>
        <w:rPr>
          <w:lang w:val="fr-FR"/>
        </w:rPr>
      </w:pPr>
      <w:r w:rsidRPr="00664D0A">
        <w:rPr>
          <w:lang w:val="fr-FR"/>
        </w:rPr>
        <w:t>Publier les résultats pour orienter la pratique médicale et prévenir les interactions dangereuses.</w:t>
      </w:r>
    </w:p>
    <w:p w14:paraId="7D6E9B09" w14:textId="77777777" w:rsidR="00664D0A" w:rsidRPr="00664D0A" w:rsidRDefault="00664D0A" w:rsidP="00B139C3">
      <w:pPr>
        <w:rPr>
          <w:lang w:val="fr-FR"/>
        </w:rPr>
      </w:pPr>
      <w:r w:rsidRPr="00664D0A">
        <w:rPr>
          <w:lang w:val="fr-FR"/>
        </w:rPr>
        <w:t>4. Inclure un volet « habitudes herboristiques et croyances » dans les dossiers médicaux et les outils d'ETP</w:t>
      </w:r>
    </w:p>
    <w:p w14:paraId="173E9DAF" w14:textId="77777777" w:rsidR="00664D0A" w:rsidRPr="00664D0A" w:rsidRDefault="00664D0A" w:rsidP="00B139C3">
      <w:pPr>
        <w:rPr>
          <w:lang w:val="fr-FR"/>
        </w:rPr>
      </w:pPr>
      <w:r w:rsidRPr="00664D0A">
        <w:rPr>
          <w:lang w:val="fr-FR"/>
        </w:rPr>
        <w:t xml:space="preserve">Recommander l'ajout d'une rubrique spécifique dans les dossiers patients : </w:t>
      </w:r>
      <w:r w:rsidRPr="00664D0A">
        <w:rPr>
          <w:i/>
          <w:iCs/>
          <w:lang w:val="fr-FR"/>
        </w:rPr>
        <w:t>« Utilisation de produits traditionnels/plantes médicinales »</w:t>
      </w:r>
      <w:r w:rsidRPr="00664D0A">
        <w:rPr>
          <w:lang w:val="fr-FR"/>
        </w:rPr>
        <w:t>.</w:t>
      </w:r>
    </w:p>
    <w:p w14:paraId="58340E53" w14:textId="77777777" w:rsidR="00664D0A" w:rsidRPr="00664D0A" w:rsidRDefault="00664D0A" w:rsidP="00B139C3">
      <w:pPr>
        <w:rPr>
          <w:lang w:val="fr-FR"/>
        </w:rPr>
      </w:pPr>
      <w:r w:rsidRPr="00664D0A">
        <w:rPr>
          <w:lang w:val="fr-FR"/>
        </w:rPr>
        <w:t>Former les professionnels à interroger ces pratiques avec bienveillance et sans jugement.</w:t>
      </w:r>
    </w:p>
    <w:p w14:paraId="6016787E" w14:textId="77777777" w:rsidR="00664D0A" w:rsidRPr="00664D0A" w:rsidRDefault="00664D0A" w:rsidP="00B139C3">
      <w:pPr>
        <w:rPr>
          <w:lang w:val="fr-FR"/>
        </w:rPr>
      </w:pPr>
      <w:r w:rsidRPr="00664D0A">
        <w:rPr>
          <w:lang w:val="fr-FR"/>
        </w:rPr>
        <w:t>5. Former les professionnels de santé à l'interculturalité</w:t>
      </w:r>
    </w:p>
    <w:p w14:paraId="59195AA8" w14:textId="77777777" w:rsidR="00664D0A" w:rsidRPr="00664D0A" w:rsidRDefault="00664D0A" w:rsidP="00B139C3">
      <w:pPr>
        <w:rPr>
          <w:lang w:val="fr-FR"/>
        </w:rPr>
      </w:pPr>
      <w:r w:rsidRPr="00664D0A">
        <w:rPr>
          <w:lang w:val="fr-FR"/>
        </w:rPr>
        <w:t>Intégrer des modules sur les croyances de santé et la médecine traditionnelle dans les facultés de médecine et les écoles paramédicales.</w:t>
      </w:r>
    </w:p>
    <w:p w14:paraId="3CB7B38D" w14:textId="77777777" w:rsidR="00664D0A" w:rsidRPr="00664D0A" w:rsidRDefault="00664D0A" w:rsidP="00B139C3">
      <w:pPr>
        <w:rPr>
          <w:lang w:val="fr-FR"/>
        </w:rPr>
      </w:pPr>
      <w:r w:rsidRPr="00664D0A">
        <w:rPr>
          <w:lang w:val="fr-FR"/>
        </w:rPr>
        <w:t>Former les soignants à communiquer avec les patients sur les sujets sensibles (plantes, religion, traditions) sans rompre l'alliance thérapeutique.</w:t>
      </w:r>
    </w:p>
    <w:p w14:paraId="6E6FFDDD" w14:textId="77777777" w:rsidR="00664D0A" w:rsidRPr="00CB543A" w:rsidRDefault="00664D0A" w:rsidP="00B139C3">
      <w:pPr>
        <w:rPr>
          <w:lang w:val="fr-FR"/>
        </w:rPr>
      </w:pPr>
      <w:r w:rsidRPr="00CB543A">
        <w:rPr>
          <w:lang w:val="fr-FR"/>
        </w:rPr>
        <w:t>6. Développer une approche d'ETP interculturelle</w:t>
      </w:r>
    </w:p>
    <w:p w14:paraId="596AF8BA" w14:textId="77777777" w:rsidR="00664D0A" w:rsidRPr="00664D0A" w:rsidRDefault="00664D0A" w:rsidP="00B139C3">
      <w:pPr>
        <w:rPr>
          <w:lang w:val="fr-FR"/>
        </w:rPr>
      </w:pPr>
      <w:r w:rsidRPr="00664D0A">
        <w:rPr>
          <w:lang w:val="fr-FR"/>
        </w:rPr>
        <w:lastRenderedPageBreak/>
        <w:t>Adapter les contenus éducatifs en fonction des croyances et pratiques locales.</w:t>
      </w:r>
    </w:p>
    <w:p w14:paraId="77D4D1B5" w14:textId="77777777" w:rsidR="00664D0A" w:rsidRPr="00664D0A" w:rsidRDefault="00664D0A" w:rsidP="00B139C3">
      <w:pPr>
        <w:rPr>
          <w:lang w:val="fr-FR"/>
        </w:rPr>
      </w:pPr>
      <w:r w:rsidRPr="00664D0A">
        <w:rPr>
          <w:lang w:val="fr-FR"/>
        </w:rPr>
        <w:t>Impliquer des médiateurs culturels ou des herboristes qualifiés dans les programmes d'ETP, notamment en zones rurales.</w:t>
      </w:r>
    </w:p>
    <w:p w14:paraId="3A7DFA4D" w14:textId="77777777" w:rsidR="00664D0A" w:rsidRPr="00664D0A" w:rsidRDefault="00664D0A" w:rsidP="00B139C3">
      <w:pPr>
        <w:rPr>
          <w:lang w:val="fr-FR"/>
        </w:rPr>
      </w:pPr>
      <w:r w:rsidRPr="00664D0A">
        <w:rPr>
          <w:lang w:val="fr-FR"/>
        </w:rPr>
        <w:t>7. Encourager les politiques de santé à encadrer intelligemment l'usage des plantes médicinales</w:t>
      </w:r>
    </w:p>
    <w:p w14:paraId="0DF82508" w14:textId="77777777" w:rsidR="00664D0A" w:rsidRPr="00664D0A" w:rsidRDefault="00664D0A" w:rsidP="00B139C3">
      <w:pPr>
        <w:rPr>
          <w:lang w:val="fr-FR"/>
        </w:rPr>
      </w:pPr>
      <w:r w:rsidRPr="00664D0A">
        <w:rPr>
          <w:lang w:val="fr-FR"/>
        </w:rPr>
        <w:t>Appeler à une réglementation adaptée, ni trop permissive ni totalement répressive.</w:t>
      </w:r>
    </w:p>
    <w:p w14:paraId="03B15B35" w14:textId="2FBB04EC" w:rsidR="00664D0A" w:rsidRDefault="00664D0A" w:rsidP="00B139C3">
      <w:pPr>
        <w:rPr>
          <w:lang w:val="fr-FR"/>
        </w:rPr>
      </w:pPr>
      <w:r w:rsidRPr="00664D0A">
        <w:rPr>
          <w:lang w:val="fr-FR"/>
        </w:rPr>
        <w:t>Favoriser des labels ou des certifications pour les plantes sécurisées dans le cadre du diabète</w:t>
      </w:r>
    </w:p>
    <w:p w14:paraId="34B89E2A" w14:textId="73E6C2B0" w:rsidR="007C4445" w:rsidRDefault="007C4445" w:rsidP="00B139C3">
      <w:pPr>
        <w:rPr>
          <w:lang w:val="fr-FR"/>
        </w:rPr>
      </w:pPr>
      <w:r>
        <w:rPr>
          <w:lang w:val="fr-FR"/>
        </w:rPr>
        <w:br w:type="page"/>
      </w:r>
    </w:p>
    <w:p w14:paraId="76C7D438" w14:textId="1B0F6CD2" w:rsidR="007C4445" w:rsidRDefault="007C4445" w:rsidP="00B139C3">
      <w:pPr>
        <w:rPr>
          <w:lang w:val="fr-FR"/>
        </w:rPr>
      </w:pPr>
      <w:r>
        <w:rPr>
          <w:noProof/>
          <w:lang w:val="fr-FR" w:eastAsia="fr-FR"/>
        </w:rPr>
        <w:lastRenderedPageBreak/>
        <mc:AlternateContent>
          <mc:Choice Requires="wps">
            <w:drawing>
              <wp:anchor distT="0" distB="0" distL="114300" distR="114300" simplePos="0" relativeHeight="251662336" behindDoc="0" locked="0" layoutInCell="1" allowOverlap="1" wp14:anchorId="39CE7122" wp14:editId="0FD141FE">
                <wp:simplePos x="0" y="0"/>
                <wp:positionH relativeFrom="margin">
                  <wp:align>center</wp:align>
                </wp:positionH>
                <wp:positionV relativeFrom="paragraph">
                  <wp:posOffset>2316480</wp:posOffset>
                </wp:positionV>
                <wp:extent cx="6318913" cy="3582537"/>
                <wp:effectExtent l="0" t="0" r="24765" b="18415"/>
                <wp:wrapNone/>
                <wp:docPr id="41" name="Snip Diagonal Corner Rectangle 41"/>
                <wp:cNvGraphicFramePr/>
                <a:graphic xmlns:a="http://schemas.openxmlformats.org/drawingml/2006/main">
                  <a:graphicData uri="http://schemas.microsoft.com/office/word/2010/wordprocessingShape">
                    <wps:wsp>
                      <wps:cNvSpPr/>
                      <wps:spPr>
                        <a:xfrm>
                          <a:off x="0" y="0"/>
                          <a:ext cx="6318913" cy="3582537"/>
                        </a:xfrm>
                        <a:prstGeom prst="snip2DiagRect">
                          <a:avLst/>
                        </a:prstGeom>
                      </wps:spPr>
                      <wps:style>
                        <a:lnRef idx="2">
                          <a:schemeClr val="dk1"/>
                        </a:lnRef>
                        <a:fillRef idx="1">
                          <a:schemeClr val="lt1"/>
                        </a:fillRef>
                        <a:effectRef idx="0">
                          <a:schemeClr val="dk1"/>
                        </a:effectRef>
                        <a:fontRef idx="minor">
                          <a:schemeClr val="dk1"/>
                        </a:fontRef>
                      </wps:style>
                      <wps:txbx>
                        <w:txbxContent>
                          <w:p w14:paraId="41A2BE3B" w14:textId="2249B052" w:rsidR="00F568F0" w:rsidRPr="007C4445" w:rsidRDefault="00F568F0" w:rsidP="006117AA">
                            <w:pPr>
                              <w:jc w:val="center"/>
                              <w:outlineLvl w:val="0"/>
                              <w:rPr>
                                <w:rFonts w:cstheme="majorBidi"/>
                                <w:b/>
                                <w:bCs/>
                                <w:sz w:val="96"/>
                                <w:szCs w:val="96"/>
                                <w:lang w:val="fr-FR"/>
                              </w:rPr>
                            </w:pPr>
                            <w:bookmarkStart w:id="233" w:name="_Toc229618853"/>
                            <w:r w:rsidRPr="007C4445">
                              <w:rPr>
                                <w:rFonts w:cstheme="majorBidi"/>
                                <w:b/>
                                <w:bCs/>
                                <w:sz w:val="96"/>
                                <w:szCs w:val="96"/>
                                <w:lang w:val="fr-FR"/>
                              </w:rPr>
                              <w:t>Bibliographie</w:t>
                            </w:r>
                            <w:bookmarkEnd w:id="23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E7122" id="Snip Diagonal Corner Rectangle 41" o:spid="_x0000_s1035" style="position:absolute;margin-left:0;margin-top:182.4pt;width:497.55pt;height:282.1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6318913,358253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" adj="-11796480,,5400" path="m,l5721812,r597101,597101l6318913,3582537r,l597101,3582537,,2985436,,xe" fillcolor="white [3201]" strokecolor="black [3200]" strokeweight="1pt">
                <v:stroke joinstyle="miter"/>
                <v:formulas/>
                <v:path arrowok="t" o:connecttype="custom" o:connectlocs="0,0;5721812,0;6318913,597101;6318913,3582537;6318913,3582537;597101,3582537;0,2985436;0,0" o:connectangles="0,0,0,0,0,0,0,0" textboxrect="0,0,6318913,3582537"/>
                <v:textbox>
                  <w:txbxContent>
                    <w:p w14:paraId="41A2BE3B" w14:textId="2249B052" w:rsidR="00F568F0" w:rsidRPr="007C4445" w:rsidRDefault="00F568F0" w:rsidP="006117AA">
                      <w:pPr>
                        <w:jc w:val="center"/>
                        <w:outlineLvl w:val="0"/>
                        <w:rPr>
                          <w:rFonts w:cstheme="majorBidi"/>
                          <w:b/>
                          <w:bCs/>
                          <w:sz w:val="96"/>
                          <w:szCs w:val="96"/>
                          <w:lang w:val="fr-FR"/>
                        </w:rPr>
                      </w:pPr>
                      <w:bookmarkStart w:id="241" w:name="_Toc229618853"/>
                      <w:r w:rsidRPr="007C4445">
                        <w:rPr>
                          <w:rFonts w:cstheme="majorBidi"/>
                          <w:b/>
                          <w:bCs/>
                          <w:sz w:val="96"/>
                          <w:szCs w:val="96"/>
                          <w:lang w:val="fr-FR"/>
                        </w:rPr>
                        <w:t>Bibliographie</w:t>
                      </w:r>
                      <w:bookmarkEnd w:id="241"/>
                    </w:p>
                  </w:txbxContent>
                </v:textbox>
                <w10:wrap anchorx="margin"/>
              </v:shape>
            </w:pict>
          </mc:Fallback>
        </mc:AlternateContent>
      </w:r>
      <w:r>
        <w:rPr>
          <w:lang w:val="fr-FR"/>
        </w:rPr>
        <w:br w:type="page"/>
      </w:r>
    </w:p>
    <w:p w14:paraId="11ECB9DB" w14:textId="77777777" w:rsidR="00784D29" w:rsidRDefault="00784D29" w:rsidP="00B139C3">
      <w:pPr>
        <w:rPr>
          <w:lang w:val="fr-FR"/>
        </w:rPr>
      </w:pPr>
    </w:p>
    <w:p w14:paraId="57EFBFDD" w14:textId="23A0592E" w:rsidR="00784D29" w:rsidRDefault="00784D29" w:rsidP="00B139C3">
      <w:pPr>
        <w:rPr>
          <w:lang w:val="fr-FR"/>
        </w:rPr>
      </w:pPr>
    </w:p>
    <w:p w14:paraId="5989EFA8" w14:textId="1BBBF7D8" w:rsidR="00784D29" w:rsidRDefault="00784D29" w:rsidP="00B139C3">
      <w:pPr>
        <w:rPr>
          <w:lang w:val="fr-FR"/>
        </w:rPr>
      </w:pPr>
    </w:p>
    <w:p w14:paraId="2FF6CC96" w14:textId="77777777" w:rsidR="00116A61" w:rsidRDefault="00784D29" w:rsidP="00116A61">
      <w:pPr>
        <w:pStyle w:val="Bibliography"/>
      </w:pPr>
      <w:r>
        <w:fldChar w:fldCharType="begin"/>
      </w:r>
      <w:r w:rsidR="009C7487">
        <w:rPr>
          <w:lang w:val="en-US"/>
        </w:rPr>
        <w:instrText xml:space="preserve"> ADDIN ZOTERO_BIBL {"uncited":[],"omitted":[],"custom":[]} CSL_BIBLIOGRAPHY </w:instrText>
      </w:r>
      <w:r>
        <w:fldChar w:fldCharType="separate"/>
      </w:r>
      <w:r w:rsidR="00116A61" w:rsidRPr="00116A61">
        <w:rPr>
          <w:lang w:val="en-US"/>
        </w:rPr>
        <w:t>1.</w:t>
      </w:r>
      <w:r w:rsidR="00116A61" w:rsidRPr="00116A61">
        <w:rPr>
          <w:lang w:val="en-US"/>
        </w:rPr>
        <w:tab/>
        <w:t>Magliano, Dianna J. (</w:t>
      </w:r>
      <w:proofErr w:type="gramStart"/>
      <w:r w:rsidR="00116A61" w:rsidRPr="00116A61">
        <w:rPr>
          <w:lang w:val="en-US"/>
        </w:rPr>
        <w:t>Nom :</w:t>
      </w:r>
      <w:proofErr w:type="gramEnd"/>
      <w:r w:rsidR="00116A61" w:rsidRPr="00116A61">
        <w:rPr>
          <w:lang w:val="en-US"/>
        </w:rPr>
        <w:t xml:space="preserve"> Magliano, Boyko, Edward J. (Nom : Boyko, IDF Diabetes Atlas 11th Edition Scientific Committee. </w:t>
      </w:r>
      <w:r w:rsidR="00116A61">
        <w:t xml:space="preserve">IDF Diabetes Atlas 11th </w:t>
      </w:r>
      <w:proofErr w:type="gramStart"/>
      <w:r w:rsidR="00116A61">
        <w:t>edition:</w:t>
      </w:r>
      <w:proofErr w:type="gramEnd"/>
      <w:r w:rsidR="00116A61">
        <w:t xml:space="preserve"> Global estimates of diabetes prevalence for 2024 and projections for 2050 [Article de revue scientifique]. Bruxelles, </w:t>
      </w:r>
      <w:proofErr w:type="gramStart"/>
      <w:r w:rsidR="00116A61">
        <w:t>Belgique:</w:t>
      </w:r>
      <w:proofErr w:type="gramEnd"/>
      <w:r w:rsidR="00116A61">
        <w:t xml:space="preserve"> Elsevier (pour le compte de l’International Diabetes Federation); 2025. </w:t>
      </w:r>
      <w:proofErr w:type="gramStart"/>
      <w:r w:rsidR="00116A61">
        <w:t>doi:10.1016/j.diabres</w:t>
      </w:r>
      <w:proofErr w:type="gramEnd"/>
      <w:r w:rsidR="00116A61">
        <w:t>.2024.112045</w:t>
      </w:r>
    </w:p>
    <w:p w14:paraId="2A135043" w14:textId="77777777" w:rsidR="00116A61" w:rsidRPr="00116A61" w:rsidRDefault="00116A61" w:rsidP="00116A61">
      <w:pPr>
        <w:pStyle w:val="Bibliography"/>
        <w:rPr>
          <w:lang w:val="en-US"/>
        </w:rPr>
      </w:pPr>
      <w:r w:rsidRPr="00116A61">
        <w:rPr>
          <w:lang w:val="en-US"/>
        </w:rPr>
        <w:t>2.</w:t>
      </w:r>
      <w:r w:rsidRPr="00116A61">
        <w:rPr>
          <w:lang w:val="en-US"/>
        </w:rPr>
        <w:tab/>
        <w:t xml:space="preserve">American Diabetes Association Professional Practice Committee, ElSayed NA, Aleppo G, Bannuru RR, Beverly EA, Bruemmer D, et al. Introduction and Methodology: </w:t>
      </w:r>
      <w:r w:rsidRPr="00116A61">
        <w:rPr>
          <w:i/>
          <w:iCs/>
          <w:lang w:val="en-US"/>
        </w:rPr>
        <w:t>Standards of Care in Diabetes—2024</w:t>
      </w:r>
      <w:r w:rsidRPr="00116A61">
        <w:rPr>
          <w:lang w:val="en-US"/>
        </w:rPr>
        <w:t>. Diabetes Care. 1 janv 2024;47(Supplement_1</w:t>
      </w:r>
      <w:proofErr w:type="gramStart"/>
      <w:r w:rsidRPr="00116A61">
        <w:rPr>
          <w:lang w:val="en-US"/>
        </w:rPr>
        <w:t>):S</w:t>
      </w:r>
      <w:proofErr w:type="gramEnd"/>
      <w:r w:rsidRPr="00116A61">
        <w:rPr>
          <w:lang w:val="en-US"/>
        </w:rPr>
        <w:t>1‑4. doi:10.2337/dc24-SINT</w:t>
      </w:r>
    </w:p>
    <w:p w14:paraId="41FAF5E7" w14:textId="77777777" w:rsidR="00116A61" w:rsidRDefault="00116A61" w:rsidP="00116A61">
      <w:pPr>
        <w:pStyle w:val="Bibliography"/>
      </w:pPr>
      <w:r w:rsidRPr="00116A61">
        <w:rPr>
          <w:lang w:val="en-US"/>
        </w:rPr>
        <w:t>3.</w:t>
      </w:r>
      <w:r w:rsidRPr="00116A61">
        <w:rPr>
          <w:lang w:val="en-US"/>
        </w:rPr>
        <w:tab/>
        <w:t xml:space="preserve">WHO global report on traditional and complementary medicine 2019 [Internet]. </w:t>
      </w:r>
      <w:r>
        <w:t>[</w:t>
      </w:r>
      <w:proofErr w:type="gramStart"/>
      <w:r>
        <w:t>cité</w:t>
      </w:r>
      <w:proofErr w:type="gramEnd"/>
      <w:r>
        <w:t xml:space="preserve"> 13 mai 2026]. Disponible </w:t>
      </w:r>
      <w:proofErr w:type="gramStart"/>
      <w:r>
        <w:t>sur:</w:t>
      </w:r>
      <w:proofErr w:type="gramEnd"/>
      <w:r>
        <w:t xml:space="preserve"> https://www.who.int/publications/i/item/978924151536</w:t>
      </w:r>
    </w:p>
    <w:p w14:paraId="53B87768" w14:textId="77777777" w:rsidR="00116A61" w:rsidRPr="00116A61" w:rsidRDefault="00116A61" w:rsidP="00116A61">
      <w:pPr>
        <w:pStyle w:val="Bibliography"/>
        <w:rPr>
          <w:lang w:val="en-US"/>
        </w:rPr>
      </w:pPr>
      <w:r>
        <w:t>4.</w:t>
      </w:r>
      <w:r>
        <w:tab/>
        <w:t xml:space="preserve">Liu FC, Lai MT, Chen YY, Lin WH, Chang SJ, Sheu MJ, et al. </w:t>
      </w:r>
      <w:r w:rsidRPr="00116A61">
        <w:rPr>
          <w:lang w:val="en-US"/>
        </w:rPr>
        <w:t xml:space="preserve">Elucidating the inhibitory mechanisms of the ethanolic extract of the fruiting body of the mushroom Antrodia cinnamomea on the proliferation and migration of murine leukemia WEHI-3 cells and their tumorigenicity in a BALB/c allograft tumor model. Phytomedicine. juill 2013;20(10):874‑82. </w:t>
      </w:r>
      <w:proofErr w:type="gramStart"/>
      <w:r w:rsidRPr="00116A61">
        <w:rPr>
          <w:lang w:val="en-US"/>
        </w:rPr>
        <w:t>doi:10.1016/j.phymed</w:t>
      </w:r>
      <w:proofErr w:type="gramEnd"/>
      <w:r w:rsidRPr="00116A61">
        <w:rPr>
          <w:lang w:val="en-US"/>
        </w:rPr>
        <w:t>.2013.03.008</w:t>
      </w:r>
    </w:p>
    <w:p w14:paraId="66C9BE79" w14:textId="77777777" w:rsidR="00116A61" w:rsidRPr="00116A61" w:rsidRDefault="00116A61" w:rsidP="00116A61">
      <w:pPr>
        <w:pStyle w:val="Bibliography"/>
        <w:rPr>
          <w:lang w:val="en-US"/>
        </w:rPr>
      </w:pPr>
      <w:r w:rsidRPr="00116A61">
        <w:rPr>
          <w:lang w:val="en-US"/>
        </w:rPr>
        <w:t>5.</w:t>
      </w:r>
      <w:r w:rsidRPr="00116A61">
        <w:rPr>
          <w:lang w:val="en-US"/>
        </w:rPr>
        <w:tab/>
        <w:t>Foley H, Steel A, Cramer H, Wardle J, Adams J. Disclosure of complementary medicine use to medical providers: a systematic review and meta-analysis. Sci Rep. 7 févr 2019;9(1):1573. doi:10.1038/s41598-018-38279-8</w:t>
      </w:r>
    </w:p>
    <w:p w14:paraId="649D2529" w14:textId="77777777" w:rsidR="00116A61" w:rsidRDefault="00116A61" w:rsidP="00116A61">
      <w:pPr>
        <w:pStyle w:val="Bibliography"/>
      </w:pPr>
      <w:r w:rsidRPr="00116A61">
        <w:rPr>
          <w:lang w:val="en-US"/>
        </w:rPr>
        <w:t>6.</w:t>
      </w:r>
      <w:r w:rsidRPr="00116A61">
        <w:rPr>
          <w:lang w:val="en-US"/>
        </w:rPr>
        <w:tab/>
        <w:t xml:space="preserve">Goyal R, Singhal M, Jialal I. Type 2 Diabetes. In: StatPearls [Internet] [Internet]. StatPearls Publishing; 2023 [cité 22 nov 2025]. </w:t>
      </w:r>
      <w:r>
        <w:t xml:space="preserve">Disponible </w:t>
      </w:r>
      <w:proofErr w:type="gramStart"/>
      <w:r>
        <w:t>sur:</w:t>
      </w:r>
      <w:proofErr w:type="gramEnd"/>
      <w:r>
        <w:t xml:space="preserve"> https://www.ncbi.nlm.nih.gov/sites/books/NBK513253/ PubMed PMID: 30020625.</w:t>
      </w:r>
    </w:p>
    <w:p w14:paraId="7BA783BC" w14:textId="77777777" w:rsidR="00116A61" w:rsidRDefault="00116A61" w:rsidP="00116A61">
      <w:pPr>
        <w:pStyle w:val="Bibliography"/>
      </w:pPr>
      <w:r>
        <w:t>7.</w:t>
      </w:r>
      <w:r>
        <w:tab/>
        <w:t>Diabète [Internet]. [</w:t>
      </w:r>
      <w:proofErr w:type="gramStart"/>
      <w:r>
        <w:t>cité</w:t>
      </w:r>
      <w:proofErr w:type="gramEnd"/>
      <w:r>
        <w:t xml:space="preserve"> 25 avr 2026]. Disponible </w:t>
      </w:r>
      <w:proofErr w:type="gramStart"/>
      <w:r>
        <w:t>sur:</w:t>
      </w:r>
      <w:proofErr w:type="gramEnd"/>
      <w:r>
        <w:t xml:space="preserve"> https://www.who.int/fr/news-room/fact-sheets/detail/diabetes</w:t>
      </w:r>
    </w:p>
    <w:p w14:paraId="6475CE70" w14:textId="77777777" w:rsidR="00116A61" w:rsidRDefault="00116A61" w:rsidP="00116A61">
      <w:pPr>
        <w:pStyle w:val="Bibliography"/>
      </w:pPr>
      <w:r w:rsidRPr="00116A61">
        <w:rPr>
          <w:lang w:val="en-US"/>
        </w:rPr>
        <w:t>8.</w:t>
      </w:r>
      <w:r w:rsidRPr="00116A61">
        <w:rPr>
          <w:lang w:val="en-US"/>
        </w:rPr>
        <w:tab/>
        <w:t xml:space="preserve">Saeedi P, Petersohn I, Salpea P, Malanda B, Karuranga S, Unwin N, et al. Global and regional diabetes prevalence estimates for 2019 and projections for 2030 and 2045: Results from the International Diabetes Federation Diabetes Atlas, 9th edition. </w:t>
      </w:r>
      <w:r>
        <w:t xml:space="preserve">Diabetes Res Clin Pract. </w:t>
      </w:r>
      <w:proofErr w:type="gramStart"/>
      <w:r>
        <w:t>nov</w:t>
      </w:r>
      <w:proofErr w:type="gramEnd"/>
      <w:r>
        <w:t xml:space="preserve"> 2019;157:107843. </w:t>
      </w:r>
      <w:proofErr w:type="gramStart"/>
      <w:r>
        <w:t>doi:10.1016/j.diabres</w:t>
      </w:r>
      <w:proofErr w:type="gramEnd"/>
      <w:r>
        <w:t>.2019.107843 PubMed PMID: 31518657.</w:t>
      </w:r>
    </w:p>
    <w:p w14:paraId="167D845E" w14:textId="77777777" w:rsidR="00116A61" w:rsidRDefault="00116A61" w:rsidP="00116A61">
      <w:pPr>
        <w:pStyle w:val="Bibliography"/>
      </w:pPr>
      <w:r>
        <w:t>9.</w:t>
      </w:r>
      <w:r>
        <w:tab/>
        <w:t>Global report on diabetes [Internet]. [</w:t>
      </w:r>
      <w:proofErr w:type="gramStart"/>
      <w:r>
        <w:t>cité</w:t>
      </w:r>
      <w:proofErr w:type="gramEnd"/>
      <w:r>
        <w:t xml:space="preserve"> 13 mai 2026]. Disponible </w:t>
      </w:r>
      <w:proofErr w:type="gramStart"/>
      <w:r>
        <w:t>sur:</w:t>
      </w:r>
      <w:proofErr w:type="gramEnd"/>
      <w:r>
        <w:t xml:space="preserve"> https://www.who.int/publications/i/item/9789241565257</w:t>
      </w:r>
    </w:p>
    <w:p w14:paraId="684BD047" w14:textId="77777777" w:rsidR="00116A61" w:rsidRPr="00116A61" w:rsidRDefault="00116A61" w:rsidP="00116A61">
      <w:pPr>
        <w:pStyle w:val="Bibliography"/>
        <w:rPr>
          <w:lang w:val="en-US"/>
        </w:rPr>
      </w:pPr>
      <w:r w:rsidRPr="00116A61">
        <w:rPr>
          <w:lang w:val="en-US"/>
        </w:rPr>
        <w:t>10.</w:t>
      </w:r>
      <w:r w:rsidRPr="00116A61">
        <w:rPr>
          <w:lang w:val="en-US"/>
        </w:rPr>
        <w:tab/>
        <w:t xml:space="preserve">Ceriello A, Colagiuri S. IDF global clinical practice recommendations for managing type 2 diabetes – 2025. Diabetes Research and Clinical Practice. 1 avr 2025;222. </w:t>
      </w:r>
      <w:proofErr w:type="gramStart"/>
      <w:r w:rsidRPr="00116A61">
        <w:rPr>
          <w:lang w:val="en-US"/>
        </w:rPr>
        <w:t>doi:10.1016/j.diabres</w:t>
      </w:r>
      <w:proofErr w:type="gramEnd"/>
      <w:r w:rsidRPr="00116A61">
        <w:rPr>
          <w:lang w:val="en-US"/>
        </w:rPr>
        <w:t>.2025.112152 PubMed PMID: 40204549.</w:t>
      </w:r>
    </w:p>
    <w:p w14:paraId="3F823498" w14:textId="77777777" w:rsidR="00116A61" w:rsidRPr="00116A61" w:rsidRDefault="00116A61" w:rsidP="00116A61">
      <w:pPr>
        <w:pStyle w:val="Bibliography"/>
        <w:rPr>
          <w:lang w:val="en-US"/>
        </w:rPr>
      </w:pPr>
      <w:r w:rsidRPr="00116A61">
        <w:rPr>
          <w:lang w:val="en-US"/>
        </w:rPr>
        <w:lastRenderedPageBreak/>
        <w:t>11.</w:t>
      </w:r>
      <w:r w:rsidRPr="00116A61">
        <w:rPr>
          <w:lang w:val="en-US"/>
        </w:rPr>
        <w:tab/>
        <w:t>International Diabetes Federation. Diabetes country profile: Algeria. International Diabetes Federation [Internet]. 2024 [cité 13 mai 2026]. Disponible sur: https://idf.org/our-network/regions-and-members/middle-east-and-north-africa/members/algeria/</w:t>
      </w:r>
    </w:p>
    <w:p w14:paraId="01288E47" w14:textId="77777777" w:rsidR="00116A61" w:rsidRDefault="00116A61" w:rsidP="00116A61">
      <w:pPr>
        <w:pStyle w:val="Bibliography"/>
      </w:pPr>
      <w:r>
        <w:t>12.</w:t>
      </w:r>
      <w:r>
        <w:tab/>
        <w:t>Diabetes [Internet]. [</w:t>
      </w:r>
      <w:proofErr w:type="gramStart"/>
      <w:r>
        <w:t>cité</w:t>
      </w:r>
      <w:proofErr w:type="gramEnd"/>
      <w:r>
        <w:t xml:space="preserve"> 13 mai 2026]. Disponible </w:t>
      </w:r>
      <w:proofErr w:type="gramStart"/>
      <w:r>
        <w:t>sur:</w:t>
      </w:r>
      <w:proofErr w:type="gramEnd"/>
      <w:r>
        <w:t xml:space="preserve"> https://www.who.int/health-topics/diabetes</w:t>
      </w:r>
    </w:p>
    <w:p w14:paraId="0BE6F238" w14:textId="77777777" w:rsidR="00116A61" w:rsidRPr="00116A61" w:rsidRDefault="00116A61" w:rsidP="00116A61">
      <w:pPr>
        <w:pStyle w:val="Bibliography"/>
        <w:rPr>
          <w:lang w:val="en-US"/>
        </w:rPr>
      </w:pPr>
      <w:r w:rsidRPr="00116A61">
        <w:rPr>
          <w:lang w:val="en-US"/>
        </w:rPr>
        <w:t>13.</w:t>
      </w:r>
      <w:r w:rsidRPr="00116A61">
        <w:rPr>
          <w:lang w:val="en-US"/>
        </w:rPr>
        <w:tab/>
        <w:t xml:space="preserve">American Diabetes Association Professional Practice Committee, ElSayed NA, Aleppo G, Bannuru RR, Beverly EA, Bruemmer D, et al. Introduction and Methodology: </w:t>
      </w:r>
      <w:r w:rsidRPr="00116A61">
        <w:rPr>
          <w:i/>
          <w:iCs/>
          <w:lang w:val="en-US"/>
        </w:rPr>
        <w:t>Standards of Care in Diabetes—2024</w:t>
      </w:r>
      <w:r w:rsidRPr="00116A61">
        <w:rPr>
          <w:lang w:val="en-US"/>
        </w:rPr>
        <w:t>. Diabetes Care. 1 janv 2024;47(Supplement_1</w:t>
      </w:r>
      <w:proofErr w:type="gramStart"/>
      <w:r w:rsidRPr="00116A61">
        <w:rPr>
          <w:lang w:val="en-US"/>
        </w:rPr>
        <w:t>):S</w:t>
      </w:r>
      <w:proofErr w:type="gramEnd"/>
      <w:r w:rsidRPr="00116A61">
        <w:rPr>
          <w:lang w:val="en-US"/>
        </w:rPr>
        <w:t>1‑4. doi:10.2337/dc24-SINT</w:t>
      </w:r>
    </w:p>
    <w:p w14:paraId="35E6F934" w14:textId="77777777" w:rsidR="00116A61" w:rsidRDefault="00116A61" w:rsidP="00116A61">
      <w:pPr>
        <w:pStyle w:val="Bibliography"/>
      </w:pPr>
      <w:r>
        <w:t>14.</w:t>
      </w:r>
      <w:r>
        <w:tab/>
        <w:t>45-2014.</w:t>
      </w:r>
    </w:p>
    <w:p w14:paraId="78F32155" w14:textId="77777777" w:rsidR="00116A61" w:rsidRDefault="00116A61" w:rsidP="00116A61">
      <w:pPr>
        <w:pStyle w:val="Bibliography"/>
      </w:pPr>
      <w:r>
        <w:t>15.</w:t>
      </w:r>
      <w:r>
        <w:tab/>
        <w:t>Fiche-pratique-Diabete.</w:t>
      </w:r>
    </w:p>
    <w:p w14:paraId="2252AF85" w14:textId="77777777" w:rsidR="00116A61" w:rsidRDefault="00116A61" w:rsidP="00116A61">
      <w:pPr>
        <w:pStyle w:val="Bibliography"/>
      </w:pPr>
      <w:r>
        <w:t>16.</w:t>
      </w:r>
      <w:r>
        <w:tab/>
        <w:t>Atlas du diabète de la FID 2025. Atlas du diabète [Internet]. [</w:t>
      </w:r>
      <w:proofErr w:type="gramStart"/>
      <w:r>
        <w:t>cité</w:t>
      </w:r>
      <w:proofErr w:type="gramEnd"/>
      <w:r>
        <w:t xml:space="preserve"> 11 janv 2026]. Disponible </w:t>
      </w:r>
      <w:proofErr w:type="gramStart"/>
      <w:r>
        <w:t>sur:</w:t>
      </w:r>
      <w:proofErr w:type="gramEnd"/>
      <w:r>
        <w:t xml:space="preserve"> https://diabetesatlas.org/fr/resources/idf-diabetes-atlas-2025/</w:t>
      </w:r>
    </w:p>
    <w:p w14:paraId="59243BAF" w14:textId="77777777" w:rsidR="00116A61" w:rsidRDefault="00116A61" w:rsidP="00116A61">
      <w:pPr>
        <w:pStyle w:val="Bibliography"/>
      </w:pPr>
      <w:r>
        <w:t>17.</w:t>
      </w:r>
      <w:r>
        <w:tab/>
        <w:t>Benmediouni F. A notre promoteur Docteur.</w:t>
      </w:r>
    </w:p>
    <w:p w14:paraId="5E129585" w14:textId="77777777" w:rsidR="00116A61" w:rsidRDefault="00116A61" w:rsidP="00116A61">
      <w:pPr>
        <w:pStyle w:val="Bibliography"/>
      </w:pPr>
      <w:r>
        <w:t>18.</w:t>
      </w:r>
      <w:r>
        <w:tab/>
        <w:t>https://ipubli.inserm.fr/bitstream/handle/10608/9690/?sequence=15&amp;utm_source=copilot.com [Internet]. [</w:t>
      </w:r>
      <w:proofErr w:type="gramStart"/>
      <w:r>
        <w:t>cité</w:t>
      </w:r>
      <w:proofErr w:type="gramEnd"/>
      <w:r>
        <w:t xml:space="preserve"> 10 janv 2026]. Disponible </w:t>
      </w:r>
      <w:proofErr w:type="gramStart"/>
      <w:r>
        <w:t>sur:</w:t>
      </w:r>
      <w:proofErr w:type="gramEnd"/>
      <w:r>
        <w:t xml:space="preserve"> https://ipubli.inserm.fr/bitstream/handle/10608/9690/?sequence=15&amp;utm_source=copilot.com</w:t>
      </w:r>
    </w:p>
    <w:p w14:paraId="09FEED35" w14:textId="77777777" w:rsidR="00116A61" w:rsidRDefault="00116A61" w:rsidP="00116A61">
      <w:pPr>
        <w:pStyle w:val="Bibliography"/>
      </w:pPr>
      <w:r>
        <w:t>19.</w:t>
      </w:r>
      <w:r>
        <w:tab/>
        <w:t>Diabete-type-2-obesite-et-nutrition-un-changement-de-paradigme-1.</w:t>
      </w:r>
    </w:p>
    <w:p w14:paraId="13DEAE39" w14:textId="77777777" w:rsidR="00116A61" w:rsidRDefault="00116A61" w:rsidP="00116A61">
      <w:pPr>
        <w:pStyle w:val="Bibliography"/>
      </w:pPr>
      <w:r>
        <w:t>20.</w:t>
      </w:r>
      <w:r>
        <w:tab/>
        <w:t xml:space="preserve">Admin. Obésité et diabète en Algérie : l’équilibre des hormones du tissu adipeux au cœur du risque cardiovasculaire. L’Algérie Aujourd’hui [Internet]. 8 avr 2025 [cité 10 janv 2026]. Disponible </w:t>
      </w:r>
      <w:proofErr w:type="gramStart"/>
      <w:r>
        <w:t>sur:</w:t>
      </w:r>
      <w:proofErr w:type="gramEnd"/>
      <w:r>
        <w:t xml:space="preserve"> https://lalgerieaujourdhui.dz/obesite-et-diabete-en-algerie-lequilibre-des-hormones-du-tissu-adipeux-au-coeur-du-risque-cardiovasculaire/</w:t>
      </w:r>
    </w:p>
    <w:p w14:paraId="60CE7B60" w14:textId="77777777" w:rsidR="00116A61" w:rsidRDefault="00116A61" w:rsidP="00116A61">
      <w:pPr>
        <w:pStyle w:val="Bibliography"/>
      </w:pPr>
      <w:r>
        <w:t>21.</w:t>
      </w:r>
      <w:r>
        <w:tab/>
        <w:t xml:space="preserve">veroniquel. Les Risques de la Sédentarité et de l’Inactivité Physique sur la Santé - GDR Sport &amp; Activités Physiques. https://sport.cnrs.fr/ [Internet]. 18 juill 2024 [cité 10 janv 2026]. Disponible </w:t>
      </w:r>
      <w:proofErr w:type="gramStart"/>
      <w:r>
        <w:t>sur:</w:t>
      </w:r>
      <w:proofErr w:type="gramEnd"/>
      <w:r>
        <w:t xml:space="preserve"> https://sport.cnrs.fr/les-risques-de-la-sedentarite-et-de-linactivite-physique-sur-la-sante/</w:t>
      </w:r>
    </w:p>
    <w:p w14:paraId="6C5FF454" w14:textId="77777777" w:rsidR="00116A61" w:rsidRPr="00116A61" w:rsidRDefault="00116A61" w:rsidP="00116A61">
      <w:pPr>
        <w:pStyle w:val="Bibliography"/>
        <w:rPr>
          <w:lang w:val="en-US"/>
        </w:rPr>
      </w:pPr>
      <w:r>
        <w:t>22.</w:t>
      </w:r>
      <w:r>
        <w:tab/>
        <w:t xml:space="preserve">Aune D, Norat T, Leitzmann M, Tonstad S, Vatten LJ. </w:t>
      </w:r>
      <w:r w:rsidRPr="00116A61">
        <w:rPr>
          <w:lang w:val="en-US"/>
        </w:rPr>
        <w:t>Physical activity and the risk of type 2 diabetes: a systematic review and dose-response meta-analysis. Eur J Epidemiol. juill 2015;30(7):529‑42. doi:10.1007/s10654-015-0056-z PubMed PMID: 26092138.</w:t>
      </w:r>
    </w:p>
    <w:p w14:paraId="382D2E48" w14:textId="77777777" w:rsidR="00116A61" w:rsidRPr="00116A61" w:rsidRDefault="00116A61" w:rsidP="00116A61">
      <w:pPr>
        <w:pStyle w:val="Bibliography"/>
        <w:rPr>
          <w:lang w:val="en-US"/>
        </w:rPr>
      </w:pPr>
      <w:r w:rsidRPr="00116A61">
        <w:rPr>
          <w:lang w:val="en-US"/>
        </w:rPr>
        <w:t>23.</w:t>
      </w:r>
      <w:r w:rsidRPr="00116A61">
        <w:rPr>
          <w:lang w:val="en-US"/>
        </w:rPr>
        <w:tab/>
        <w:t>Willett W, Manson J, Liu S. Glycemic index, glycemic load, and risk of type 2 diabetes. Am J Clin Nutr. juill 2002;76(1):274S-80S. doi:10.1093/ajcn/76/1.274S PubMed PMID: 12081851.</w:t>
      </w:r>
    </w:p>
    <w:p w14:paraId="38554C0F" w14:textId="77777777" w:rsidR="00116A61" w:rsidRDefault="00116A61" w:rsidP="00116A61">
      <w:pPr>
        <w:pStyle w:val="Bibliography"/>
      </w:pPr>
      <w:r>
        <w:lastRenderedPageBreak/>
        <w:t>24.</w:t>
      </w:r>
      <w:r>
        <w:tab/>
        <w:t>Delarue J, Guriec N. Acides gras, insulinorésistance, syndrome métabolique et diabète de type </w:t>
      </w:r>
      <w:proofErr w:type="gramStart"/>
      <w:r>
        <w:t>2:</w:t>
      </w:r>
      <w:proofErr w:type="gramEnd"/>
      <w:r>
        <w:t xml:space="preserve"> Fatty acids, insulin resistance, metabolic syndrome and type 2 diabetes. Médecine des Maladies Métaboliques. 1 juin </w:t>
      </w:r>
      <w:proofErr w:type="gramStart"/>
      <w:r>
        <w:t>2011;</w:t>
      </w:r>
      <w:proofErr w:type="gramEnd"/>
      <w:r>
        <w:t xml:space="preserve">5(3):253‑6. </w:t>
      </w:r>
      <w:proofErr w:type="gramStart"/>
      <w:r>
        <w:t>doi:</w:t>
      </w:r>
      <w:proofErr w:type="gramEnd"/>
      <w:r>
        <w:t>10.1016/S1957-2557(11)70236-X</w:t>
      </w:r>
    </w:p>
    <w:p w14:paraId="3B53B55D" w14:textId="77777777" w:rsidR="00116A61" w:rsidRPr="00116A61" w:rsidRDefault="00116A61" w:rsidP="00116A61">
      <w:pPr>
        <w:pStyle w:val="Bibliography"/>
        <w:rPr>
          <w:lang w:val="en-US"/>
        </w:rPr>
      </w:pPr>
      <w:r>
        <w:t>25.</w:t>
      </w:r>
      <w:r>
        <w:tab/>
        <w:t xml:space="preserve">Lee SH, Park SY, Choi CS. </w:t>
      </w:r>
      <w:r w:rsidRPr="00116A61">
        <w:rPr>
          <w:lang w:val="en-US"/>
        </w:rPr>
        <w:t>Insulin Resistance: From Mechanisms to Therapeutic Strategies. Diabetes Metab J. 31 janv 2022;46(1):15‑37. doi:10.4093/dmj.2021.0280</w:t>
      </w:r>
    </w:p>
    <w:p w14:paraId="1561896E" w14:textId="77777777" w:rsidR="00116A61" w:rsidRDefault="00116A61" w:rsidP="00116A61">
      <w:pPr>
        <w:pStyle w:val="Bibliography"/>
      </w:pPr>
      <w:r w:rsidRPr="00116A61">
        <w:rPr>
          <w:lang w:val="en-US"/>
        </w:rPr>
        <w:t>26.</w:t>
      </w:r>
      <w:r w:rsidRPr="00116A61">
        <w:rPr>
          <w:lang w:val="en-US"/>
        </w:rPr>
        <w:tab/>
        <w:t xml:space="preserve">The pathophysiology of type 2 diabetes mellitus: an overview - PubMed [Internet]. </w:t>
      </w:r>
      <w:r>
        <w:t>[</w:t>
      </w:r>
      <w:proofErr w:type="gramStart"/>
      <w:r>
        <w:t>cité</w:t>
      </w:r>
      <w:proofErr w:type="gramEnd"/>
      <w:r>
        <w:t xml:space="preserve"> 22 nov 2025]. Disponible </w:t>
      </w:r>
      <w:proofErr w:type="gramStart"/>
      <w:r>
        <w:t>sur:</w:t>
      </w:r>
      <w:proofErr w:type="gramEnd"/>
      <w:r>
        <w:t xml:space="preserve"> https://pubmed.ncbi.nlm.nih.gov/11412136/</w:t>
      </w:r>
    </w:p>
    <w:p w14:paraId="59E1EFDD" w14:textId="77777777" w:rsidR="00116A61" w:rsidRPr="00116A61" w:rsidRDefault="00116A61" w:rsidP="00116A61">
      <w:pPr>
        <w:pStyle w:val="Bibliography"/>
        <w:rPr>
          <w:lang w:val="en-US"/>
        </w:rPr>
      </w:pPr>
      <w:r w:rsidRPr="00116A61">
        <w:rPr>
          <w:lang w:val="en-US"/>
        </w:rPr>
        <w:t>27.</w:t>
      </w:r>
      <w:r w:rsidRPr="00116A61">
        <w:rPr>
          <w:lang w:val="en-US"/>
        </w:rPr>
        <w:tab/>
        <w:t>Caturano A, D’Angelo M, Mormone A, Russo V, Mollica MP, Salvatore T, et al. Oxidative Stress in Type 2 Diabetes: Impacts from Pathogenesis to Lifestyle Modifications. Curr Issues Mol Biol. 12 août 2023;45(8):6651‑66. doi:10.3390/cimb45080420 PubMed PMID: 37623239; PubMed Central PMCID: PMC10453126.</w:t>
      </w:r>
    </w:p>
    <w:p w14:paraId="4BBBE63F" w14:textId="77777777" w:rsidR="00116A61" w:rsidRPr="00116A61" w:rsidRDefault="00116A61" w:rsidP="00116A61">
      <w:pPr>
        <w:pStyle w:val="Bibliography"/>
        <w:rPr>
          <w:lang w:val="en-US"/>
        </w:rPr>
      </w:pPr>
      <w:r w:rsidRPr="00116A61">
        <w:rPr>
          <w:lang w:val="en-US"/>
        </w:rPr>
        <w:t>28.</w:t>
      </w:r>
      <w:r w:rsidRPr="00116A61">
        <w:rPr>
          <w:lang w:val="en-US"/>
        </w:rPr>
        <w:tab/>
        <w:t>American Diabetes Association Professional Practice Committee. Summary of Revisions: Standards of Care in Diabetes—2024. Diabetes Care. 11 déc 2023;47(Supplement_1</w:t>
      </w:r>
      <w:proofErr w:type="gramStart"/>
      <w:r w:rsidRPr="00116A61">
        <w:rPr>
          <w:lang w:val="en-US"/>
        </w:rPr>
        <w:t>):S</w:t>
      </w:r>
      <w:proofErr w:type="gramEnd"/>
      <w:r w:rsidRPr="00116A61">
        <w:rPr>
          <w:lang w:val="en-US"/>
        </w:rPr>
        <w:t>5‑10. doi:10.2337/dc24-SREV</w:t>
      </w:r>
    </w:p>
    <w:p w14:paraId="027CED7C" w14:textId="77777777" w:rsidR="00116A61" w:rsidRPr="00116A61" w:rsidRDefault="00116A61" w:rsidP="00116A61">
      <w:pPr>
        <w:pStyle w:val="Bibliography"/>
        <w:rPr>
          <w:lang w:val="en-US"/>
        </w:rPr>
      </w:pPr>
      <w:r w:rsidRPr="00116A61">
        <w:rPr>
          <w:lang w:val="en-US"/>
        </w:rPr>
        <w:t>29.</w:t>
      </w:r>
      <w:r w:rsidRPr="00116A61">
        <w:rPr>
          <w:lang w:val="en-US"/>
        </w:rPr>
        <w:tab/>
        <w:t>American Diabetes Association Professional Practice Committee. 6. Glycemic Goals and Hypoglycemia: Standards of Care in Diabetes—2024. Diabetes Care. 11 déc 2023;47(Supplement_1</w:t>
      </w:r>
      <w:proofErr w:type="gramStart"/>
      <w:r w:rsidRPr="00116A61">
        <w:rPr>
          <w:lang w:val="en-US"/>
        </w:rPr>
        <w:t>):S</w:t>
      </w:r>
      <w:proofErr w:type="gramEnd"/>
      <w:r w:rsidRPr="00116A61">
        <w:rPr>
          <w:lang w:val="en-US"/>
        </w:rPr>
        <w:t>111‑25. doi:10.2337/dc24-S006</w:t>
      </w:r>
    </w:p>
    <w:p w14:paraId="0DAF656C" w14:textId="77777777" w:rsidR="00116A61" w:rsidRDefault="00116A61" w:rsidP="00116A61">
      <w:pPr>
        <w:pStyle w:val="Bibliography"/>
      </w:pPr>
      <w:r w:rsidRPr="00116A61">
        <w:rPr>
          <w:lang w:val="en-US"/>
        </w:rPr>
        <w:t>30.</w:t>
      </w:r>
      <w:r w:rsidRPr="00116A61">
        <w:rPr>
          <w:lang w:val="en-US"/>
        </w:rPr>
        <w:tab/>
        <w:t xml:space="preserve">Hyperglycaemic crises in adults with diabetes: a consensus report | Diabetologia | Springer Nature Link [Internet]. </w:t>
      </w:r>
      <w:r>
        <w:t>[</w:t>
      </w:r>
      <w:proofErr w:type="gramStart"/>
      <w:r>
        <w:t>cité</w:t>
      </w:r>
      <w:proofErr w:type="gramEnd"/>
      <w:r>
        <w:t xml:space="preserve"> 13 mai 2026]. Disponible </w:t>
      </w:r>
      <w:proofErr w:type="gramStart"/>
      <w:r>
        <w:t>sur:</w:t>
      </w:r>
      <w:proofErr w:type="gramEnd"/>
      <w:r>
        <w:t xml:space="preserve"> https://link.springer.com/article/10.1007/s00125-024-06183-8</w:t>
      </w:r>
    </w:p>
    <w:p w14:paraId="1CD29CA2" w14:textId="77777777" w:rsidR="00116A61" w:rsidRDefault="00116A61" w:rsidP="00116A61">
      <w:pPr>
        <w:pStyle w:val="Bibliography"/>
      </w:pPr>
      <w:r w:rsidRPr="00116A61">
        <w:rPr>
          <w:lang w:val="en-US"/>
        </w:rPr>
        <w:t>31.</w:t>
      </w:r>
      <w:r w:rsidRPr="00116A61">
        <w:rPr>
          <w:lang w:val="en-US"/>
        </w:rPr>
        <w:tab/>
        <w:t xml:space="preserve">16. Diabetes Care in the Hospital: Standards of Care in Diabetes—2024 | Diabetes Care | American Diabetes Association [Internet]. </w:t>
      </w:r>
      <w:r>
        <w:t>[</w:t>
      </w:r>
      <w:proofErr w:type="gramStart"/>
      <w:r>
        <w:t>cité</w:t>
      </w:r>
      <w:proofErr w:type="gramEnd"/>
      <w:r>
        <w:t xml:space="preserve"> 13 mai 2026]. Disponible </w:t>
      </w:r>
      <w:proofErr w:type="gramStart"/>
      <w:r>
        <w:t>sur:</w:t>
      </w:r>
      <w:proofErr w:type="gramEnd"/>
      <w:r>
        <w:t xml:space="preserve"> https://diabetesjournals.org/care/article/47/Supplement_1/S295/153950/16-Diabetes-Care-in-the-Hospital-Standards-of-Care</w:t>
      </w:r>
    </w:p>
    <w:p w14:paraId="56CFA667" w14:textId="77777777" w:rsidR="00116A61" w:rsidRPr="00116A61" w:rsidRDefault="00116A61" w:rsidP="00116A61">
      <w:pPr>
        <w:pStyle w:val="Bibliography"/>
        <w:rPr>
          <w:lang w:val="en-US"/>
        </w:rPr>
      </w:pPr>
      <w:r w:rsidRPr="00116A61">
        <w:rPr>
          <w:lang w:val="en-US"/>
        </w:rPr>
        <w:t>32.</w:t>
      </w:r>
      <w:r w:rsidRPr="00116A61">
        <w:rPr>
          <w:lang w:val="en-US"/>
        </w:rPr>
        <w:tab/>
        <w:t>Cheung N, Mitchell P, Wong TY. Diabetic retinopathy. Lancet. 10 juill 2010;376(9735):124‑36. doi:10.1016/S0140-6736(09)62124-3 PubMed PMID: 20580421.</w:t>
      </w:r>
    </w:p>
    <w:p w14:paraId="772F960E" w14:textId="77777777" w:rsidR="00116A61" w:rsidRDefault="00116A61" w:rsidP="00116A61">
      <w:pPr>
        <w:pStyle w:val="Bibliography"/>
      </w:pPr>
      <w:r w:rsidRPr="00116A61">
        <w:rPr>
          <w:lang w:val="en-US"/>
        </w:rPr>
        <w:t>33.</w:t>
      </w:r>
      <w:r w:rsidRPr="00116A61">
        <w:rPr>
          <w:lang w:val="en-US"/>
        </w:rPr>
        <w:tab/>
        <w:t xml:space="preserve">11. Chronic Kidney Disease and Risk Management: Standards of Care in Diabetes—2024 | Diabetes Care | American Diabetes Association [Internet]. </w:t>
      </w:r>
      <w:r>
        <w:t>[</w:t>
      </w:r>
      <w:proofErr w:type="gramStart"/>
      <w:r>
        <w:t>cité</w:t>
      </w:r>
      <w:proofErr w:type="gramEnd"/>
      <w:r>
        <w:t xml:space="preserve"> 13 mai 2026]. Disponible </w:t>
      </w:r>
      <w:proofErr w:type="gramStart"/>
      <w:r>
        <w:t>sur:</w:t>
      </w:r>
      <w:proofErr w:type="gramEnd"/>
      <w:r>
        <w:t xml:space="preserve"> https://diabetesjournals.org/care/article/47/Supplement_1/S219/153938/11-Chronic-Kidney-Disease-and-Risk-Management</w:t>
      </w:r>
    </w:p>
    <w:p w14:paraId="779C92B7" w14:textId="77777777" w:rsidR="00116A61" w:rsidRDefault="00116A61" w:rsidP="00116A61">
      <w:pPr>
        <w:pStyle w:val="Bibliography"/>
      </w:pPr>
      <w:r w:rsidRPr="00116A61">
        <w:rPr>
          <w:lang w:val="en-US"/>
        </w:rPr>
        <w:t>34.</w:t>
      </w:r>
      <w:r w:rsidRPr="00116A61">
        <w:rPr>
          <w:lang w:val="en-US"/>
        </w:rPr>
        <w:tab/>
        <w:t xml:space="preserve">Diabetic Neuropathy: A Position Statement by the American Diabetes Association | Diabetes Care | American Diabetes Association [Internet]. </w:t>
      </w:r>
      <w:r>
        <w:t>[</w:t>
      </w:r>
      <w:proofErr w:type="gramStart"/>
      <w:r>
        <w:t>cité</w:t>
      </w:r>
      <w:proofErr w:type="gramEnd"/>
      <w:r>
        <w:t xml:space="preserve"> 13 mai 2026]. Disponible </w:t>
      </w:r>
      <w:proofErr w:type="gramStart"/>
      <w:r>
        <w:t>sur:</w:t>
      </w:r>
      <w:proofErr w:type="gramEnd"/>
      <w:r>
        <w:t xml:space="preserve"> https://diabetesjournals.org/care/article/40/1/136/37160/Diabetic-Neuropathy-A-Position-Statement-by-the</w:t>
      </w:r>
    </w:p>
    <w:p w14:paraId="4CB56B98" w14:textId="77777777" w:rsidR="00116A61" w:rsidRPr="00116A61" w:rsidRDefault="00116A61" w:rsidP="00116A61">
      <w:pPr>
        <w:pStyle w:val="Bibliography"/>
        <w:rPr>
          <w:lang w:val="en-US"/>
        </w:rPr>
      </w:pPr>
      <w:r w:rsidRPr="00116A61">
        <w:rPr>
          <w:lang w:val="en-US"/>
        </w:rPr>
        <w:t>35.</w:t>
      </w:r>
      <w:r w:rsidRPr="00116A61">
        <w:rPr>
          <w:lang w:val="en-US"/>
        </w:rPr>
        <w:tab/>
        <w:t>Marx N, Federici M, Schütt K, Müller-Wieland D, Ajjan RA, Antunes MJ, et al. 2023 ESC Guidelines for the management of cardiovascular disease in patients with diabetes. Eur Heart J. 14 oct 2023;44(39):4043‑140. doi:10.1093/eurheartj/ehad192 PubMed PMID: 37622663.</w:t>
      </w:r>
    </w:p>
    <w:p w14:paraId="66ED7C76" w14:textId="77777777" w:rsidR="00116A61" w:rsidRDefault="00116A61" w:rsidP="00116A61">
      <w:pPr>
        <w:pStyle w:val="Bibliography"/>
      </w:pPr>
      <w:r w:rsidRPr="00116A61">
        <w:rPr>
          <w:lang w:val="en-US"/>
        </w:rPr>
        <w:lastRenderedPageBreak/>
        <w:t>36.</w:t>
      </w:r>
      <w:r w:rsidRPr="00116A61">
        <w:rPr>
          <w:lang w:val="en-US"/>
        </w:rPr>
        <w:tab/>
        <w:t xml:space="preserve">2024 ACC/AHA/AACVPR/APMA/ABC/SCAI/SVM/SVN/SVS/SIR/VESS Guideline for the Management of Lower Extremity Peripheral Artery Disease: A Report of the American College of Cardiology/American Heart Association Joint Committee on Clinical Practice Guidelines | Circulation [Internet]. </w:t>
      </w:r>
      <w:r>
        <w:t>[</w:t>
      </w:r>
      <w:proofErr w:type="gramStart"/>
      <w:r>
        <w:t>cité</w:t>
      </w:r>
      <w:proofErr w:type="gramEnd"/>
      <w:r>
        <w:t xml:space="preserve"> 13 mai 2026]. Disponible </w:t>
      </w:r>
      <w:proofErr w:type="gramStart"/>
      <w:r>
        <w:t>sur:</w:t>
      </w:r>
      <w:proofErr w:type="gramEnd"/>
      <w:r>
        <w:t xml:space="preserve"> https://www.ahajournals.org/doi/10.1161/CIR.0000000000001251</w:t>
      </w:r>
    </w:p>
    <w:p w14:paraId="3FCC9754" w14:textId="77777777" w:rsidR="00116A61" w:rsidRPr="00116A61" w:rsidRDefault="00116A61" w:rsidP="00116A61">
      <w:pPr>
        <w:pStyle w:val="Bibliography"/>
        <w:rPr>
          <w:lang w:val="en-US"/>
        </w:rPr>
      </w:pPr>
      <w:r w:rsidRPr="00116A61">
        <w:rPr>
          <w:lang w:val="en-US"/>
        </w:rPr>
        <w:t>37.</w:t>
      </w:r>
      <w:r w:rsidRPr="00116A61">
        <w:rPr>
          <w:lang w:val="en-US"/>
        </w:rPr>
        <w:tab/>
        <w:t>Mazzolai L, Teixido-Tura G, Lanzi S, Boc V, Bossone E, Brodmann M, et al. 2024 ESC Guidelines for the management of peripheral arterial and aortic diseases. European Heart Journal. 29 sept 2024;45(36):3538‑700. doi:10.1093/eurheartj/ehae179</w:t>
      </w:r>
    </w:p>
    <w:p w14:paraId="26D650E7" w14:textId="77777777" w:rsidR="00116A61" w:rsidRDefault="00116A61" w:rsidP="00116A61">
      <w:pPr>
        <w:pStyle w:val="Bibliography"/>
      </w:pPr>
      <w:r w:rsidRPr="00116A61">
        <w:rPr>
          <w:lang w:val="en-US"/>
        </w:rPr>
        <w:t>38.</w:t>
      </w:r>
      <w:r w:rsidRPr="00116A61">
        <w:rPr>
          <w:lang w:val="en-US"/>
        </w:rPr>
        <w:tab/>
        <w:t xml:space="preserve">2021 Guideline for the Prevention of Stroke in Patients </w:t>
      </w:r>
      <w:proofErr w:type="gramStart"/>
      <w:r w:rsidRPr="00116A61">
        <w:rPr>
          <w:lang w:val="en-US"/>
        </w:rPr>
        <w:t>With</w:t>
      </w:r>
      <w:proofErr w:type="gramEnd"/>
      <w:r w:rsidRPr="00116A61">
        <w:rPr>
          <w:lang w:val="en-US"/>
        </w:rPr>
        <w:t xml:space="preserve"> Stroke and Transient Ischemic Attack: A Guideline From the American Heart Association/American Stroke Association | Stroke [Internet]. </w:t>
      </w:r>
      <w:r>
        <w:t>[</w:t>
      </w:r>
      <w:proofErr w:type="gramStart"/>
      <w:r>
        <w:t>cité</w:t>
      </w:r>
      <w:proofErr w:type="gramEnd"/>
      <w:r>
        <w:t xml:space="preserve"> 13 mai 2026]. Disponible </w:t>
      </w:r>
      <w:proofErr w:type="gramStart"/>
      <w:r>
        <w:t>sur:</w:t>
      </w:r>
      <w:proofErr w:type="gramEnd"/>
      <w:r>
        <w:t xml:space="preserve"> https://www.ahajournals.org/doi/10.1161/STR.0000000000000375</w:t>
      </w:r>
    </w:p>
    <w:p w14:paraId="06EA6A2A" w14:textId="77777777" w:rsidR="00116A61" w:rsidRPr="00116A61" w:rsidRDefault="00116A61" w:rsidP="00116A61">
      <w:pPr>
        <w:pStyle w:val="Bibliography"/>
        <w:rPr>
          <w:lang w:val="en-US"/>
        </w:rPr>
      </w:pPr>
      <w:r w:rsidRPr="00116A61">
        <w:rPr>
          <w:lang w:val="en-US"/>
        </w:rPr>
        <w:t>39.</w:t>
      </w:r>
      <w:r w:rsidRPr="00116A61">
        <w:rPr>
          <w:lang w:val="en-US"/>
        </w:rPr>
        <w:tab/>
        <w:t>McDonald HH, Moore M. Strongyloides stercoralis Hyperinfection. N Engl J Med. 15 juin 2017;376(24):2376. doi:10.1056/NEJMicm1612018 PubMed PMID: 28614685.</w:t>
      </w:r>
    </w:p>
    <w:p w14:paraId="69F7823B" w14:textId="77777777" w:rsidR="00116A61" w:rsidRPr="00116A61" w:rsidRDefault="00116A61" w:rsidP="00116A61">
      <w:pPr>
        <w:pStyle w:val="Bibliography"/>
        <w:rPr>
          <w:lang w:val="en-US"/>
        </w:rPr>
      </w:pPr>
      <w:r w:rsidRPr="00116A61">
        <w:rPr>
          <w:lang w:val="en-US"/>
        </w:rPr>
        <w:t>40.</w:t>
      </w:r>
      <w:r w:rsidRPr="00116A61">
        <w:rPr>
          <w:lang w:val="en-US"/>
        </w:rPr>
        <w:tab/>
        <w:t>Du Y, Zhu YJ, Zhou YX, Ding J, Liu JY. Metformin in therapeutic applications in human diseases: its mechanism of action and clinical study. Mol Biomed. 9 déc 2022;3(1):41. doi:10.1186/s43556-022-00108-w PubMed PMID: 36484892; PubMed Central PMCID: PMC9733765.</w:t>
      </w:r>
    </w:p>
    <w:p w14:paraId="574BFB62" w14:textId="77777777" w:rsidR="00116A61" w:rsidRDefault="00116A61" w:rsidP="00116A61">
      <w:pPr>
        <w:pStyle w:val="Bibliography"/>
      </w:pPr>
      <w:r w:rsidRPr="00116A61">
        <w:rPr>
          <w:lang w:val="en-US"/>
        </w:rPr>
        <w:t>41.</w:t>
      </w:r>
      <w:r w:rsidRPr="00116A61">
        <w:rPr>
          <w:lang w:val="en-US"/>
        </w:rPr>
        <w:tab/>
        <w:t xml:space="preserve">WHO Guidelines on Physical Activity and Sedentary Behaviour [Internet]. Geneva: World Health Organization; 2020 [cité 13 mai 2026]. (WHO Guidelines Approved by the Guidelines Review Committee). </w:t>
      </w:r>
      <w:r>
        <w:t xml:space="preserve">Disponible </w:t>
      </w:r>
      <w:proofErr w:type="gramStart"/>
      <w:r>
        <w:t>sur:</w:t>
      </w:r>
      <w:proofErr w:type="gramEnd"/>
      <w:r>
        <w:t xml:space="preserve"> http://www.ncbi.nlm.nih.gov/books/NBK566045/ PubMed PMID: 33369898.</w:t>
      </w:r>
    </w:p>
    <w:p w14:paraId="18F7B24D" w14:textId="77777777" w:rsidR="00116A61" w:rsidRPr="00116A61" w:rsidRDefault="00116A61" w:rsidP="00116A61">
      <w:pPr>
        <w:pStyle w:val="Bibliography"/>
        <w:rPr>
          <w:lang w:val="en-US"/>
        </w:rPr>
      </w:pPr>
      <w:r w:rsidRPr="00116A61">
        <w:rPr>
          <w:lang w:val="en-US"/>
        </w:rPr>
        <w:t>42.</w:t>
      </w:r>
      <w:r w:rsidRPr="00116A61">
        <w:rPr>
          <w:lang w:val="en-US"/>
        </w:rPr>
        <w:tab/>
        <w:t>American Diabetes Association Professional Practice Committee. 5. Facilitating Positive Health Behaviors and Well-being to Improve Health Outcomes: Standards of Care in Diabetes—2024. Diabetes Care. 11 déc 2023;47(Supplement_1</w:t>
      </w:r>
      <w:proofErr w:type="gramStart"/>
      <w:r w:rsidRPr="00116A61">
        <w:rPr>
          <w:lang w:val="en-US"/>
        </w:rPr>
        <w:t>):S</w:t>
      </w:r>
      <w:proofErr w:type="gramEnd"/>
      <w:r w:rsidRPr="00116A61">
        <w:rPr>
          <w:lang w:val="en-US"/>
        </w:rPr>
        <w:t>77‑110. doi:10.2337/dc24-S005</w:t>
      </w:r>
    </w:p>
    <w:p w14:paraId="717FE353" w14:textId="77777777" w:rsidR="00116A61" w:rsidRPr="00116A61" w:rsidRDefault="00116A61" w:rsidP="00116A61">
      <w:pPr>
        <w:pStyle w:val="Bibliography"/>
        <w:rPr>
          <w:lang w:val="en-US"/>
        </w:rPr>
      </w:pPr>
      <w:r w:rsidRPr="00116A61">
        <w:rPr>
          <w:lang w:val="en-US"/>
        </w:rPr>
        <w:t>43.</w:t>
      </w:r>
      <w:r w:rsidRPr="00116A61">
        <w:rPr>
          <w:lang w:val="en-US"/>
        </w:rPr>
        <w:tab/>
        <w:t>Sáenz Calvo A, Fernández Esteban I, Mataix Sanjuán A, Ausejo Segura M, Roqué M, Moher D. Metformin for Type 2 Diabetes Mellitus. Systematic Review and Meta-Analysis. Aten Primaria. 15 sept 2005;36(4):183‑91. doi:10.1157/13078602</w:t>
      </w:r>
    </w:p>
    <w:p w14:paraId="5240DF90" w14:textId="77777777" w:rsidR="00116A61" w:rsidRDefault="00116A61" w:rsidP="00116A61">
      <w:pPr>
        <w:pStyle w:val="Bibliography"/>
      </w:pPr>
      <w:r w:rsidRPr="00116A61">
        <w:rPr>
          <w:lang w:val="en-US"/>
        </w:rPr>
        <w:t>44.</w:t>
      </w:r>
      <w:r w:rsidRPr="00116A61">
        <w:rPr>
          <w:lang w:val="en-US"/>
        </w:rPr>
        <w:tab/>
        <w:t xml:space="preserve">Rena G, Hardie DG, Pearson ER. The mechanisms of action of metformin. </w:t>
      </w:r>
      <w:r>
        <w:t xml:space="preserve">Diabetologia. 1 sept </w:t>
      </w:r>
      <w:proofErr w:type="gramStart"/>
      <w:r>
        <w:t>2017;</w:t>
      </w:r>
      <w:proofErr w:type="gramEnd"/>
      <w:r>
        <w:t xml:space="preserve">60(9):1577‑85. </w:t>
      </w:r>
      <w:proofErr w:type="gramStart"/>
      <w:r>
        <w:t>doi:</w:t>
      </w:r>
      <w:proofErr w:type="gramEnd"/>
      <w:r>
        <w:t>10.1007/s00125-017-4342-z</w:t>
      </w:r>
    </w:p>
    <w:p w14:paraId="1DCD6D42" w14:textId="77777777" w:rsidR="00116A61" w:rsidRDefault="00116A61" w:rsidP="00116A61">
      <w:pPr>
        <w:pStyle w:val="Bibliography"/>
      </w:pPr>
      <w:r>
        <w:t>45.</w:t>
      </w:r>
      <w:r>
        <w:tab/>
        <w:t xml:space="preserve">Metformin/Pioglitazone Uses/Indications Dosage Side effects- DrugsAce [Internet]. 2022 [cité 7 févr 2026]. Disponible </w:t>
      </w:r>
      <w:proofErr w:type="gramStart"/>
      <w:r>
        <w:t>sur:</w:t>
      </w:r>
      <w:proofErr w:type="gramEnd"/>
      <w:r>
        <w:t xml:space="preserve"> https://drugsace.com/metformin-pioglitazone/</w:t>
      </w:r>
    </w:p>
    <w:p w14:paraId="6CE53D90" w14:textId="77777777" w:rsidR="00116A61" w:rsidRPr="00116A61" w:rsidRDefault="00116A61" w:rsidP="00116A61">
      <w:pPr>
        <w:pStyle w:val="Bibliography"/>
        <w:rPr>
          <w:lang w:val="en-US"/>
        </w:rPr>
      </w:pPr>
      <w:r>
        <w:t>46.</w:t>
      </w:r>
      <w:r>
        <w:tab/>
        <w:t xml:space="preserve">Rojas LBA, Gomes MB. </w:t>
      </w:r>
      <w:r w:rsidRPr="00116A61">
        <w:rPr>
          <w:lang w:val="en-US"/>
        </w:rPr>
        <w:t>Metformin: an old but still the best treatment for type 2 diabetes. Diabetol Metab Syndr. 15 févr 2013;5(1):6. doi:10.1186/1758-5996-5-6</w:t>
      </w:r>
    </w:p>
    <w:p w14:paraId="3177AD2F" w14:textId="77777777" w:rsidR="00116A61" w:rsidRPr="00116A61" w:rsidRDefault="00116A61" w:rsidP="00116A61">
      <w:pPr>
        <w:pStyle w:val="Bibliography"/>
        <w:rPr>
          <w:lang w:val="en-US"/>
        </w:rPr>
      </w:pPr>
      <w:r w:rsidRPr="00116A61">
        <w:rPr>
          <w:lang w:val="en-US"/>
        </w:rPr>
        <w:lastRenderedPageBreak/>
        <w:t>47.</w:t>
      </w:r>
      <w:r w:rsidRPr="00116A61">
        <w:rPr>
          <w:lang w:val="en-US"/>
        </w:rPr>
        <w:tab/>
        <w:t>Sood V, Colleran K, Burge MR. Thiazolidinediones: a comparative review of approved uses. Diabetes Technol Ther. 2000;2(3):429‑40. doi:10.1089/15209150050194297 PubMed PMID: 11467345.</w:t>
      </w:r>
    </w:p>
    <w:p w14:paraId="573B9EE4" w14:textId="77777777" w:rsidR="00116A61" w:rsidRPr="00116A61" w:rsidRDefault="00116A61" w:rsidP="00116A61">
      <w:pPr>
        <w:pStyle w:val="Bibliography"/>
        <w:rPr>
          <w:lang w:val="en-US"/>
        </w:rPr>
      </w:pPr>
      <w:r w:rsidRPr="00116A61">
        <w:rPr>
          <w:lang w:val="en-US"/>
        </w:rPr>
        <w:t>48.</w:t>
      </w:r>
      <w:r w:rsidRPr="00116A61">
        <w:rPr>
          <w:lang w:val="en-US"/>
        </w:rPr>
        <w:tab/>
        <w:t>Noble J, Baerlocher MO, Silverberg J. Management of type 2 diabetes mellitus. Role of thiazolidinediones. Can Fam Physician. mai 2005;51(5):683‑7. PubMed PMID: 15934272; PubMed Central PMCID: PMC1472920.</w:t>
      </w:r>
    </w:p>
    <w:p w14:paraId="254B8139" w14:textId="77777777" w:rsidR="00116A61" w:rsidRPr="00116A61" w:rsidRDefault="00116A61" w:rsidP="00116A61">
      <w:pPr>
        <w:pStyle w:val="Bibliography"/>
        <w:rPr>
          <w:lang w:val="en-US"/>
        </w:rPr>
      </w:pPr>
      <w:r w:rsidRPr="00116A61">
        <w:rPr>
          <w:lang w:val="en-US"/>
        </w:rPr>
        <w:t>49.</w:t>
      </w:r>
      <w:r w:rsidRPr="00116A61">
        <w:rPr>
          <w:lang w:val="en-US"/>
        </w:rPr>
        <w:tab/>
        <w:t>Stumvoll M. Thiazolidinediones -- some recent developments. Expert Opin Investig Drugs. juill 2003;12(7):1179‑87. doi:10.1517/13543784.12.7.1179 PubMed PMID: 12831352.</w:t>
      </w:r>
    </w:p>
    <w:p w14:paraId="5CA92CDD" w14:textId="77777777" w:rsidR="00116A61" w:rsidRDefault="00116A61" w:rsidP="00116A61">
      <w:pPr>
        <w:pStyle w:val="Bibliography"/>
      </w:pPr>
      <w:r w:rsidRPr="00116A61">
        <w:rPr>
          <w:lang w:val="en-US"/>
        </w:rPr>
        <w:t>50.</w:t>
      </w:r>
      <w:r w:rsidRPr="00116A61">
        <w:rPr>
          <w:lang w:val="en-US"/>
        </w:rPr>
        <w:tab/>
        <w:t xml:space="preserve">Berthet S, Olivier P, Montastruc JL, Lapeyre-Mestre M. Drug safety of rosiglitazone and pioglitazone in France: a study using the French PharmacoVigilance database. </w:t>
      </w:r>
      <w:r>
        <w:t xml:space="preserve">BMC Clin Pharmacol. 24 mai </w:t>
      </w:r>
      <w:proofErr w:type="gramStart"/>
      <w:r>
        <w:t>2011;</w:t>
      </w:r>
      <w:proofErr w:type="gramEnd"/>
      <w:r>
        <w:t>11(1):5. doi:10.1186/1472-6904-11-5</w:t>
      </w:r>
    </w:p>
    <w:p w14:paraId="612B0D39" w14:textId="77777777" w:rsidR="00116A61" w:rsidRDefault="00116A61" w:rsidP="00116A61">
      <w:pPr>
        <w:pStyle w:val="Bibliography"/>
      </w:pPr>
      <w:r>
        <w:t>51.</w:t>
      </w:r>
      <w:r>
        <w:tab/>
        <w:t>Masson E. EM-Consulte [Internet]. [</w:t>
      </w:r>
      <w:proofErr w:type="gramStart"/>
      <w:r>
        <w:t>cité</w:t>
      </w:r>
      <w:proofErr w:type="gramEnd"/>
      <w:r>
        <w:t xml:space="preserve"> 7 févr 2026]. Précautions d’emploi et contre-indications des thiazolidinediones. Disponible </w:t>
      </w:r>
      <w:proofErr w:type="gramStart"/>
      <w:r>
        <w:t>sur:</w:t>
      </w:r>
      <w:proofErr w:type="gramEnd"/>
      <w:r>
        <w:t xml:space="preserve"> https://www.em-consulte.com/article/75486/precautions-d-emploi-et-contre-indications-des-thi</w:t>
      </w:r>
    </w:p>
    <w:p w14:paraId="4BA735F9" w14:textId="77777777" w:rsidR="00116A61" w:rsidRDefault="00116A61" w:rsidP="00116A61">
      <w:pPr>
        <w:pStyle w:val="Bibliography"/>
      </w:pPr>
      <w:r>
        <w:t>52.</w:t>
      </w:r>
      <w:r>
        <w:tab/>
        <w:t>Drugs.com [Internet]. [</w:t>
      </w:r>
      <w:proofErr w:type="gramStart"/>
      <w:r>
        <w:t>cité</w:t>
      </w:r>
      <w:proofErr w:type="gramEnd"/>
      <w:r>
        <w:t xml:space="preserve"> 7 févr 2026]. Metformin/pioglitazone Disease Interactions. Disponible </w:t>
      </w:r>
      <w:proofErr w:type="gramStart"/>
      <w:r>
        <w:t>sur:</w:t>
      </w:r>
      <w:proofErr w:type="gramEnd"/>
      <w:r>
        <w:t xml:space="preserve"> https://www.drugs.com/disease-interactions/metformin-pioglitazone.html</w:t>
      </w:r>
    </w:p>
    <w:p w14:paraId="68CE6B5E" w14:textId="77777777" w:rsidR="00116A61" w:rsidRDefault="00116A61" w:rsidP="00116A61">
      <w:pPr>
        <w:pStyle w:val="Bibliography"/>
      </w:pPr>
      <w:r w:rsidRPr="00116A61">
        <w:rPr>
          <w:lang w:val="en-US"/>
        </w:rPr>
        <w:t>53.</w:t>
      </w:r>
      <w:r w:rsidRPr="00116A61">
        <w:rPr>
          <w:lang w:val="en-US"/>
        </w:rPr>
        <w:tab/>
        <w:t xml:space="preserve">The selection and use of essential medicines, 2025: WHO Model List of Essential Medicines, 24th list [Internet]. </w:t>
      </w:r>
      <w:r>
        <w:t>[</w:t>
      </w:r>
      <w:proofErr w:type="gramStart"/>
      <w:r>
        <w:t>cité</w:t>
      </w:r>
      <w:proofErr w:type="gramEnd"/>
      <w:r>
        <w:t xml:space="preserve"> 14 mai 2026]. Disponible </w:t>
      </w:r>
      <w:proofErr w:type="gramStart"/>
      <w:r>
        <w:t>sur:</w:t>
      </w:r>
      <w:proofErr w:type="gramEnd"/>
      <w:r>
        <w:t xml:space="preserve"> https://www.who.int/publications/i/item/B09474</w:t>
      </w:r>
    </w:p>
    <w:p w14:paraId="51F9F427" w14:textId="77777777" w:rsidR="00116A61" w:rsidRPr="00116A61" w:rsidRDefault="00116A61" w:rsidP="00116A61">
      <w:pPr>
        <w:pStyle w:val="Bibliography"/>
        <w:rPr>
          <w:lang w:val="en-US"/>
        </w:rPr>
      </w:pPr>
      <w:r w:rsidRPr="00116A61">
        <w:rPr>
          <w:lang w:val="en-US"/>
        </w:rPr>
        <w:t>54.</w:t>
      </w:r>
      <w:r w:rsidRPr="00116A61">
        <w:rPr>
          <w:lang w:val="en-US"/>
        </w:rPr>
        <w:tab/>
        <w:t>Davies MJ, Aroda VR, Collins BS, Gabbay RA, Green J, Maruthur NM, et al. Management of Hyperglycemia in Type 2 Diabetes, 2022. A Consensus Report by the American Diabetes Association (ADA) and the European Association for the Study of Diabetes (EASD). Diabetes Care. 1 nov 2022;45(11):2753‑86. doi:10.2337/dci22-0034 PubMed PMID: 36148880; PubMed Central PMCID: PMC10008140.</w:t>
      </w:r>
    </w:p>
    <w:p w14:paraId="7D18516F" w14:textId="77777777" w:rsidR="00116A61" w:rsidRPr="00116A61" w:rsidRDefault="00116A61" w:rsidP="00116A61">
      <w:pPr>
        <w:pStyle w:val="Bibliography"/>
        <w:rPr>
          <w:lang w:val="en-US"/>
        </w:rPr>
      </w:pPr>
      <w:r w:rsidRPr="00116A61">
        <w:rPr>
          <w:lang w:val="en-US"/>
        </w:rPr>
        <w:t>55.</w:t>
      </w:r>
      <w:r w:rsidRPr="00116A61">
        <w:rPr>
          <w:lang w:val="en-US"/>
        </w:rPr>
        <w:tab/>
        <w:t xml:space="preserve">Volke V, Katus U, Johannson A, Toompere K, Heinla K, Rünkorg K, et al. Systematic review and meta-analysis of head-to-head trials comparing sulfonylureas and low hypoglycaemic risk antidiabetic drugs. BMC Endocr Disord. 19 oct </w:t>
      </w:r>
      <w:proofErr w:type="gramStart"/>
      <w:r w:rsidRPr="00116A61">
        <w:rPr>
          <w:lang w:val="en-US"/>
        </w:rPr>
        <w:t>2022;22:251</w:t>
      </w:r>
      <w:proofErr w:type="gramEnd"/>
      <w:r w:rsidRPr="00116A61">
        <w:rPr>
          <w:lang w:val="en-US"/>
        </w:rPr>
        <w:t>. doi:10.1186/s12902-022-01158-5 PubMed PMID: 36261824; PubMed Central PMCID: PMC9580135.</w:t>
      </w:r>
    </w:p>
    <w:p w14:paraId="28F9044A" w14:textId="77777777" w:rsidR="00116A61" w:rsidRPr="00116A61" w:rsidRDefault="00116A61" w:rsidP="00116A61">
      <w:pPr>
        <w:pStyle w:val="Bibliography"/>
        <w:rPr>
          <w:lang w:val="en-US"/>
        </w:rPr>
      </w:pPr>
      <w:r w:rsidRPr="00116A61">
        <w:rPr>
          <w:lang w:val="en-US"/>
        </w:rPr>
        <w:t>56.</w:t>
      </w:r>
      <w:r w:rsidRPr="00116A61">
        <w:rPr>
          <w:lang w:val="en-US"/>
        </w:rPr>
        <w:tab/>
        <w:t xml:space="preserve">Fischer KM, Weiss DA. AUTHOR REPLY. Urology. oct </w:t>
      </w:r>
      <w:proofErr w:type="gramStart"/>
      <w:r w:rsidRPr="00116A61">
        <w:rPr>
          <w:lang w:val="en-US"/>
        </w:rPr>
        <w:t>2020;144:260</w:t>
      </w:r>
      <w:proofErr w:type="gramEnd"/>
      <w:r w:rsidRPr="00116A61">
        <w:rPr>
          <w:lang w:val="en-US"/>
        </w:rPr>
        <w:t xml:space="preserve">. </w:t>
      </w:r>
      <w:proofErr w:type="gramStart"/>
      <w:r w:rsidRPr="00116A61">
        <w:rPr>
          <w:lang w:val="en-US"/>
        </w:rPr>
        <w:t>doi:10.1016/j.urology</w:t>
      </w:r>
      <w:proofErr w:type="gramEnd"/>
      <w:r w:rsidRPr="00116A61">
        <w:rPr>
          <w:lang w:val="en-US"/>
        </w:rPr>
        <w:t>.2020.04.135 PubMed PMID: 32988492.</w:t>
      </w:r>
    </w:p>
    <w:p w14:paraId="74265330" w14:textId="77777777" w:rsidR="00116A61" w:rsidRDefault="00116A61" w:rsidP="00116A61">
      <w:pPr>
        <w:pStyle w:val="Bibliography"/>
      </w:pPr>
      <w:r w:rsidRPr="00116A61">
        <w:rPr>
          <w:lang w:val="en-US"/>
        </w:rPr>
        <w:t>57.</w:t>
      </w:r>
      <w:r w:rsidRPr="00116A61">
        <w:rPr>
          <w:lang w:val="en-US"/>
        </w:rPr>
        <w:tab/>
        <w:t xml:space="preserve">Comparing the Efficacy and Long-Term Outcomes of Sodium-Glucose Cotransporter-2 (SGLT2) Inhibitors, Dipeptidyl Peptidase-4 (DPP-4) Inhibitors, Metformin, and Insulin in the Management of Type 2 Diabetes Mellitus - PMC [Internet]. </w:t>
      </w:r>
      <w:r>
        <w:t>[</w:t>
      </w:r>
      <w:proofErr w:type="gramStart"/>
      <w:r>
        <w:t>cité</w:t>
      </w:r>
      <w:proofErr w:type="gramEnd"/>
      <w:r>
        <w:t xml:space="preserve"> 14 mai 2026]. Disponible </w:t>
      </w:r>
      <w:proofErr w:type="gramStart"/>
      <w:r>
        <w:t>sur:</w:t>
      </w:r>
      <w:proofErr w:type="gramEnd"/>
      <w:r>
        <w:t xml:space="preserve"> https://pmc.ncbi.nlm.nih.gov/articles/PMC11669386/</w:t>
      </w:r>
    </w:p>
    <w:p w14:paraId="7D523D23" w14:textId="77777777" w:rsidR="00116A61" w:rsidRPr="00116A61" w:rsidRDefault="00116A61" w:rsidP="00116A61">
      <w:pPr>
        <w:pStyle w:val="Bibliography"/>
        <w:rPr>
          <w:lang w:val="en-US"/>
        </w:rPr>
      </w:pPr>
      <w:r w:rsidRPr="00116A61">
        <w:rPr>
          <w:lang w:val="en-US"/>
        </w:rPr>
        <w:t>58.</w:t>
      </w:r>
      <w:r w:rsidRPr="00116A61">
        <w:rPr>
          <w:lang w:val="en-US"/>
        </w:rPr>
        <w:tab/>
        <w:t xml:space="preserve">Davies MJ, Aroda VR, Collins BS, Gabbay RA, Green J, Maruthur NM, et al. Management of Hyperglycemia in Type 2 Diabetes, 2022. A Consensus Report by the American Diabetes </w:t>
      </w:r>
      <w:r w:rsidRPr="00116A61">
        <w:rPr>
          <w:lang w:val="en-US"/>
        </w:rPr>
        <w:lastRenderedPageBreak/>
        <w:t>Association (ADA) and the European Association for the Study of Diabetes (EASD). Diabetes Care. 1 nov 2022;45(11):2753‑86. doi:10.2337/dci22-0034 PubMed PMID: 36148880; PubMed Central PMCID: PMC10008140.</w:t>
      </w:r>
    </w:p>
    <w:p w14:paraId="57006CB6" w14:textId="77777777" w:rsidR="00116A61" w:rsidRDefault="00116A61" w:rsidP="00116A61">
      <w:pPr>
        <w:pStyle w:val="Bibliography"/>
      </w:pPr>
      <w:r>
        <w:t>59.</w:t>
      </w:r>
      <w:r>
        <w:tab/>
        <w:t>Instauration d’une insulinothérapie en présence d’un diabète de type 2 déséquilibré - ScienceDirect [Internet]. [</w:t>
      </w:r>
      <w:proofErr w:type="gramStart"/>
      <w:r>
        <w:t>cité</w:t>
      </w:r>
      <w:proofErr w:type="gramEnd"/>
      <w:r>
        <w:t xml:space="preserve"> 14 mai 2026]. Disponible </w:t>
      </w:r>
      <w:proofErr w:type="gramStart"/>
      <w:r>
        <w:t>sur:</w:t>
      </w:r>
      <w:proofErr w:type="gramEnd"/>
      <w:r>
        <w:t xml:space="preserve"> https://www.sciencedirect.com/science/article/abs/pii/S0515370016301719</w:t>
      </w:r>
    </w:p>
    <w:p w14:paraId="46576BD7" w14:textId="77777777" w:rsidR="00116A61" w:rsidRDefault="00116A61" w:rsidP="00116A61">
      <w:pPr>
        <w:pStyle w:val="Bibliography"/>
      </w:pPr>
      <w:r w:rsidRPr="00116A61">
        <w:rPr>
          <w:lang w:val="en-US"/>
        </w:rPr>
        <w:t>60.</w:t>
      </w:r>
      <w:r w:rsidRPr="00116A61">
        <w:rPr>
          <w:lang w:val="en-US"/>
        </w:rPr>
        <w:tab/>
        <w:t xml:space="preserve">‘Is insulin right for me?’: Feasibility of a pilot randomised controlled trial and acceptability of a web‐based intervention to reduce psychological barriers to insulin therapy among adults with type 2 diabetes - Holmes‐Truscott - 2022 - Diabetic Medicine - Wiley Online Library [Internet]. </w:t>
      </w:r>
      <w:r>
        <w:t>[</w:t>
      </w:r>
      <w:proofErr w:type="gramStart"/>
      <w:r>
        <w:t>cité</w:t>
      </w:r>
      <w:proofErr w:type="gramEnd"/>
      <w:r>
        <w:t xml:space="preserve"> 14 mai 2026]. Disponible </w:t>
      </w:r>
      <w:proofErr w:type="gramStart"/>
      <w:r>
        <w:t>sur:</w:t>
      </w:r>
      <w:proofErr w:type="gramEnd"/>
      <w:r>
        <w:t xml:space="preserve"> https://onlinelibrary.wiley.com/doi/10.1111/dme.14759</w:t>
      </w:r>
    </w:p>
    <w:p w14:paraId="22D0FC43" w14:textId="77777777" w:rsidR="00116A61" w:rsidRDefault="00116A61" w:rsidP="00116A61">
      <w:pPr>
        <w:pStyle w:val="Bibliography"/>
      </w:pPr>
      <w:r>
        <w:t>61.</w:t>
      </w:r>
      <w:r>
        <w:tab/>
        <w:t xml:space="preserve">Éducation thérapeutique du patient Définition, finalités et </w:t>
      </w:r>
      <w:proofErr w:type="gramStart"/>
      <w:r>
        <w:t>organisation:</w:t>
      </w:r>
      <w:proofErr w:type="gramEnd"/>
      <w:r>
        <w:t xml:space="preserve"> Juin 2007. Obes. </w:t>
      </w:r>
      <w:proofErr w:type="gramStart"/>
      <w:r>
        <w:t>mars</w:t>
      </w:r>
      <w:proofErr w:type="gramEnd"/>
      <w:r>
        <w:t xml:space="preserve"> 2009;4(1):39‑43. </w:t>
      </w:r>
      <w:proofErr w:type="gramStart"/>
      <w:r>
        <w:t>doi:</w:t>
      </w:r>
      <w:proofErr w:type="gramEnd"/>
      <w:r>
        <w:t>10.1007/s11690-009-0174-4</w:t>
      </w:r>
    </w:p>
    <w:p w14:paraId="466A520F" w14:textId="77777777" w:rsidR="00116A61" w:rsidRDefault="00116A61" w:rsidP="00116A61">
      <w:pPr>
        <w:pStyle w:val="Bibliography"/>
      </w:pPr>
      <w:r>
        <w:t>62.</w:t>
      </w:r>
      <w:r>
        <w:tab/>
        <w:t xml:space="preserve">Guide pratique du diabète [Internet]. 2019 [cité 14 mai 2026]. Disponible </w:t>
      </w:r>
      <w:proofErr w:type="gramStart"/>
      <w:r>
        <w:t>sur:</w:t>
      </w:r>
      <w:proofErr w:type="gramEnd"/>
      <w:r>
        <w:t xml:space="preserve"> https://shop.elsevier.com/books/guide-pratique-du-diabete/hartemann/978-2-294-76421-9</w:t>
      </w:r>
    </w:p>
    <w:p w14:paraId="77DADA5E" w14:textId="77777777" w:rsidR="00116A61" w:rsidRDefault="00116A61" w:rsidP="00116A61">
      <w:pPr>
        <w:pStyle w:val="Bibliography"/>
      </w:pPr>
      <w:r w:rsidRPr="00116A61">
        <w:rPr>
          <w:lang w:val="en-US"/>
        </w:rPr>
        <w:t>63.</w:t>
      </w:r>
      <w:r w:rsidRPr="00116A61">
        <w:rPr>
          <w:lang w:val="en-US"/>
        </w:rPr>
        <w:tab/>
        <w:t xml:space="preserve">Akmal M, Patel P, Wadhwa R. Alpha Glucosidase Inhibitors. In: StatPearls [Internet]. Treasure Island (FL): StatPearls Publishing; 2025 [cité 7 févr 2026]. </w:t>
      </w:r>
      <w:r>
        <w:t xml:space="preserve">Disponible </w:t>
      </w:r>
      <w:proofErr w:type="gramStart"/>
      <w:r>
        <w:t>sur:</w:t>
      </w:r>
      <w:proofErr w:type="gramEnd"/>
      <w:r>
        <w:t xml:space="preserve"> http://www.ncbi.nlm.nih.gov/books/NBK557848/ PubMed PMID: 32496728.</w:t>
      </w:r>
    </w:p>
    <w:p w14:paraId="21F84EF2" w14:textId="77777777" w:rsidR="00116A61" w:rsidRDefault="00116A61" w:rsidP="00116A61">
      <w:pPr>
        <w:pStyle w:val="Bibliography"/>
      </w:pPr>
      <w:r>
        <w:t>64.</w:t>
      </w:r>
      <w:r>
        <w:tab/>
        <w:t>Inhibiteurs des alpha-glucosidases [Internet]. [</w:t>
      </w:r>
      <w:proofErr w:type="gramStart"/>
      <w:r>
        <w:t>cité</w:t>
      </w:r>
      <w:proofErr w:type="gramEnd"/>
      <w:r>
        <w:t xml:space="preserve"> 7 févr 2026]. Disponible </w:t>
      </w:r>
      <w:proofErr w:type="gramStart"/>
      <w:r>
        <w:t>sur:</w:t>
      </w:r>
      <w:proofErr w:type="gramEnd"/>
      <w:r>
        <w:t xml:space="preserve"> https://pharmacomedicale.org/medicaments/par-specialites/item/inhibiteurs-des-alpha-glucosidases?utm_source=chatgpt.com</w:t>
      </w:r>
    </w:p>
    <w:p w14:paraId="4DF96B10" w14:textId="77777777" w:rsidR="00116A61" w:rsidRPr="00116A61" w:rsidRDefault="00116A61" w:rsidP="00116A61">
      <w:pPr>
        <w:pStyle w:val="Bibliography"/>
        <w:rPr>
          <w:lang w:val="en-US"/>
        </w:rPr>
      </w:pPr>
      <w:r w:rsidRPr="00116A61">
        <w:rPr>
          <w:lang w:val="en-US"/>
        </w:rPr>
        <w:t>65.</w:t>
      </w:r>
      <w:r w:rsidRPr="00116A61">
        <w:rPr>
          <w:lang w:val="en-US"/>
        </w:rPr>
        <w:tab/>
        <w:t xml:space="preserve">Fonseca-Correa JI, Correa-Rotter R. Sodium-Glucose Cotransporter 2 Inhibitors Mechanisms of Action: A Review. Front Med (Lausanne). </w:t>
      </w:r>
      <w:proofErr w:type="gramStart"/>
      <w:r w:rsidRPr="00116A61">
        <w:rPr>
          <w:lang w:val="en-US"/>
        </w:rPr>
        <w:t>2021;8:777861</w:t>
      </w:r>
      <w:proofErr w:type="gramEnd"/>
      <w:r w:rsidRPr="00116A61">
        <w:rPr>
          <w:lang w:val="en-US"/>
        </w:rPr>
        <w:t>. doi:10.3389/fmed.2021.777861 PubMed PMID: 34988095; PubMed Central PMCID: PMC8720766.</w:t>
      </w:r>
    </w:p>
    <w:p w14:paraId="748D13C9" w14:textId="77777777" w:rsidR="00116A61" w:rsidRPr="00116A61" w:rsidRDefault="00116A61" w:rsidP="00116A61">
      <w:pPr>
        <w:pStyle w:val="Bibliography"/>
        <w:rPr>
          <w:lang w:val="en-US"/>
        </w:rPr>
      </w:pPr>
      <w:r w:rsidRPr="00116A61">
        <w:rPr>
          <w:lang w:val="en-US"/>
        </w:rPr>
        <w:t>66.</w:t>
      </w:r>
      <w:r w:rsidRPr="00116A61">
        <w:rPr>
          <w:lang w:val="en-US"/>
        </w:rPr>
        <w:tab/>
        <w:t>Storgaard H, Gluud LL, Bennett C, Grøndahl MF, Christensen MB, Knop FK, et al. Benefits and Harms of Sodium-Glucose Co-Transporter 2 Inhibitors in Patients with Type 2 Diabetes: A Systematic Review and Meta-Analysis. PLoS One. 2016;11(11</w:t>
      </w:r>
      <w:proofErr w:type="gramStart"/>
      <w:r w:rsidRPr="00116A61">
        <w:rPr>
          <w:lang w:val="en-US"/>
        </w:rPr>
        <w:t>):e</w:t>
      </w:r>
      <w:proofErr w:type="gramEnd"/>
      <w:r w:rsidRPr="00116A61">
        <w:rPr>
          <w:lang w:val="en-US"/>
        </w:rPr>
        <w:t xml:space="preserve">0166125. </w:t>
      </w:r>
      <w:proofErr w:type="gramStart"/>
      <w:r w:rsidRPr="00116A61">
        <w:rPr>
          <w:lang w:val="en-US"/>
        </w:rPr>
        <w:t>doi:10.1371/journal.pone</w:t>
      </w:r>
      <w:proofErr w:type="gramEnd"/>
      <w:r w:rsidRPr="00116A61">
        <w:rPr>
          <w:lang w:val="en-US"/>
        </w:rPr>
        <w:t>.0166125 PubMed PMID: 27835680; PubMed Central PMCID: PMC5106000.</w:t>
      </w:r>
    </w:p>
    <w:p w14:paraId="633CF117" w14:textId="77777777" w:rsidR="00116A61" w:rsidRPr="00116A61" w:rsidRDefault="00116A61" w:rsidP="00116A61">
      <w:pPr>
        <w:pStyle w:val="Bibliography"/>
        <w:rPr>
          <w:lang w:val="en-US"/>
        </w:rPr>
      </w:pPr>
      <w:r w:rsidRPr="00116A61">
        <w:rPr>
          <w:lang w:val="en-US"/>
        </w:rPr>
        <w:t>67.</w:t>
      </w:r>
      <w:r w:rsidRPr="00116A61">
        <w:rPr>
          <w:lang w:val="en-US"/>
        </w:rPr>
        <w:tab/>
        <w:t>Andreea MM, Surabhi S, Razvan-Ionut P, Lucia C, Camelia N, Emil T, et al. Sodium-Glucose Cotransporter 2 (SGLT2) Inhibitors: Harms or Unexpected Benefits? Medicina. avr 2023;59(4):742. doi:10.3390/medicina59040742</w:t>
      </w:r>
    </w:p>
    <w:p w14:paraId="33F9EEED" w14:textId="77777777" w:rsidR="00116A61" w:rsidRDefault="00116A61" w:rsidP="00116A61">
      <w:pPr>
        <w:pStyle w:val="Bibliography"/>
      </w:pPr>
      <w:r w:rsidRPr="00116A61">
        <w:rPr>
          <w:lang w:val="en-US"/>
        </w:rPr>
        <w:t>68.</w:t>
      </w:r>
      <w:r w:rsidRPr="00116A61">
        <w:rPr>
          <w:lang w:val="en-US"/>
        </w:rPr>
        <w:tab/>
        <w:t xml:space="preserve">Cleveland Clinic [Internet]. [cité 27 avr 2026]. GLP-1 Agonists. </w:t>
      </w:r>
      <w:r>
        <w:t xml:space="preserve">Disponible </w:t>
      </w:r>
      <w:proofErr w:type="gramStart"/>
      <w:r>
        <w:t>sur:</w:t>
      </w:r>
      <w:proofErr w:type="gramEnd"/>
      <w:r>
        <w:t xml:space="preserve"> https://my.clevelandclinic.org/health/treatments/13901-glp-1-agonists</w:t>
      </w:r>
    </w:p>
    <w:p w14:paraId="164FBF56" w14:textId="77777777" w:rsidR="00116A61" w:rsidRPr="00116A61" w:rsidRDefault="00116A61" w:rsidP="00116A61">
      <w:pPr>
        <w:pStyle w:val="Bibliography"/>
        <w:rPr>
          <w:lang w:val="en-US"/>
        </w:rPr>
      </w:pPr>
      <w:r>
        <w:lastRenderedPageBreak/>
        <w:t>69.</w:t>
      </w:r>
      <w:r>
        <w:tab/>
        <w:t xml:space="preserve">Collins L, Costello RA. </w:t>
      </w:r>
      <w:r w:rsidRPr="00116A61">
        <w:rPr>
          <w:lang w:val="en-US"/>
        </w:rPr>
        <w:t>Glucagon-Like Peptide-1 Receptor Agonists. In: StatPearls [Internet] [Internet]. StatPearls Publishing; 2024 [cité 27 avr 2026]. Disponible sur: https://www.ncbi.nlm.nih.gov/sites/books/NBK551568/ PubMed PMID: 31855395.</w:t>
      </w:r>
    </w:p>
    <w:p w14:paraId="0C6BF36D" w14:textId="77777777" w:rsidR="00116A61" w:rsidRPr="00116A61" w:rsidRDefault="00116A61" w:rsidP="00116A61">
      <w:pPr>
        <w:pStyle w:val="Bibliography"/>
        <w:rPr>
          <w:lang w:val="en-US"/>
        </w:rPr>
      </w:pPr>
      <w:r w:rsidRPr="00116A61">
        <w:rPr>
          <w:lang w:val="en-US"/>
        </w:rPr>
        <w:t>70.</w:t>
      </w:r>
      <w:r w:rsidRPr="00116A61">
        <w:rPr>
          <w:lang w:val="en-US"/>
        </w:rPr>
        <w:tab/>
        <w:t>Manne-Goehler J, Franco J. Side effects of GLP-1 receptor agonists [Internet]. 4 août 2025. doi:10.1136/</w:t>
      </w:r>
      <w:proofErr w:type="gramStart"/>
      <w:r w:rsidRPr="00116A61">
        <w:rPr>
          <w:lang w:val="en-US"/>
        </w:rPr>
        <w:t>bmj.r</w:t>
      </w:r>
      <w:proofErr w:type="gramEnd"/>
      <w:r w:rsidRPr="00116A61">
        <w:rPr>
          <w:lang w:val="en-US"/>
        </w:rPr>
        <w:t>1606</w:t>
      </w:r>
    </w:p>
    <w:p w14:paraId="24666462" w14:textId="77777777" w:rsidR="00116A61" w:rsidRPr="00116A61" w:rsidRDefault="00116A61" w:rsidP="00116A61">
      <w:pPr>
        <w:pStyle w:val="Bibliography"/>
        <w:rPr>
          <w:lang w:val="en-US"/>
        </w:rPr>
      </w:pPr>
      <w:r w:rsidRPr="00116A61">
        <w:rPr>
          <w:lang w:val="en-US"/>
        </w:rPr>
        <w:t>71.</w:t>
      </w:r>
      <w:r w:rsidRPr="00116A61">
        <w:rPr>
          <w:lang w:val="en-US"/>
        </w:rPr>
        <w:tab/>
        <w:t>Latif W, Lambrinos KJ, Patel P, Rodriguez R. Compare and Contrast the Glucagon-Like Peptide-1 Receptor Agonists (GLP1RAs). In: StatPearls [Internet] [Internet]. StatPearls Publishing; 2024 [cité 27 avr 2026]. Disponible sur: https://www.ncbi.nlm.nih.gov/sites/books/NBK572151/ PubMed PMID: 34283517.</w:t>
      </w:r>
    </w:p>
    <w:p w14:paraId="0725B788" w14:textId="77777777" w:rsidR="00116A61" w:rsidRDefault="00116A61" w:rsidP="00116A61">
      <w:pPr>
        <w:pStyle w:val="Bibliography"/>
      </w:pPr>
      <w:r>
        <w:t>72.</w:t>
      </w:r>
      <w:r>
        <w:tab/>
        <w:t xml:space="preserve">Éducation thérapeutique du </w:t>
      </w:r>
      <w:proofErr w:type="gramStart"/>
      <w:r>
        <w:t>patient:</w:t>
      </w:r>
      <w:proofErr w:type="gramEnd"/>
      <w:r>
        <w:t xml:space="preserve"> modèles, pratiques et évaluation [Internet]. [</w:t>
      </w:r>
      <w:proofErr w:type="gramStart"/>
      <w:r>
        <w:t>cité</w:t>
      </w:r>
      <w:proofErr w:type="gramEnd"/>
      <w:r>
        <w:t xml:space="preserve"> 14 mai 2026]. Disponible </w:t>
      </w:r>
      <w:proofErr w:type="gramStart"/>
      <w:r>
        <w:t>sur:</w:t>
      </w:r>
      <w:proofErr w:type="gramEnd"/>
      <w:r>
        <w:t xml:space="preserve"> https://www.researchgate.net/publication/283642586_Education_therapeutique_du_patient_modeles_pratiques_et_evaluation</w:t>
      </w:r>
    </w:p>
    <w:p w14:paraId="4CFE8B29" w14:textId="77777777" w:rsidR="00116A61" w:rsidRDefault="00116A61" w:rsidP="00116A61">
      <w:pPr>
        <w:pStyle w:val="Bibliography"/>
      </w:pPr>
      <w:r>
        <w:t>73.</w:t>
      </w:r>
      <w:r>
        <w:tab/>
        <w:t>Occitanie - OSCARS : Observation et suivi cartographique des actions régionales de santé [Internet]. [</w:t>
      </w:r>
      <w:proofErr w:type="gramStart"/>
      <w:r>
        <w:t>cité</w:t>
      </w:r>
      <w:proofErr w:type="gramEnd"/>
      <w:r>
        <w:t xml:space="preserve"> 14 mai 2026]. Disponible </w:t>
      </w:r>
      <w:proofErr w:type="gramStart"/>
      <w:r>
        <w:t>sur:</w:t>
      </w:r>
      <w:proofErr w:type="gramEnd"/>
      <w:r>
        <w:t xml:space="preserve"> https://www.oscarsante.org/occitanie</w:t>
      </w:r>
    </w:p>
    <w:p w14:paraId="5C2D8AEB" w14:textId="77777777" w:rsidR="00116A61" w:rsidRPr="00116A61" w:rsidRDefault="00116A61" w:rsidP="00116A61">
      <w:pPr>
        <w:pStyle w:val="Bibliography"/>
        <w:rPr>
          <w:lang w:val="en-US"/>
        </w:rPr>
      </w:pPr>
      <w:r>
        <w:t>74.</w:t>
      </w:r>
      <w:r>
        <w:tab/>
        <w:t xml:space="preserve">Improvement of Insulin Injection Technique - Geralyn Spollett, Steven V. Edelman, Patricia Mehner, Claudia Walter, Alfred Penfornis, 2016 [Internet]. </w:t>
      </w:r>
      <w:r w:rsidRPr="00116A61">
        <w:rPr>
          <w:lang w:val="en-US"/>
        </w:rPr>
        <w:t>[cité 14 mai 2026]. Disponible sur: https://journals.sagepub.com/doi/10.1177/0145721716648017</w:t>
      </w:r>
    </w:p>
    <w:p w14:paraId="5A375035" w14:textId="77777777" w:rsidR="00116A61" w:rsidRPr="00116A61" w:rsidRDefault="00116A61" w:rsidP="00116A61">
      <w:pPr>
        <w:pStyle w:val="Bibliography"/>
        <w:rPr>
          <w:lang w:val="en-US"/>
        </w:rPr>
      </w:pPr>
      <w:r w:rsidRPr="00116A61">
        <w:rPr>
          <w:lang w:val="en-US"/>
        </w:rPr>
        <w:t>75.</w:t>
      </w:r>
      <w:r w:rsidRPr="00116A61">
        <w:rPr>
          <w:lang w:val="en-US"/>
        </w:rPr>
        <w:tab/>
        <w:t>Paradigm Shifts in Diabetes Management: Key Highlights from the 2026 American Diabetes Association Standards of Care in Diabetes [Internet]. [cité 14 mai 2026]. Disponible sur: https://www.mdpi.com/2813-9038/3/2/10</w:t>
      </w:r>
    </w:p>
    <w:p w14:paraId="170CDE3E" w14:textId="77777777" w:rsidR="00116A61" w:rsidRDefault="00116A61" w:rsidP="00116A61">
      <w:pPr>
        <w:pStyle w:val="Bibliography"/>
      </w:pPr>
      <w:r w:rsidRPr="00116A61">
        <w:rPr>
          <w:lang w:val="en-US"/>
        </w:rPr>
        <w:t>76.</w:t>
      </w:r>
      <w:r w:rsidRPr="00116A61">
        <w:rPr>
          <w:lang w:val="en-US"/>
        </w:rPr>
        <w:tab/>
        <w:t xml:space="preserve">Second international consensus report on gaps and opportunities for the clinical translation of precision diabetes medicine | Nature Medicine [Internet]. </w:t>
      </w:r>
      <w:r>
        <w:t>[</w:t>
      </w:r>
      <w:proofErr w:type="gramStart"/>
      <w:r>
        <w:t>cité</w:t>
      </w:r>
      <w:proofErr w:type="gramEnd"/>
      <w:r>
        <w:t xml:space="preserve"> 14 mai 2026]. Disponible </w:t>
      </w:r>
      <w:proofErr w:type="gramStart"/>
      <w:r>
        <w:t>sur:</w:t>
      </w:r>
      <w:proofErr w:type="gramEnd"/>
      <w:r>
        <w:t xml:space="preserve"> https://www.nature.com/articles/s41591-023-02502-5</w:t>
      </w:r>
    </w:p>
    <w:p w14:paraId="63B6B3F5" w14:textId="77777777" w:rsidR="00116A61" w:rsidRDefault="00116A61" w:rsidP="00116A61">
      <w:pPr>
        <w:pStyle w:val="Bibliography"/>
      </w:pPr>
      <w:r w:rsidRPr="00116A61">
        <w:rPr>
          <w:lang w:val="en-US"/>
        </w:rPr>
        <w:t>77.</w:t>
      </w:r>
      <w:r w:rsidRPr="00116A61">
        <w:rPr>
          <w:lang w:val="en-US"/>
        </w:rPr>
        <w:tab/>
        <w:t xml:space="preserve">Cardiovascular Outcomes with Tirzepatide versus Dulaglutide in Type 2 Diabetes | New England Journal of Medicine [Internet]. </w:t>
      </w:r>
      <w:r>
        <w:t>[</w:t>
      </w:r>
      <w:proofErr w:type="gramStart"/>
      <w:r>
        <w:t>cité</w:t>
      </w:r>
      <w:proofErr w:type="gramEnd"/>
      <w:r>
        <w:t xml:space="preserve"> 14 mai 2026]. Disponible </w:t>
      </w:r>
      <w:proofErr w:type="gramStart"/>
      <w:r>
        <w:t>sur:</w:t>
      </w:r>
      <w:proofErr w:type="gramEnd"/>
      <w:r>
        <w:t xml:space="preserve"> https://www.nejm.org/doi/full/10.1056/NEJMoa2505928</w:t>
      </w:r>
    </w:p>
    <w:p w14:paraId="7322AA1F" w14:textId="77777777" w:rsidR="00116A61" w:rsidRPr="00116A61" w:rsidRDefault="00116A61" w:rsidP="00116A61">
      <w:pPr>
        <w:pStyle w:val="Bibliography"/>
        <w:rPr>
          <w:lang w:val="en-US"/>
        </w:rPr>
      </w:pPr>
      <w:r w:rsidRPr="00116A61">
        <w:rPr>
          <w:lang w:val="en-US"/>
        </w:rPr>
        <w:t>78.</w:t>
      </w:r>
      <w:r w:rsidRPr="00116A61">
        <w:rPr>
          <w:lang w:val="en-US"/>
        </w:rPr>
        <w:tab/>
        <w:t>American Diabetes Association Professional Practice Committee. 6. Glycemic Goals and Hypoglycemia: Standards of Care in Diabetes—2024. Diabetes Care. 11 déc 2023;47(Supplement_1</w:t>
      </w:r>
      <w:proofErr w:type="gramStart"/>
      <w:r w:rsidRPr="00116A61">
        <w:rPr>
          <w:lang w:val="en-US"/>
        </w:rPr>
        <w:t>):S</w:t>
      </w:r>
      <w:proofErr w:type="gramEnd"/>
      <w:r w:rsidRPr="00116A61">
        <w:rPr>
          <w:lang w:val="en-US"/>
        </w:rPr>
        <w:t>111‑25. doi:10.2337/dc24-S006</w:t>
      </w:r>
    </w:p>
    <w:p w14:paraId="13E56B97" w14:textId="77777777" w:rsidR="00116A61" w:rsidRDefault="00116A61" w:rsidP="00116A61">
      <w:pPr>
        <w:pStyle w:val="Bibliography"/>
      </w:pPr>
      <w:r w:rsidRPr="00116A61">
        <w:rPr>
          <w:lang w:val="en-US"/>
        </w:rPr>
        <w:t>79.</w:t>
      </w:r>
      <w:r w:rsidRPr="00116A61">
        <w:rPr>
          <w:lang w:val="en-US"/>
        </w:rPr>
        <w:tab/>
        <w:t xml:space="preserve">Nair R. Herbal Medicine: Connecting Traditional Knowledge with Modern Pharmacology. </w:t>
      </w:r>
      <w:r>
        <w:t>Journal of Basic and Clinical Pharmacy [Internet]. 21 juin 2024 [cité 14 mai 2026</w:t>
      </w:r>
      <w:proofErr w:type="gramStart"/>
      <w:r>
        <w:t>];</w:t>
      </w:r>
      <w:proofErr w:type="gramEnd"/>
      <w:r>
        <w:t xml:space="preserve">15(3). Disponible </w:t>
      </w:r>
      <w:proofErr w:type="gramStart"/>
      <w:r>
        <w:t>sur:</w:t>
      </w:r>
      <w:proofErr w:type="gramEnd"/>
      <w:r>
        <w:t xml:space="preserve"> https://www.jbclinpharm.org/abstract/</w:t>
      </w:r>
    </w:p>
    <w:p w14:paraId="635D2AF0" w14:textId="77777777" w:rsidR="00116A61" w:rsidRPr="00116A61" w:rsidRDefault="00116A61" w:rsidP="00116A61">
      <w:pPr>
        <w:pStyle w:val="Bibliography"/>
        <w:rPr>
          <w:lang w:val="en-US"/>
        </w:rPr>
      </w:pPr>
      <w:r w:rsidRPr="00116A61">
        <w:rPr>
          <w:lang w:val="en-US"/>
        </w:rPr>
        <w:t>80.</w:t>
      </w:r>
      <w:r w:rsidRPr="00116A61">
        <w:rPr>
          <w:lang w:val="en-US"/>
        </w:rPr>
        <w:tab/>
        <w:t>Sarker S d, Nahar L. Evidence-based phytotherapy: what, why and how? Trends in Phytochemical Research. 1 sept 2018;2(3):125‑6.</w:t>
      </w:r>
    </w:p>
    <w:p w14:paraId="0845240A" w14:textId="77777777" w:rsidR="00116A61" w:rsidRDefault="00116A61" w:rsidP="00116A61">
      <w:pPr>
        <w:pStyle w:val="Bibliography"/>
      </w:pPr>
      <w:r w:rsidRPr="00116A61">
        <w:rPr>
          <w:lang w:val="en-US"/>
        </w:rPr>
        <w:lastRenderedPageBreak/>
        <w:t>81.</w:t>
      </w:r>
      <w:r w:rsidRPr="00116A61">
        <w:rPr>
          <w:lang w:val="en-US"/>
        </w:rPr>
        <w:tab/>
        <w:t xml:space="preserve">WHO global report on traditional and complementary medicine 2019 [Internet]. </w:t>
      </w:r>
      <w:r>
        <w:t>[</w:t>
      </w:r>
      <w:proofErr w:type="gramStart"/>
      <w:r>
        <w:t>cité</w:t>
      </w:r>
      <w:proofErr w:type="gramEnd"/>
      <w:r>
        <w:t xml:space="preserve"> 14 mai 2026]. Disponible </w:t>
      </w:r>
      <w:proofErr w:type="gramStart"/>
      <w:r>
        <w:t>sur:</w:t>
      </w:r>
      <w:proofErr w:type="gramEnd"/>
      <w:r>
        <w:t xml:space="preserve"> https://www.who.int/publications/i/item/978924151536</w:t>
      </w:r>
    </w:p>
    <w:p w14:paraId="5F8447DB" w14:textId="77777777" w:rsidR="00116A61" w:rsidRDefault="00116A61" w:rsidP="00116A61">
      <w:pPr>
        <w:pStyle w:val="Bibliography"/>
      </w:pPr>
      <w:r w:rsidRPr="00116A61">
        <w:rPr>
          <w:lang w:val="en-US"/>
        </w:rPr>
        <w:t>82.</w:t>
      </w:r>
      <w:r w:rsidRPr="00116A61">
        <w:rPr>
          <w:lang w:val="en-US"/>
        </w:rPr>
        <w:tab/>
        <w:t xml:space="preserve">Phytotherapy | Herbal Medicine &amp; Natural Remedies | Britannica [Internet]. </w:t>
      </w:r>
      <w:r>
        <w:t>[</w:t>
      </w:r>
      <w:proofErr w:type="gramStart"/>
      <w:r>
        <w:t>cité</w:t>
      </w:r>
      <w:proofErr w:type="gramEnd"/>
      <w:r>
        <w:t xml:space="preserve"> 9 mars 2026]. Disponible </w:t>
      </w:r>
      <w:proofErr w:type="gramStart"/>
      <w:r>
        <w:t>sur:</w:t>
      </w:r>
      <w:proofErr w:type="gramEnd"/>
      <w:r>
        <w:t xml:space="preserve"> https://www.britannica.com/science/phytotherapy?utm_source=chatgpt.com</w:t>
      </w:r>
    </w:p>
    <w:p w14:paraId="70C58D8C" w14:textId="77777777" w:rsidR="00116A61" w:rsidRPr="00116A61" w:rsidRDefault="00116A61" w:rsidP="00116A61">
      <w:pPr>
        <w:pStyle w:val="Bibliography"/>
        <w:rPr>
          <w:lang w:val="en-US"/>
        </w:rPr>
      </w:pPr>
      <w:r w:rsidRPr="00116A61">
        <w:rPr>
          <w:lang w:val="en-US"/>
        </w:rPr>
        <w:t>83.</w:t>
      </w:r>
      <w:r w:rsidRPr="00116A61">
        <w:rPr>
          <w:lang w:val="en-US"/>
        </w:rPr>
        <w:tab/>
        <w:t>Jamshidi-Kia F, Lorigooini Z, Amini-Khoei H. Medicinal plants: Past history and future perspective. J Herbmed Pharmacol. 29 déc 2017;7(1):1‑7. doi:10.15171/jhp.2018.01</w:t>
      </w:r>
    </w:p>
    <w:p w14:paraId="65D430C3" w14:textId="77777777" w:rsidR="00116A61" w:rsidRDefault="00116A61" w:rsidP="00116A61">
      <w:pPr>
        <w:pStyle w:val="Bibliography"/>
      </w:pPr>
      <w:r w:rsidRPr="00116A61">
        <w:rPr>
          <w:lang w:val="en-US"/>
        </w:rPr>
        <w:t>84.</w:t>
      </w:r>
      <w:r w:rsidRPr="00116A61">
        <w:rPr>
          <w:lang w:val="en-US"/>
        </w:rPr>
        <w:tab/>
        <w:t xml:space="preserve">Frontiers | The growing use of herbal medicines: issues relating to adverse reactions and challenges in monitoring safety [Internet]. </w:t>
      </w:r>
      <w:r>
        <w:t>[</w:t>
      </w:r>
      <w:proofErr w:type="gramStart"/>
      <w:r>
        <w:t>cité</w:t>
      </w:r>
      <w:proofErr w:type="gramEnd"/>
      <w:r>
        <w:t xml:space="preserve"> 10 mars 2026]. Disponible </w:t>
      </w:r>
      <w:proofErr w:type="gramStart"/>
      <w:r>
        <w:t>sur:</w:t>
      </w:r>
      <w:proofErr w:type="gramEnd"/>
      <w:r>
        <w:t xml:space="preserve"> https://www.frontiersin.org/journals/pharmacology/articles/10.3389/fphar.2013.00177/full</w:t>
      </w:r>
    </w:p>
    <w:p w14:paraId="185FA141" w14:textId="77777777" w:rsidR="00116A61" w:rsidRPr="00116A61" w:rsidRDefault="00116A61" w:rsidP="00116A61">
      <w:pPr>
        <w:pStyle w:val="Bibliography"/>
        <w:rPr>
          <w:lang w:val="en-US"/>
        </w:rPr>
      </w:pPr>
      <w:r w:rsidRPr="00116A61">
        <w:rPr>
          <w:lang w:val="en-US"/>
        </w:rPr>
        <w:t>85.</w:t>
      </w:r>
      <w:r w:rsidRPr="00116A61">
        <w:rPr>
          <w:lang w:val="en-US"/>
        </w:rPr>
        <w:tab/>
        <w:t>Miraldi E, Baini G. MEDICINAL PLANTS AND HEALTH IN HUMAN HISTORY: FROM EMPIRICAL USE TO MODERN PHYTOTHERAPY. Journal of the Siena Academy of Sciences. 2018;10(1). doi:10.4081/jsas.2018.8529</w:t>
      </w:r>
    </w:p>
    <w:p w14:paraId="27B9EA1F" w14:textId="77777777" w:rsidR="00116A61" w:rsidRDefault="00116A61" w:rsidP="00116A61">
      <w:pPr>
        <w:pStyle w:val="Bibliography"/>
      </w:pPr>
      <w:r w:rsidRPr="00116A61">
        <w:rPr>
          <w:lang w:val="en-US"/>
        </w:rPr>
        <w:t>86.</w:t>
      </w:r>
      <w:r w:rsidRPr="00116A61">
        <w:rPr>
          <w:lang w:val="en-US"/>
        </w:rPr>
        <w:tab/>
        <w:t xml:space="preserve">Historical review of medicinal plants’ usage - PMC [Internet]. </w:t>
      </w:r>
      <w:r>
        <w:t>[</w:t>
      </w:r>
      <w:proofErr w:type="gramStart"/>
      <w:r>
        <w:t>cité</w:t>
      </w:r>
      <w:proofErr w:type="gramEnd"/>
      <w:r>
        <w:t xml:space="preserve"> 10 mars 2026]. Disponible </w:t>
      </w:r>
      <w:proofErr w:type="gramStart"/>
      <w:r>
        <w:t>sur:</w:t>
      </w:r>
      <w:proofErr w:type="gramEnd"/>
      <w:r>
        <w:t xml:space="preserve"> https://pmc.ncbi.nlm.nih.gov/articles/PMC3358962/</w:t>
      </w:r>
    </w:p>
    <w:p w14:paraId="225760E2" w14:textId="77777777" w:rsidR="00116A61" w:rsidRDefault="00116A61" w:rsidP="00116A61">
      <w:pPr>
        <w:pStyle w:val="Bibliography"/>
      </w:pPr>
      <w:r w:rsidRPr="00116A61">
        <w:rPr>
          <w:lang w:val="en-US"/>
        </w:rPr>
        <w:t>87.</w:t>
      </w:r>
      <w:r w:rsidRPr="00116A61">
        <w:rPr>
          <w:lang w:val="en-US"/>
        </w:rPr>
        <w:tab/>
        <w:t xml:space="preserve">General guidelines for methodologies on research and evaluation of traditional medicine [Internet]. </w:t>
      </w:r>
      <w:r>
        <w:t>[</w:t>
      </w:r>
      <w:proofErr w:type="gramStart"/>
      <w:r>
        <w:t>cité</w:t>
      </w:r>
      <w:proofErr w:type="gramEnd"/>
      <w:r>
        <w:t xml:space="preserve"> 29 avr 2026]. Disponible </w:t>
      </w:r>
      <w:proofErr w:type="gramStart"/>
      <w:r>
        <w:t>sur:</w:t>
      </w:r>
      <w:proofErr w:type="gramEnd"/>
      <w:r>
        <w:t xml:space="preserve"> https://www.who.int/publications/i/item/9789241506090</w:t>
      </w:r>
    </w:p>
    <w:p w14:paraId="0D2C8BBB" w14:textId="77777777" w:rsidR="00116A61" w:rsidRDefault="00116A61" w:rsidP="00116A61">
      <w:pPr>
        <w:pStyle w:val="Bibliography"/>
      </w:pPr>
      <w:r w:rsidRPr="00116A61">
        <w:rPr>
          <w:lang w:val="en-US"/>
        </w:rPr>
        <w:t>88.</w:t>
      </w:r>
      <w:r w:rsidRPr="00116A61">
        <w:rPr>
          <w:lang w:val="en-US"/>
        </w:rPr>
        <w:tab/>
        <w:t xml:space="preserve">WHO monographs on selected medicinal plants [Internet]. </w:t>
      </w:r>
      <w:r>
        <w:t>[</w:t>
      </w:r>
      <w:proofErr w:type="gramStart"/>
      <w:r>
        <w:t>cité</w:t>
      </w:r>
      <w:proofErr w:type="gramEnd"/>
      <w:r>
        <w:t xml:space="preserve"> 29 avr 2026]. Disponible </w:t>
      </w:r>
      <w:proofErr w:type="gramStart"/>
      <w:r>
        <w:t>sur:</w:t>
      </w:r>
      <w:proofErr w:type="gramEnd"/>
      <w:r>
        <w:t xml:space="preserve"> https://www.who.int/publications/i/item/9241545178</w:t>
      </w:r>
    </w:p>
    <w:p w14:paraId="00F93F4F" w14:textId="77777777" w:rsidR="00116A61" w:rsidRDefault="00116A61" w:rsidP="00116A61">
      <w:pPr>
        <w:pStyle w:val="Bibliography"/>
      </w:pPr>
      <w:r w:rsidRPr="00116A61">
        <w:rPr>
          <w:lang w:val="en-US"/>
        </w:rPr>
        <w:t>89.</w:t>
      </w:r>
      <w:r w:rsidRPr="00116A61">
        <w:rPr>
          <w:lang w:val="en-US"/>
        </w:rPr>
        <w:tab/>
        <w:t xml:space="preserve">The growing use of herbal medicines: issues relating to adverse reactions and challenges in monitoring safety - PMC [Internet]. </w:t>
      </w:r>
      <w:r>
        <w:t>[</w:t>
      </w:r>
      <w:proofErr w:type="gramStart"/>
      <w:r>
        <w:t>cité</w:t>
      </w:r>
      <w:proofErr w:type="gramEnd"/>
      <w:r>
        <w:t xml:space="preserve"> 14 mai 2026]. Disponible </w:t>
      </w:r>
      <w:proofErr w:type="gramStart"/>
      <w:r>
        <w:t>sur:</w:t>
      </w:r>
      <w:proofErr w:type="gramEnd"/>
      <w:r>
        <w:t xml:space="preserve"> https://pmc.ncbi.nlm.nih.gov/articles/PMC3887317/</w:t>
      </w:r>
    </w:p>
    <w:p w14:paraId="74FE59EA" w14:textId="77777777" w:rsidR="00116A61" w:rsidRPr="00116A61" w:rsidRDefault="00116A61" w:rsidP="00116A61">
      <w:pPr>
        <w:pStyle w:val="Bibliography"/>
        <w:rPr>
          <w:lang w:val="en-US"/>
        </w:rPr>
      </w:pPr>
      <w:r w:rsidRPr="00116A61">
        <w:rPr>
          <w:lang w:val="en-US"/>
        </w:rPr>
        <w:t>90.</w:t>
      </w:r>
      <w:r w:rsidRPr="00116A61">
        <w:rPr>
          <w:lang w:val="en-US"/>
        </w:rPr>
        <w:tab/>
        <w:t xml:space="preserve">Heinrich M, Appendino G, Efferth T, Fürst R, Izzo AA, Kayser O, et al. Best practice in research - Overcoming common challenges in phytopharmacological research. J Ethnopharmacol. 10 janv </w:t>
      </w:r>
      <w:proofErr w:type="gramStart"/>
      <w:r w:rsidRPr="00116A61">
        <w:rPr>
          <w:lang w:val="en-US"/>
        </w:rPr>
        <w:t>2020;246:112230</w:t>
      </w:r>
      <w:proofErr w:type="gramEnd"/>
      <w:r w:rsidRPr="00116A61">
        <w:rPr>
          <w:lang w:val="en-US"/>
        </w:rPr>
        <w:t xml:space="preserve">. </w:t>
      </w:r>
      <w:proofErr w:type="gramStart"/>
      <w:r w:rsidRPr="00116A61">
        <w:rPr>
          <w:lang w:val="en-US"/>
        </w:rPr>
        <w:t>doi:10.1016/j.jep</w:t>
      </w:r>
      <w:proofErr w:type="gramEnd"/>
      <w:r w:rsidRPr="00116A61">
        <w:rPr>
          <w:lang w:val="en-US"/>
        </w:rPr>
        <w:t>.2019.112230 PubMed PMID: 31526860.</w:t>
      </w:r>
    </w:p>
    <w:p w14:paraId="5CCC6A42" w14:textId="77777777" w:rsidR="00116A61" w:rsidRPr="00116A61" w:rsidRDefault="00116A61" w:rsidP="00116A61">
      <w:pPr>
        <w:pStyle w:val="Bibliography"/>
        <w:rPr>
          <w:lang w:val="en-US"/>
        </w:rPr>
      </w:pPr>
      <w:r w:rsidRPr="00116A61">
        <w:rPr>
          <w:lang w:val="en-US"/>
        </w:rPr>
        <w:t>91.</w:t>
      </w:r>
      <w:r w:rsidRPr="00116A61">
        <w:rPr>
          <w:lang w:val="en-US"/>
        </w:rPr>
        <w:tab/>
        <w:t>Al-Yaari A, Ducharne A, Cheruy F, Crow WT, Wigneron JP. Satellite-based soil moisture provides missing link between summertime precipitation and surface temperature biases in CMIP5 simulations over conterminous United States. Sci Rep. 7 févr 2019;9(1):1657. doi:10.1038/s41598-018-38309-5 PubMed PMID: 30733521; PubMed Central PMCID: PMC6367487.</w:t>
      </w:r>
    </w:p>
    <w:p w14:paraId="29153BEC" w14:textId="77777777" w:rsidR="00116A61" w:rsidRDefault="00116A61" w:rsidP="00116A61">
      <w:pPr>
        <w:pStyle w:val="Bibliography"/>
      </w:pPr>
      <w:r w:rsidRPr="00116A61">
        <w:rPr>
          <w:lang w:val="en-US"/>
        </w:rPr>
        <w:t>92.</w:t>
      </w:r>
      <w:r w:rsidRPr="00116A61">
        <w:rPr>
          <w:lang w:val="en-US"/>
        </w:rPr>
        <w:tab/>
        <w:t xml:space="preserve">Girard L, Vohra S. Ethics of Using Herbal Medicine as Primary or Adjunct Treatment and Issues of Drug-Herb Interaction. In: Benzie IFF, Wachtel-Galor S, éditeurs. Herbal Medicine: Biomolecular and Clinical Aspects [Internet]. </w:t>
      </w:r>
      <w:r>
        <w:t>2nd éd. Boca Raton (FL</w:t>
      </w:r>
      <w:proofErr w:type="gramStart"/>
      <w:r>
        <w:t>):</w:t>
      </w:r>
      <w:proofErr w:type="gramEnd"/>
      <w:r>
        <w:t xml:space="preserve"> CRC Press/Taylor &amp; Francis; 2011 [cité 14 mai 2026]. Disponible </w:t>
      </w:r>
      <w:proofErr w:type="gramStart"/>
      <w:r>
        <w:t>sur:</w:t>
      </w:r>
      <w:proofErr w:type="gramEnd"/>
      <w:r>
        <w:t xml:space="preserve"> http://www.ncbi.nlm.nih.gov/books/NBK92754/ PubMed PMID: 22593923.</w:t>
      </w:r>
    </w:p>
    <w:p w14:paraId="2EA88D53" w14:textId="77777777" w:rsidR="00116A61" w:rsidRPr="00116A61" w:rsidRDefault="00116A61" w:rsidP="00116A61">
      <w:pPr>
        <w:pStyle w:val="Bibliography"/>
        <w:rPr>
          <w:lang w:val="en-US"/>
        </w:rPr>
      </w:pPr>
      <w:r w:rsidRPr="00116A61">
        <w:rPr>
          <w:lang w:val="en-US"/>
        </w:rPr>
        <w:lastRenderedPageBreak/>
        <w:t>93.</w:t>
      </w:r>
      <w:r w:rsidRPr="00116A61">
        <w:rPr>
          <w:lang w:val="en-US"/>
        </w:rPr>
        <w:tab/>
        <w:t>Meddour R, Sahar O, Médail F. Checklist of the native tree flora of Algeria: diversity, distribution, and conservation. Pl Ecol Evol. 23 nov 2021;154(3):405‑18. doi:10.5091/plecevo.2021.1868</w:t>
      </w:r>
    </w:p>
    <w:p w14:paraId="134272A9" w14:textId="77777777" w:rsidR="00116A61" w:rsidRPr="00116A61" w:rsidRDefault="00116A61" w:rsidP="00116A61">
      <w:pPr>
        <w:pStyle w:val="Bibliography"/>
        <w:rPr>
          <w:lang w:val="en-US"/>
        </w:rPr>
      </w:pPr>
      <w:r w:rsidRPr="00116A61">
        <w:rPr>
          <w:lang w:val="en-US"/>
        </w:rPr>
        <w:t>94.</w:t>
      </w:r>
      <w:r w:rsidRPr="00116A61">
        <w:rPr>
          <w:lang w:val="en-US"/>
        </w:rPr>
        <w:tab/>
        <w:t xml:space="preserve">Hamza N, Berke B, Umar A, Cheze C, Gin H, Moore N. A review of Algerian medicinal plants used in the treatment of diabetes. J Ethnopharmacol. 28 juin </w:t>
      </w:r>
      <w:proofErr w:type="gramStart"/>
      <w:r w:rsidRPr="00116A61">
        <w:rPr>
          <w:lang w:val="en-US"/>
        </w:rPr>
        <w:t>2019;238:111841</w:t>
      </w:r>
      <w:proofErr w:type="gramEnd"/>
      <w:r w:rsidRPr="00116A61">
        <w:rPr>
          <w:lang w:val="en-US"/>
        </w:rPr>
        <w:t xml:space="preserve">. </w:t>
      </w:r>
      <w:proofErr w:type="gramStart"/>
      <w:r w:rsidRPr="00116A61">
        <w:rPr>
          <w:lang w:val="en-US"/>
        </w:rPr>
        <w:t>doi:10.1016/j.jep</w:t>
      </w:r>
      <w:proofErr w:type="gramEnd"/>
      <w:r w:rsidRPr="00116A61">
        <w:rPr>
          <w:lang w:val="en-US"/>
        </w:rPr>
        <w:t>.2019.111841 PubMed PMID: 30959140.</w:t>
      </w:r>
    </w:p>
    <w:p w14:paraId="77357823" w14:textId="77777777" w:rsidR="00116A61" w:rsidRPr="00116A61" w:rsidRDefault="00116A61" w:rsidP="00116A61">
      <w:pPr>
        <w:pStyle w:val="Bibliography"/>
        <w:rPr>
          <w:lang w:val="en-US"/>
        </w:rPr>
      </w:pPr>
      <w:r w:rsidRPr="00116A61">
        <w:rPr>
          <w:lang w:val="en-US"/>
        </w:rPr>
        <w:t>95.</w:t>
      </w:r>
      <w:r w:rsidRPr="00116A61">
        <w:rPr>
          <w:lang w:val="en-US"/>
        </w:rPr>
        <w:tab/>
        <w:t xml:space="preserve">Boudjelal A, Henchiri C, Sari M, Sarri D, Hendel N, Benkhaled A, et al. Herbalists and wild medicinal plants in M’Sila (North Algeria): an ethnopharmacology survey. J Ethnopharmacol. 9 juill 2013;148(2):395‑402. </w:t>
      </w:r>
      <w:proofErr w:type="gramStart"/>
      <w:r w:rsidRPr="00116A61">
        <w:rPr>
          <w:lang w:val="en-US"/>
        </w:rPr>
        <w:t>doi:10.1016/j.jep</w:t>
      </w:r>
      <w:proofErr w:type="gramEnd"/>
      <w:r w:rsidRPr="00116A61">
        <w:rPr>
          <w:lang w:val="en-US"/>
        </w:rPr>
        <w:t>.2013.03.082 PubMed PMID: 23643544.</w:t>
      </w:r>
    </w:p>
    <w:p w14:paraId="594EC023" w14:textId="77777777" w:rsidR="00116A61" w:rsidRPr="00116A61" w:rsidRDefault="00116A61" w:rsidP="00116A61">
      <w:pPr>
        <w:pStyle w:val="Bibliography"/>
        <w:rPr>
          <w:lang w:val="en-US"/>
        </w:rPr>
      </w:pPr>
      <w:r w:rsidRPr="00116A61">
        <w:rPr>
          <w:lang w:val="en-US"/>
        </w:rPr>
        <w:t>96.</w:t>
      </w:r>
      <w:r w:rsidRPr="00116A61">
        <w:rPr>
          <w:lang w:val="en-US"/>
        </w:rPr>
        <w:tab/>
        <w:t xml:space="preserve">Ekor M. The growing use of herbal medicines: issues relating to adverse reactions and challenges in monitoring safety. Front Pharmacol. 10 janv </w:t>
      </w:r>
      <w:proofErr w:type="gramStart"/>
      <w:r w:rsidRPr="00116A61">
        <w:rPr>
          <w:lang w:val="en-US"/>
        </w:rPr>
        <w:t>2014;4:177</w:t>
      </w:r>
      <w:proofErr w:type="gramEnd"/>
      <w:r w:rsidRPr="00116A61">
        <w:rPr>
          <w:lang w:val="en-US"/>
        </w:rPr>
        <w:t>. doi:10.3389/fphar.2013.00177 PubMed PMID: 24454289; PubMed Central PMCID: PMC3887317.</w:t>
      </w:r>
    </w:p>
    <w:p w14:paraId="3D2DEE6F" w14:textId="77777777" w:rsidR="00116A61" w:rsidRDefault="00116A61" w:rsidP="00116A61">
      <w:pPr>
        <w:pStyle w:val="Bibliography"/>
      </w:pPr>
      <w:r w:rsidRPr="00116A61">
        <w:rPr>
          <w:lang w:val="en-US"/>
        </w:rPr>
        <w:t>97.</w:t>
      </w:r>
      <w:r w:rsidRPr="00116A61">
        <w:rPr>
          <w:lang w:val="en-US"/>
        </w:rPr>
        <w:tab/>
        <w:t xml:space="preserve">Dubale S, Usure RE, Mekasha YT, Hasen G, Hafiz F, Kebebe D, et al. Traditional herbal medicine legislative and regulatory framework: a cross-sectional quantitative study and archival review perspectives. </w:t>
      </w:r>
      <w:r>
        <w:t xml:space="preserve">Front Pharmacol. 30 janv </w:t>
      </w:r>
      <w:proofErr w:type="gramStart"/>
      <w:r>
        <w:t>2025;</w:t>
      </w:r>
      <w:proofErr w:type="gramEnd"/>
      <w:r>
        <w:t>16. doi:10.3389/fphar.2025.1475297</w:t>
      </w:r>
    </w:p>
    <w:p w14:paraId="2620EB7F" w14:textId="77777777" w:rsidR="00116A61" w:rsidRDefault="00116A61" w:rsidP="00116A61">
      <w:pPr>
        <w:pStyle w:val="Bibliography"/>
      </w:pPr>
      <w:r>
        <w:t>98.</w:t>
      </w:r>
      <w:r>
        <w:tab/>
        <w:t xml:space="preserve">Traditional Medicine | OMS | Bureau régional pour l’Afrique [Internet]. 2026 [cité 25 avr 2026]. Disponible </w:t>
      </w:r>
      <w:proofErr w:type="gramStart"/>
      <w:r>
        <w:t>sur:</w:t>
      </w:r>
      <w:proofErr w:type="gramEnd"/>
      <w:r>
        <w:t xml:space="preserve"> https://www.afro.who.int/health-topics/traditional-medicine</w:t>
      </w:r>
    </w:p>
    <w:p w14:paraId="57F73270" w14:textId="77777777" w:rsidR="00116A61" w:rsidRPr="00116A61" w:rsidRDefault="00116A61" w:rsidP="00116A61">
      <w:pPr>
        <w:pStyle w:val="Bibliography"/>
        <w:rPr>
          <w:lang w:val="en-US"/>
        </w:rPr>
      </w:pPr>
      <w:r w:rsidRPr="00116A61">
        <w:rPr>
          <w:lang w:val="en-US"/>
        </w:rPr>
        <w:t>99.</w:t>
      </w:r>
      <w:r w:rsidRPr="00116A61">
        <w:rPr>
          <w:lang w:val="en-US"/>
        </w:rPr>
        <w:tab/>
        <w:t>Latif R, Nawaz T. Medicinal plants and human health: a comprehensive review of bioactive compounds, therapeutic effects, and applications. Phytochem Rev. 1 mars 2026;25(3):2299‑342. doi:10.1007/s11101-025-10194-7</w:t>
      </w:r>
    </w:p>
    <w:p w14:paraId="4156E195" w14:textId="77777777" w:rsidR="00116A61" w:rsidRPr="00116A61" w:rsidRDefault="00116A61" w:rsidP="00116A61">
      <w:pPr>
        <w:pStyle w:val="Bibliography"/>
        <w:rPr>
          <w:lang w:val="en-US"/>
        </w:rPr>
      </w:pPr>
      <w:r w:rsidRPr="00116A61">
        <w:rPr>
          <w:lang w:val="en-US"/>
        </w:rPr>
        <w:t>100.</w:t>
      </w:r>
      <w:r w:rsidRPr="00116A61">
        <w:rPr>
          <w:lang w:val="en-US"/>
        </w:rPr>
        <w:tab/>
        <w:t>Ali SS, Al-Tohamy R, Al-Zahrani M, Badr A, Sun J. Essential oils and plant-derived bioactive compounds: a comprehensive review of their therapeutic potential, mechanisms of action, and advances in extraction technologies. Phytochem Rev. 1 janv 2026;25(1):223‑71. doi:10.1007/s11101-025-10123-8</w:t>
      </w:r>
    </w:p>
    <w:p w14:paraId="3D18E460" w14:textId="77777777" w:rsidR="00116A61" w:rsidRPr="00116A61" w:rsidRDefault="00116A61" w:rsidP="00116A61">
      <w:pPr>
        <w:pStyle w:val="Bibliography"/>
        <w:rPr>
          <w:lang w:val="en-US"/>
        </w:rPr>
      </w:pPr>
      <w:r w:rsidRPr="00116A61">
        <w:rPr>
          <w:lang w:val="en-US"/>
        </w:rPr>
        <w:t>101.</w:t>
      </w:r>
      <w:r w:rsidRPr="00116A61">
        <w:rPr>
          <w:lang w:val="en-US"/>
        </w:rPr>
        <w:tab/>
        <w:t>Jiang W, Wen X, Zheng H. A Review for Aromatherapy Based on Essential Oils, An Emerging Complementary Therapy. 2025.</w:t>
      </w:r>
    </w:p>
    <w:p w14:paraId="7EFE0925" w14:textId="77777777" w:rsidR="00116A61" w:rsidRPr="00116A61" w:rsidRDefault="00116A61" w:rsidP="00116A61">
      <w:pPr>
        <w:pStyle w:val="Bibliography"/>
        <w:rPr>
          <w:lang w:val="en-US"/>
        </w:rPr>
      </w:pPr>
      <w:r w:rsidRPr="00116A61">
        <w:rPr>
          <w:lang w:val="en-US"/>
        </w:rPr>
        <w:t>102.</w:t>
      </w:r>
      <w:r w:rsidRPr="00116A61">
        <w:rPr>
          <w:lang w:val="en-US"/>
        </w:rPr>
        <w:tab/>
        <w:t>Thangaleela S, Sivamaruthi BS, Kesika P, Bharathi M, Kunaviktikul W, Klunklin A, et al. Essential Oils, Phytoncides, Aromachology, and Aromatherapy—A Review. Applied Sciences. janv 2022;12(9):4495. doi:10.3390/app12094495</w:t>
      </w:r>
    </w:p>
    <w:p w14:paraId="72B1BB36" w14:textId="77777777" w:rsidR="00116A61" w:rsidRPr="00116A61" w:rsidRDefault="00116A61" w:rsidP="00116A61">
      <w:pPr>
        <w:pStyle w:val="Bibliography"/>
        <w:rPr>
          <w:lang w:val="en-US"/>
        </w:rPr>
      </w:pPr>
      <w:r>
        <w:t>103.</w:t>
      </w:r>
      <w:r>
        <w:tab/>
        <w:t xml:space="preserve">Heutte N. Indications de la gemmothérapie dans le cadre de la pratique officinale. </w:t>
      </w:r>
      <w:r w:rsidRPr="00116A61">
        <w:rPr>
          <w:lang w:val="en-US"/>
        </w:rPr>
        <w:t>24 juin 2024;193.</w:t>
      </w:r>
    </w:p>
    <w:p w14:paraId="276800AD" w14:textId="77777777" w:rsidR="00116A61" w:rsidRDefault="00116A61" w:rsidP="00116A61">
      <w:pPr>
        <w:pStyle w:val="Bibliography"/>
      </w:pPr>
      <w:r w:rsidRPr="00116A61">
        <w:rPr>
          <w:lang w:val="en-US"/>
        </w:rPr>
        <w:t>104.</w:t>
      </w:r>
      <w:r w:rsidRPr="00116A61">
        <w:rPr>
          <w:lang w:val="en-US"/>
        </w:rPr>
        <w:tab/>
        <w:t xml:space="preserve">Specific Antimicrobial Activities Revealed by Comparative Evaluation of Selected Gemmotherapy Extracts [Internet]. </w:t>
      </w:r>
      <w:r>
        <w:t>[</w:t>
      </w:r>
      <w:proofErr w:type="gramStart"/>
      <w:r>
        <w:t>cité</w:t>
      </w:r>
      <w:proofErr w:type="gramEnd"/>
      <w:r>
        <w:t xml:space="preserve"> 10 avr 2026]. Disponible </w:t>
      </w:r>
      <w:proofErr w:type="gramStart"/>
      <w:r>
        <w:t>sur:</w:t>
      </w:r>
      <w:proofErr w:type="gramEnd"/>
      <w:r>
        <w:t xml:space="preserve"> https://www.mdpi.com/2079-6382/13/2/181?utm_source=copilot.com</w:t>
      </w:r>
    </w:p>
    <w:p w14:paraId="5BEEC2A4" w14:textId="77777777" w:rsidR="00116A61" w:rsidRDefault="00116A61" w:rsidP="00116A61">
      <w:pPr>
        <w:pStyle w:val="Bibliography"/>
      </w:pPr>
      <w:r>
        <w:lastRenderedPageBreak/>
        <w:t>105.</w:t>
      </w:r>
      <w:r>
        <w:tab/>
        <w:t>« https://www.sciencedirect.com/journal/journal-of-functional-foods » - Recherche [Internet]. [</w:t>
      </w:r>
      <w:proofErr w:type="gramStart"/>
      <w:r>
        <w:t>cité</w:t>
      </w:r>
      <w:proofErr w:type="gramEnd"/>
      <w:r>
        <w:t xml:space="preserve"> 10 avr 2026]. Disponible </w:t>
      </w:r>
      <w:proofErr w:type="gramStart"/>
      <w:r>
        <w:t>sur:</w:t>
      </w:r>
      <w:proofErr w:type="gramEnd"/>
      <w:r>
        <w:t xml:space="preserve"> https://www.bing.com/search?q=%22https%3A%2F%2Fwww.sciencedirect.com%2Fjournal%2Fjournal-of-functional-foods%22&amp;utm_source=copilot.com</w:t>
      </w:r>
    </w:p>
    <w:p w14:paraId="71ADE697" w14:textId="77777777" w:rsidR="00116A61" w:rsidRDefault="00116A61" w:rsidP="00116A61">
      <w:pPr>
        <w:pStyle w:val="Bibliography"/>
      </w:pPr>
      <w:r>
        <w:t>106.</w:t>
      </w:r>
      <w:r>
        <w:tab/>
        <w:t>Bruneton, J. (2016) Pharmacognosie Phytochimie Plantes médicinales. 5th Edition, Lavoisier, Paris, 1047-1053. - References - Scientific Research Publishing [Internet]. [</w:t>
      </w:r>
      <w:proofErr w:type="gramStart"/>
      <w:r>
        <w:t>cité</w:t>
      </w:r>
      <w:proofErr w:type="gramEnd"/>
      <w:r>
        <w:t xml:space="preserve"> 14 mai 2026]. Disponible </w:t>
      </w:r>
      <w:proofErr w:type="gramStart"/>
      <w:r>
        <w:t>sur:</w:t>
      </w:r>
      <w:proofErr w:type="gramEnd"/>
      <w:r>
        <w:t xml:space="preserve"> https://www.scirp.org/reference/referencespapers?referenceid=3002477</w:t>
      </w:r>
    </w:p>
    <w:p w14:paraId="377426F7" w14:textId="77777777" w:rsidR="00116A61" w:rsidRDefault="00116A61" w:rsidP="00116A61">
      <w:pPr>
        <w:pStyle w:val="Bibliography"/>
      </w:pPr>
      <w:r w:rsidRPr="00116A61">
        <w:rPr>
          <w:lang w:val="en-US"/>
        </w:rPr>
        <w:t>107.</w:t>
      </w:r>
      <w:r w:rsidRPr="00116A61">
        <w:rPr>
          <w:lang w:val="en-US"/>
        </w:rPr>
        <w:tab/>
        <w:t xml:space="preserve">General guidelines for methodologies on research and evaluation of traditional medicine [Internet]. </w:t>
      </w:r>
      <w:r>
        <w:t>[</w:t>
      </w:r>
      <w:proofErr w:type="gramStart"/>
      <w:r>
        <w:t>cité</w:t>
      </w:r>
      <w:proofErr w:type="gramEnd"/>
      <w:r>
        <w:t xml:space="preserve"> 14 mai 2026]. Disponible </w:t>
      </w:r>
      <w:proofErr w:type="gramStart"/>
      <w:r>
        <w:t>sur:</w:t>
      </w:r>
      <w:proofErr w:type="gramEnd"/>
      <w:r>
        <w:t xml:space="preserve"> https://iris.who.int/items/cba90f52-1ecf-42b6-9f5c-0ccf881f9ca9</w:t>
      </w:r>
    </w:p>
    <w:p w14:paraId="7E07B229" w14:textId="77777777" w:rsidR="00116A61" w:rsidRDefault="00116A61" w:rsidP="00116A61">
      <w:pPr>
        <w:pStyle w:val="Bibliography"/>
      </w:pPr>
      <w:r w:rsidRPr="00116A61">
        <w:rPr>
          <w:lang w:val="en-US"/>
        </w:rPr>
        <w:t>108.</w:t>
      </w:r>
      <w:r w:rsidRPr="00116A61">
        <w:rPr>
          <w:lang w:val="en-US"/>
        </w:rPr>
        <w:tab/>
        <w:t xml:space="preserve">Herbal Medicinal Products:  Scientific and Regulatory Basis for Development, Quality Assurance and Marketing Authorisation By Frauke Gaedcke, Barbara Steinhoff, and Helga Blasius (Wissenschaftfliche, Stuttgart). CRC Press, Boca Raton. 2003. xii + 177 pp. 17.5 × 34.5 cm. $59.95. ISBN 0-8493-1023-7. | Journal of Natural Products [Internet]. </w:t>
      </w:r>
      <w:r>
        <w:t>[</w:t>
      </w:r>
      <w:proofErr w:type="gramStart"/>
      <w:r>
        <w:t>cité</w:t>
      </w:r>
      <w:proofErr w:type="gramEnd"/>
      <w:r>
        <w:t xml:space="preserve"> 14 mai 2026]. Disponible </w:t>
      </w:r>
      <w:proofErr w:type="gramStart"/>
      <w:r>
        <w:t>sur:</w:t>
      </w:r>
      <w:proofErr w:type="gramEnd"/>
      <w:r>
        <w:t xml:space="preserve"> https://pubs.acs.org/doi/10.1021/np0307441</w:t>
      </w:r>
    </w:p>
    <w:p w14:paraId="084AC655" w14:textId="77777777" w:rsidR="00116A61" w:rsidRDefault="00116A61" w:rsidP="00116A61">
      <w:pPr>
        <w:pStyle w:val="Bibliography"/>
      </w:pPr>
      <w:r>
        <w:t>109.</w:t>
      </w:r>
      <w:r>
        <w:tab/>
        <w:t xml:space="preserve">Frontiers | Where to </w:t>
      </w:r>
      <w:proofErr w:type="gramStart"/>
      <w:r>
        <w:t>begin?</w:t>
      </w:r>
      <w:proofErr w:type="gramEnd"/>
      <w:r>
        <w:t xml:space="preserve"> </w:t>
      </w:r>
      <w:r w:rsidRPr="00116A61">
        <w:rPr>
          <w:lang w:val="en-US"/>
        </w:rPr>
        <w:t xml:space="preserve">The best publications for newcomers to ethnopharmacology [Internet]. </w:t>
      </w:r>
      <w:r>
        <w:t>[</w:t>
      </w:r>
      <w:proofErr w:type="gramStart"/>
      <w:r>
        <w:t>cité</w:t>
      </w:r>
      <w:proofErr w:type="gramEnd"/>
      <w:r>
        <w:t xml:space="preserve"> 14 mai 2026]. Disponible </w:t>
      </w:r>
      <w:proofErr w:type="gramStart"/>
      <w:r>
        <w:t>sur:</w:t>
      </w:r>
      <w:proofErr w:type="gramEnd"/>
      <w:r>
        <w:t xml:space="preserve"> https://www.frontiersin.org/journals/pharmacology/articles/10.3389/fphar.2023.1141502/full</w:t>
      </w:r>
    </w:p>
    <w:p w14:paraId="37A77309" w14:textId="77777777" w:rsidR="00116A61" w:rsidRDefault="00116A61" w:rsidP="00116A61">
      <w:pPr>
        <w:pStyle w:val="Bibliography"/>
      </w:pPr>
      <w:r w:rsidRPr="00116A61">
        <w:rPr>
          <w:lang w:val="en-US"/>
        </w:rPr>
        <w:t>110.</w:t>
      </w:r>
      <w:r w:rsidRPr="00116A61">
        <w:rPr>
          <w:lang w:val="en-US"/>
        </w:rPr>
        <w:tab/>
        <w:t xml:space="preserve">Medicinal Plants as Efficacious Agents for Diabetic Foot Ulcers: A Systematic Review of Clinical Studies [Internet]. </w:t>
      </w:r>
      <w:r>
        <w:t>[</w:t>
      </w:r>
      <w:proofErr w:type="gramStart"/>
      <w:r>
        <w:t>cité</w:t>
      </w:r>
      <w:proofErr w:type="gramEnd"/>
      <w:r>
        <w:t xml:space="preserve"> 14 mai 2026]. Disponible </w:t>
      </w:r>
      <w:proofErr w:type="gramStart"/>
      <w:r>
        <w:t>sur:</w:t>
      </w:r>
      <w:proofErr w:type="gramEnd"/>
      <w:r>
        <w:t xml:space="preserve"> https://www.hmpgloballearningnetwork.com/site/wounds/review/medicinal-plants-efficacious-agents-diabetic-foot-ulcers-systematic-review</w:t>
      </w:r>
    </w:p>
    <w:p w14:paraId="2DF4F70A" w14:textId="77777777" w:rsidR="00116A61" w:rsidRPr="00116A61" w:rsidRDefault="00116A61" w:rsidP="00116A61">
      <w:pPr>
        <w:pStyle w:val="Bibliography"/>
        <w:rPr>
          <w:lang w:val="en-US"/>
        </w:rPr>
      </w:pPr>
      <w:r w:rsidRPr="00116A61">
        <w:rPr>
          <w:lang w:val="en-US"/>
        </w:rPr>
        <w:t>111.</w:t>
      </w:r>
      <w:r w:rsidRPr="00116A61">
        <w:rPr>
          <w:lang w:val="en-US"/>
        </w:rPr>
        <w:tab/>
        <w:t>Gupta M. Sugar Substitutes: Mechanism, Availability, Current Use and Safety Concerns-An Update. Open Access Maced J Med Sci. 19 oct 2018;6(10):1888‑94. doi:10.3889/oamjms.2018.336</w:t>
      </w:r>
    </w:p>
    <w:p w14:paraId="29B5FB26" w14:textId="77777777" w:rsidR="00116A61" w:rsidRDefault="00116A61" w:rsidP="00116A61">
      <w:pPr>
        <w:pStyle w:val="Bibliography"/>
      </w:pPr>
      <w:r w:rsidRPr="00116A61">
        <w:rPr>
          <w:lang w:val="en-US"/>
        </w:rPr>
        <w:t>112.</w:t>
      </w:r>
      <w:r w:rsidRPr="00116A61">
        <w:rPr>
          <w:lang w:val="en-US"/>
        </w:rPr>
        <w:tab/>
        <w:t xml:space="preserve">Medicinal Plants as Efficacious Agents for Diabetic Foot Ulcers: A Systematic Review of Clinical Studies [Internet]. </w:t>
      </w:r>
      <w:r>
        <w:t>[</w:t>
      </w:r>
      <w:proofErr w:type="gramStart"/>
      <w:r>
        <w:t>cité</w:t>
      </w:r>
      <w:proofErr w:type="gramEnd"/>
      <w:r>
        <w:t xml:space="preserve"> 14 mai 2026]. Disponible </w:t>
      </w:r>
      <w:proofErr w:type="gramStart"/>
      <w:r>
        <w:t>sur:</w:t>
      </w:r>
      <w:proofErr w:type="gramEnd"/>
      <w:r>
        <w:t xml:space="preserve"> https://www.hmpgloballearningnetwork.com/site/wounds/review/medicinal-plants-efficacious-agents-diabetic-foot-ulcers-systematic-review</w:t>
      </w:r>
    </w:p>
    <w:p w14:paraId="4570A357" w14:textId="77777777" w:rsidR="00116A61" w:rsidRPr="00116A61" w:rsidRDefault="00116A61" w:rsidP="00116A61">
      <w:pPr>
        <w:pStyle w:val="Bibliography"/>
        <w:rPr>
          <w:lang w:val="en-US"/>
        </w:rPr>
      </w:pPr>
      <w:r w:rsidRPr="00116A61">
        <w:rPr>
          <w:lang w:val="en-US"/>
        </w:rPr>
        <w:t>113.</w:t>
      </w:r>
      <w:r w:rsidRPr="00116A61">
        <w:rPr>
          <w:lang w:val="en-US"/>
        </w:rPr>
        <w:tab/>
        <w:t>Gallo L, Bucalá V. A Review on Influence of Spray Drying Process Parameters on the Production of Medicinal Plant Powders. Curr Drug Discov Technol. 2019;16(4):340‑54. doi:10.2174/1570163815666180801152918 PubMed PMID: 30068280.</w:t>
      </w:r>
    </w:p>
    <w:p w14:paraId="0D3725D6" w14:textId="77777777" w:rsidR="00116A61" w:rsidRDefault="00116A61" w:rsidP="00116A61">
      <w:pPr>
        <w:pStyle w:val="Bibliography"/>
      </w:pPr>
      <w:r w:rsidRPr="00116A61">
        <w:rPr>
          <w:lang w:val="en-US"/>
        </w:rPr>
        <w:t>114.</w:t>
      </w:r>
      <w:r w:rsidRPr="00116A61">
        <w:rPr>
          <w:lang w:val="en-US"/>
        </w:rPr>
        <w:tab/>
        <w:t xml:space="preserve">Bioactive Compounds in Anti-Diabetic Plants: From Herbal Medicine to Modern Drug Discovery - PMC [Internet]. </w:t>
      </w:r>
      <w:r>
        <w:t>[</w:t>
      </w:r>
      <w:proofErr w:type="gramStart"/>
      <w:r>
        <w:t>cité</w:t>
      </w:r>
      <w:proofErr w:type="gramEnd"/>
      <w:r>
        <w:t xml:space="preserve"> 14 mai 2026]. Disponible </w:t>
      </w:r>
      <w:proofErr w:type="gramStart"/>
      <w:r>
        <w:t>sur:</w:t>
      </w:r>
      <w:proofErr w:type="gramEnd"/>
      <w:r>
        <w:t xml:space="preserve"> https://pmc.ncbi.nlm.nih.gov/articles/PMC7563488/</w:t>
      </w:r>
    </w:p>
    <w:p w14:paraId="17B3456E" w14:textId="77777777" w:rsidR="00116A61" w:rsidRDefault="00116A61" w:rsidP="00116A61">
      <w:pPr>
        <w:pStyle w:val="Bibliography"/>
      </w:pPr>
      <w:r w:rsidRPr="00116A61">
        <w:rPr>
          <w:lang w:val="en-US"/>
        </w:rPr>
        <w:lastRenderedPageBreak/>
        <w:t>115.</w:t>
      </w:r>
      <w:r w:rsidRPr="00116A61">
        <w:rPr>
          <w:lang w:val="en-US"/>
        </w:rPr>
        <w:tab/>
        <w:t xml:space="preserve">Protective Role of Dietary Polyphenols in the Management and Treatment of Type 2 Diabetes Mellitus - PMC [Internet]. </w:t>
      </w:r>
      <w:r>
        <w:t>[</w:t>
      </w:r>
      <w:proofErr w:type="gramStart"/>
      <w:r>
        <w:t>cité</w:t>
      </w:r>
      <w:proofErr w:type="gramEnd"/>
      <w:r>
        <w:t xml:space="preserve"> 14 mai 2026]. Disponible </w:t>
      </w:r>
      <w:proofErr w:type="gramStart"/>
      <w:r>
        <w:t>sur:</w:t>
      </w:r>
      <w:proofErr w:type="gramEnd"/>
      <w:r>
        <w:t xml:space="preserve"> https://pmc.ncbi.nlm.nih.gov/articles/PMC11767469/</w:t>
      </w:r>
    </w:p>
    <w:p w14:paraId="537B59C3" w14:textId="77777777" w:rsidR="00116A61" w:rsidRDefault="00116A61" w:rsidP="00116A61">
      <w:pPr>
        <w:pStyle w:val="Bibliography"/>
      </w:pPr>
      <w:r w:rsidRPr="00116A61">
        <w:rPr>
          <w:lang w:val="en-US"/>
        </w:rPr>
        <w:t>116.</w:t>
      </w:r>
      <w:r w:rsidRPr="00116A61">
        <w:rPr>
          <w:lang w:val="en-US"/>
        </w:rPr>
        <w:tab/>
        <w:t xml:space="preserve">Hypoglycemic activity of polypeptide-p from a plant source - PubMed [Internet]. </w:t>
      </w:r>
      <w:r>
        <w:t>[</w:t>
      </w:r>
      <w:proofErr w:type="gramStart"/>
      <w:r>
        <w:t>cité</w:t>
      </w:r>
      <w:proofErr w:type="gramEnd"/>
      <w:r>
        <w:t xml:space="preserve"> 14 mai 2026]. Disponible </w:t>
      </w:r>
      <w:proofErr w:type="gramStart"/>
      <w:r>
        <w:t>sur:</w:t>
      </w:r>
      <w:proofErr w:type="gramEnd"/>
      <w:r>
        <w:t xml:space="preserve"> https://pubmed.ncbi.nlm.nih.gov/7334382/</w:t>
      </w:r>
    </w:p>
    <w:p w14:paraId="3E2F6EA6" w14:textId="77777777" w:rsidR="00116A61" w:rsidRDefault="00116A61" w:rsidP="00116A61">
      <w:pPr>
        <w:pStyle w:val="Bibliography"/>
      </w:pPr>
      <w:r>
        <w:t>117.</w:t>
      </w:r>
      <w:r>
        <w:tab/>
        <w:t>Frontiers in Pharmacology [Internet]. [</w:t>
      </w:r>
      <w:proofErr w:type="gramStart"/>
      <w:r>
        <w:t>cité</w:t>
      </w:r>
      <w:proofErr w:type="gramEnd"/>
      <w:r>
        <w:t xml:space="preserve"> 14 mai 2026]. Disponible </w:t>
      </w:r>
      <w:proofErr w:type="gramStart"/>
      <w:r>
        <w:t>sur:</w:t>
      </w:r>
      <w:proofErr w:type="gramEnd"/>
      <w:r>
        <w:t xml:space="preserve"> https://www.frontiersin.org/journals/pharmacology</w:t>
      </w:r>
    </w:p>
    <w:p w14:paraId="3CB4A3DB" w14:textId="77777777" w:rsidR="00116A61" w:rsidRPr="00116A61" w:rsidRDefault="00116A61" w:rsidP="00116A61">
      <w:pPr>
        <w:pStyle w:val="Bibliography"/>
        <w:rPr>
          <w:lang w:val="en-US"/>
        </w:rPr>
      </w:pPr>
      <w:r w:rsidRPr="00116A61">
        <w:rPr>
          <w:lang w:val="en-US"/>
        </w:rPr>
        <w:t>118.</w:t>
      </w:r>
      <w:r w:rsidRPr="00116A61">
        <w:rPr>
          <w:lang w:val="en-US"/>
        </w:rPr>
        <w:tab/>
        <w:t xml:space="preserve">Cheng Y, Yin X, Wang L, Wang J, Guo J, Wang J, et al. Nanocrystalline berberine is associated with improved antitumor activity of PD-1 blockade in ovarian cancer. Phytomedicine. juill </w:t>
      </w:r>
      <w:proofErr w:type="gramStart"/>
      <w:r w:rsidRPr="00116A61">
        <w:rPr>
          <w:lang w:val="en-US"/>
        </w:rPr>
        <w:t>2026;156:158179</w:t>
      </w:r>
      <w:proofErr w:type="gramEnd"/>
      <w:r w:rsidRPr="00116A61">
        <w:rPr>
          <w:lang w:val="en-US"/>
        </w:rPr>
        <w:t xml:space="preserve">. </w:t>
      </w:r>
      <w:proofErr w:type="gramStart"/>
      <w:r w:rsidRPr="00116A61">
        <w:rPr>
          <w:lang w:val="en-US"/>
        </w:rPr>
        <w:t>doi:10.1016/j.phymed</w:t>
      </w:r>
      <w:proofErr w:type="gramEnd"/>
      <w:r w:rsidRPr="00116A61">
        <w:rPr>
          <w:lang w:val="en-US"/>
        </w:rPr>
        <w:t>.2026.158179</w:t>
      </w:r>
    </w:p>
    <w:p w14:paraId="78FEE252" w14:textId="77777777" w:rsidR="00116A61" w:rsidRPr="00116A61" w:rsidRDefault="00116A61" w:rsidP="00116A61">
      <w:pPr>
        <w:pStyle w:val="Bibliography"/>
        <w:rPr>
          <w:lang w:val="en-US"/>
        </w:rPr>
      </w:pPr>
      <w:r w:rsidRPr="00116A61">
        <w:rPr>
          <w:lang w:val="en-US"/>
        </w:rPr>
        <w:t>119.</w:t>
      </w:r>
      <w:r w:rsidRPr="00116A61">
        <w:rPr>
          <w:lang w:val="en-US"/>
        </w:rPr>
        <w:tab/>
        <w:t>Marles RJ, Farnsworth NR. Antidiabetic plants and their active constituents. Phytomedicine. 1 oct 1995;2(2):137‑89. doi:10.1016/S0944-7113(11)80059-0</w:t>
      </w:r>
    </w:p>
    <w:p w14:paraId="653D54DB" w14:textId="77777777" w:rsidR="00116A61" w:rsidRPr="00116A61" w:rsidRDefault="00116A61" w:rsidP="00116A61">
      <w:pPr>
        <w:pStyle w:val="Bibliography"/>
        <w:rPr>
          <w:lang w:val="en-US"/>
        </w:rPr>
      </w:pPr>
      <w:r w:rsidRPr="00116A61">
        <w:rPr>
          <w:lang w:val="en-US"/>
        </w:rPr>
        <w:t>120.</w:t>
      </w:r>
      <w:r w:rsidRPr="00116A61">
        <w:rPr>
          <w:lang w:val="en-US"/>
        </w:rPr>
        <w:tab/>
        <w:t>Salehi B, Ata A, V. Anil Kumar N, Sharopov F, Ramírez-Alarcón K, Ruiz-Ortega A, et al. Antidiabetic Potential of Medicinal Plants and Their Active Components. Biomolecules. oct 2019;9(10):551. doi:10.3390/biom9100551</w:t>
      </w:r>
    </w:p>
    <w:p w14:paraId="7CED3324" w14:textId="77777777" w:rsidR="00116A61" w:rsidRPr="00116A61" w:rsidRDefault="00116A61" w:rsidP="00116A61">
      <w:pPr>
        <w:pStyle w:val="Bibliography"/>
        <w:rPr>
          <w:lang w:val="en-US"/>
        </w:rPr>
      </w:pPr>
      <w:r w:rsidRPr="00116A61">
        <w:rPr>
          <w:lang w:val="en-US"/>
        </w:rPr>
        <w:t>121.</w:t>
      </w:r>
      <w:r w:rsidRPr="00116A61">
        <w:rPr>
          <w:lang w:val="en-US"/>
        </w:rPr>
        <w:tab/>
        <w:t xml:space="preserve">Tahraoui A, El-Hilaly J, Israili ZH, Lyoussi B. Ethnopharmacological survey of plants used in the traditional treatment of hypertension and diabetes in south-eastern Morocco (Errachidia province). Journal of Ethnopharmacology. 1 </w:t>
      </w:r>
      <w:proofErr w:type="gramStart"/>
      <w:r w:rsidRPr="00116A61">
        <w:rPr>
          <w:lang w:val="en-US"/>
        </w:rPr>
        <w:t>mars</w:t>
      </w:r>
      <w:proofErr w:type="gramEnd"/>
      <w:r w:rsidRPr="00116A61">
        <w:rPr>
          <w:lang w:val="en-US"/>
        </w:rPr>
        <w:t xml:space="preserve"> 2007;110(1):105‑17. </w:t>
      </w:r>
      <w:proofErr w:type="gramStart"/>
      <w:r w:rsidRPr="00116A61">
        <w:rPr>
          <w:lang w:val="en-US"/>
        </w:rPr>
        <w:t>doi:10.1016/j.jep</w:t>
      </w:r>
      <w:proofErr w:type="gramEnd"/>
      <w:r w:rsidRPr="00116A61">
        <w:rPr>
          <w:lang w:val="en-US"/>
        </w:rPr>
        <w:t>.2006.09.011</w:t>
      </w:r>
    </w:p>
    <w:p w14:paraId="32CFE743" w14:textId="77777777" w:rsidR="00116A61" w:rsidRDefault="00116A61" w:rsidP="00116A61">
      <w:pPr>
        <w:pStyle w:val="Bibliography"/>
      </w:pPr>
      <w:r w:rsidRPr="00116A61">
        <w:rPr>
          <w:lang w:val="en-US"/>
        </w:rPr>
        <w:t>122.</w:t>
      </w:r>
      <w:r w:rsidRPr="00116A61">
        <w:rPr>
          <w:lang w:val="en-US"/>
        </w:rPr>
        <w:tab/>
        <w:t xml:space="preserve">Medicinal Plants and Phytomedicines. Linking Plant Biochemistry and Physiology to Human Health | Plant Physiology | Oxford Academic [Internet]. </w:t>
      </w:r>
      <w:r>
        <w:t>[</w:t>
      </w:r>
      <w:proofErr w:type="gramStart"/>
      <w:r>
        <w:t>cité</w:t>
      </w:r>
      <w:proofErr w:type="gramEnd"/>
      <w:r>
        <w:t xml:space="preserve"> 15 juill 2026]. Disponible </w:t>
      </w:r>
      <w:proofErr w:type="gramStart"/>
      <w:r>
        <w:t>sur:</w:t>
      </w:r>
      <w:proofErr w:type="gramEnd"/>
      <w:r>
        <w:t xml:space="preserve"> https://academic.oup.com/plphys/article-abstract/124/2/507/6098853?redirectedFrom=fulltext</w:t>
      </w:r>
    </w:p>
    <w:p w14:paraId="6CE7C07E" w14:textId="77777777" w:rsidR="00116A61" w:rsidRDefault="00116A61" w:rsidP="00116A61">
      <w:pPr>
        <w:pStyle w:val="Bibliography"/>
      </w:pPr>
      <w:r w:rsidRPr="00116A61">
        <w:rPr>
          <w:lang w:val="en-US"/>
        </w:rPr>
        <w:t>123.</w:t>
      </w:r>
      <w:r w:rsidRPr="00116A61">
        <w:rPr>
          <w:lang w:val="en-US"/>
        </w:rPr>
        <w:tab/>
        <w:t xml:space="preserve">Ansari P, Samia JF, Khan JT, Rafi MR, Rahman MS, Rahman AB, et al. Protective Effects of Medicinal Plant-Based Foods against Diabetes: A Review on Pharmacology, Phytochemistry, and Molecular Mechanisms. </w:t>
      </w:r>
      <w:r>
        <w:t xml:space="preserve">Nutrients. </w:t>
      </w:r>
      <w:proofErr w:type="gramStart"/>
      <w:r>
        <w:t>janv</w:t>
      </w:r>
      <w:proofErr w:type="gramEnd"/>
      <w:r>
        <w:t xml:space="preserve"> 2023;15(14):3266. </w:t>
      </w:r>
      <w:proofErr w:type="gramStart"/>
      <w:r>
        <w:t>doi:</w:t>
      </w:r>
      <w:proofErr w:type="gramEnd"/>
      <w:r>
        <w:t>10.3390/nu15143266</w:t>
      </w:r>
    </w:p>
    <w:p w14:paraId="11D082BC" w14:textId="77777777" w:rsidR="00116A61" w:rsidRDefault="00116A61" w:rsidP="00116A61">
      <w:pPr>
        <w:pStyle w:val="Bibliography"/>
      </w:pPr>
      <w:r>
        <w:t>124.</w:t>
      </w:r>
      <w:r>
        <w:tab/>
        <w:t>Masson E. EM-Consulte [Internet]. [</w:t>
      </w:r>
      <w:proofErr w:type="gramStart"/>
      <w:r>
        <w:t>cité</w:t>
      </w:r>
      <w:proofErr w:type="gramEnd"/>
      <w:r>
        <w:t xml:space="preserve"> 14 mai 2026]. Utilisation des plantes hypoglycémiantes dans le traitement du diabète. Disponible </w:t>
      </w:r>
      <w:proofErr w:type="gramStart"/>
      <w:r>
        <w:t>sur:</w:t>
      </w:r>
      <w:proofErr w:type="gramEnd"/>
      <w:r>
        <w:t xml:space="preserve"> https://www.em-consulte.com/article/930398/utilisation-des-plantes-hypoglycemiantes-dans-le-t</w:t>
      </w:r>
    </w:p>
    <w:p w14:paraId="07341B93" w14:textId="77777777" w:rsidR="00116A61" w:rsidRDefault="00116A61" w:rsidP="00116A61">
      <w:pPr>
        <w:pStyle w:val="Bibliography"/>
      </w:pPr>
      <w:r>
        <w:t>125.</w:t>
      </w:r>
      <w:r>
        <w:tab/>
        <w:t xml:space="preserve">Etamé Loé G, Ngoule C, Mbome B, Pouka C, Ngene JP, Yinyang J, et al. Contribution a l’étude des plantes médicinales et leurs utilisations traditionnelles dans le département du Lom et Djerem (Est, Cameroun). Journal of Animal and Plant Sciences. 1 janv </w:t>
      </w:r>
      <w:proofErr w:type="gramStart"/>
      <w:r>
        <w:t>2018;</w:t>
      </w:r>
      <w:proofErr w:type="gramEnd"/>
      <w:r>
        <w:t>35.</w:t>
      </w:r>
    </w:p>
    <w:p w14:paraId="75128F7F" w14:textId="77777777" w:rsidR="00116A61" w:rsidRDefault="00116A61" w:rsidP="00116A61">
      <w:pPr>
        <w:pStyle w:val="Bibliography"/>
      </w:pPr>
      <w:r>
        <w:t>126.</w:t>
      </w:r>
      <w:r>
        <w:tab/>
        <w:t>Enquête ethnobotanique des plantes médicinales antidiabétiques utilisées par la population de la région de Tlemcen [Internet]. [</w:t>
      </w:r>
      <w:proofErr w:type="gramStart"/>
      <w:r>
        <w:t>cité</w:t>
      </w:r>
      <w:proofErr w:type="gramEnd"/>
      <w:r>
        <w:t xml:space="preserve"> 14 mai 2026]. Disponible </w:t>
      </w:r>
      <w:proofErr w:type="gramStart"/>
      <w:r>
        <w:t>sur:</w:t>
      </w:r>
      <w:proofErr w:type="gramEnd"/>
      <w:r>
        <w:t xml:space="preserve"> https://dspace.univ-tlemcen.dz/items/e80fcf01-3a02-47d4-bad5-c4f607dbd145</w:t>
      </w:r>
    </w:p>
    <w:p w14:paraId="6417E4B5" w14:textId="77777777" w:rsidR="00116A61" w:rsidRDefault="00116A61" w:rsidP="00116A61">
      <w:pPr>
        <w:pStyle w:val="Bibliography"/>
      </w:pPr>
      <w:r w:rsidRPr="00116A61">
        <w:rPr>
          <w:lang w:val="en-US"/>
        </w:rPr>
        <w:lastRenderedPageBreak/>
        <w:t>127.</w:t>
      </w:r>
      <w:r w:rsidRPr="00116A61">
        <w:rPr>
          <w:lang w:val="en-US"/>
        </w:rPr>
        <w:tab/>
        <w:t xml:space="preserve">Härtel U, Volger E. [Use and acceptance of classical natural and alternative medicine in Germany--findings of a representative population-based survey]. </w:t>
      </w:r>
      <w:r>
        <w:t xml:space="preserve">Forsch Komplementarmed Klass Naturheilkd. </w:t>
      </w:r>
      <w:proofErr w:type="gramStart"/>
      <w:r>
        <w:t>déc</w:t>
      </w:r>
      <w:proofErr w:type="gramEnd"/>
      <w:r>
        <w:t xml:space="preserve"> 2004;11(6):327‑34. </w:t>
      </w:r>
      <w:proofErr w:type="gramStart"/>
      <w:r>
        <w:t>doi:</w:t>
      </w:r>
      <w:proofErr w:type="gramEnd"/>
      <w:r>
        <w:t>10.1159/000082814 PubMed PMID: 15604623.</w:t>
      </w:r>
    </w:p>
    <w:p w14:paraId="151FDDF5" w14:textId="43131413" w:rsidR="007C4445" w:rsidRDefault="00784D29" w:rsidP="00F3578C">
      <w:pPr>
        <w:rPr>
          <w:lang w:val="fr-FR"/>
        </w:rPr>
      </w:pPr>
      <w:r>
        <w:rPr>
          <w:lang w:val="fr-FR"/>
        </w:rPr>
        <w:fldChar w:fldCharType="end"/>
      </w:r>
    </w:p>
    <w:p w14:paraId="05FB61F8" w14:textId="77777777" w:rsidR="007C4445" w:rsidRDefault="007C4445" w:rsidP="00B139C3">
      <w:pPr>
        <w:rPr>
          <w:lang w:val="fr-FR"/>
        </w:rPr>
      </w:pPr>
      <w:r>
        <w:rPr>
          <w:lang w:val="fr-FR"/>
        </w:rPr>
        <w:br w:type="page"/>
      </w:r>
    </w:p>
    <w:p w14:paraId="745761A9" w14:textId="5F69B40E" w:rsidR="007C4445" w:rsidRDefault="007C4445" w:rsidP="00B139C3">
      <w:pPr>
        <w:rPr>
          <w:rFonts w:eastAsiaTheme="majorEastAsia"/>
          <w:color w:val="1F4E79" w:themeColor="accent1" w:themeShade="80"/>
          <w:sz w:val="32"/>
          <w:szCs w:val="28"/>
          <w:lang w:val="fr-FR"/>
        </w:rPr>
      </w:pPr>
      <w:r>
        <w:rPr>
          <w:noProof/>
          <w:lang w:val="fr-FR" w:eastAsia="fr-FR"/>
        </w:rPr>
        <w:lastRenderedPageBreak/>
        <mc:AlternateContent>
          <mc:Choice Requires="wps">
            <w:drawing>
              <wp:anchor distT="0" distB="0" distL="114300" distR="114300" simplePos="0" relativeHeight="251660288" behindDoc="0" locked="0" layoutInCell="1" allowOverlap="1" wp14:anchorId="752D70EC" wp14:editId="48045B9D">
                <wp:simplePos x="0" y="0"/>
                <wp:positionH relativeFrom="margin">
                  <wp:align>center</wp:align>
                </wp:positionH>
                <wp:positionV relativeFrom="paragraph">
                  <wp:posOffset>2312945</wp:posOffset>
                </wp:positionV>
                <wp:extent cx="4797188" cy="3582537"/>
                <wp:effectExtent l="0" t="0" r="22860" b="18415"/>
                <wp:wrapNone/>
                <wp:docPr id="40" name="Snip Diagonal Corner Rectangle 40"/>
                <wp:cNvGraphicFramePr/>
                <a:graphic xmlns:a="http://schemas.openxmlformats.org/drawingml/2006/main">
                  <a:graphicData uri="http://schemas.microsoft.com/office/word/2010/wordprocessingShape">
                    <wps:wsp>
                      <wps:cNvSpPr/>
                      <wps:spPr>
                        <a:xfrm>
                          <a:off x="0" y="0"/>
                          <a:ext cx="4797188" cy="3582537"/>
                        </a:xfrm>
                        <a:prstGeom prst="snip2DiagRect">
                          <a:avLst/>
                        </a:prstGeom>
                      </wps:spPr>
                      <wps:style>
                        <a:lnRef idx="2">
                          <a:schemeClr val="dk1"/>
                        </a:lnRef>
                        <a:fillRef idx="1">
                          <a:schemeClr val="lt1"/>
                        </a:fillRef>
                        <a:effectRef idx="0">
                          <a:schemeClr val="dk1"/>
                        </a:effectRef>
                        <a:fontRef idx="minor">
                          <a:schemeClr val="dk1"/>
                        </a:fontRef>
                      </wps:style>
                      <wps:txbx>
                        <w:txbxContent>
                          <w:p w14:paraId="4B670B50" w14:textId="2297CE2B" w:rsidR="00F568F0" w:rsidRPr="007C4445" w:rsidRDefault="00F568F0" w:rsidP="006117AA">
                            <w:pPr>
                              <w:jc w:val="center"/>
                              <w:outlineLvl w:val="0"/>
                              <w:rPr>
                                <w:rFonts w:cstheme="majorBidi"/>
                                <w:b/>
                                <w:bCs/>
                                <w:sz w:val="96"/>
                                <w:szCs w:val="96"/>
                                <w:lang w:val="fr-FR"/>
                              </w:rPr>
                            </w:pPr>
                            <w:bookmarkStart w:id="234" w:name="_Toc229618854"/>
                            <w:r w:rsidRPr="007C4445">
                              <w:rPr>
                                <w:rFonts w:cstheme="majorBidi"/>
                                <w:b/>
                                <w:bCs/>
                                <w:sz w:val="96"/>
                                <w:szCs w:val="96"/>
                                <w:lang w:val="fr-FR"/>
                              </w:rPr>
                              <w:t>Annexes</w:t>
                            </w:r>
                            <w:bookmarkEnd w:id="23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D70EC" id="Snip Diagonal Corner Rectangle 40" o:spid="_x0000_s1036" style="position:absolute;margin-left:0;margin-top:182.1pt;width:377.75pt;height:282.1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797188,358253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" adj="-11796480,,5400" path="m,l4200087,r597101,597101l4797188,3582537r,l597101,3582537,,2985436,,xe" fillcolor="white [3201]" strokecolor="black [3200]" strokeweight="1pt">
                <v:stroke joinstyle="miter"/>
                <v:formulas/>
                <v:path arrowok="t" o:connecttype="custom" o:connectlocs="0,0;4200087,0;4797188,597101;4797188,3582537;4797188,3582537;597101,3582537;0,2985436;0,0" o:connectangles="0,0,0,0,0,0,0,0" textboxrect="0,0,4797188,3582537"/>
                <v:textbox>
                  <w:txbxContent>
                    <w:p w14:paraId="4B670B50" w14:textId="2297CE2B" w:rsidR="00F568F0" w:rsidRPr="007C4445" w:rsidRDefault="00F568F0" w:rsidP="006117AA">
                      <w:pPr>
                        <w:jc w:val="center"/>
                        <w:outlineLvl w:val="0"/>
                        <w:rPr>
                          <w:rFonts w:cstheme="majorBidi"/>
                          <w:b/>
                          <w:bCs/>
                          <w:sz w:val="96"/>
                          <w:szCs w:val="96"/>
                          <w:lang w:val="fr-FR"/>
                        </w:rPr>
                      </w:pPr>
                      <w:bookmarkStart w:id="243" w:name="_Toc229618854"/>
                      <w:r w:rsidRPr="007C4445">
                        <w:rPr>
                          <w:rFonts w:cstheme="majorBidi"/>
                          <w:b/>
                          <w:bCs/>
                          <w:sz w:val="96"/>
                          <w:szCs w:val="96"/>
                          <w:lang w:val="fr-FR"/>
                        </w:rPr>
                        <w:t>Annexes</w:t>
                      </w:r>
                      <w:bookmarkEnd w:id="243"/>
                    </w:p>
                  </w:txbxContent>
                </v:textbox>
                <w10:wrap anchorx="margin"/>
              </v:shape>
            </w:pict>
          </mc:Fallback>
        </mc:AlternateContent>
      </w:r>
      <w:r w:rsidRPr="00CB543A">
        <w:rPr>
          <w:lang w:val="fr-FR"/>
        </w:rPr>
        <w:br w:type="page"/>
      </w:r>
    </w:p>
    <w:p w14:paraId="0ECC9193" w14:textId="0B5C7093" w:rsidR="007C4445" w:rsidRPr="00CB543A" w:rsidRDefault="007C4445" w:rsidP="00B139C3">
      <w:pPr>
        <w:rPr>
          <w:b/>
          <w:bCs/>
          <w:sz w:val="32"/>
          <w:szCs w:val="28"/>
          <w:lang w:val="fr-FR"/>
        </w:rPr>
      </w:pPr>
      <w:proofErr w:type="gramStart"/>
      <w:r w:rsidRPr="00CB543A">
        <w:rPr>
          <w:b/>
          <w:bCs/>
          <w:sz w:val="32"/>
          <w:szCs w:val="28"/>
          <w:lang w:val="fr-FR"/>
        </w:rPr>
        <w:lastRenderedPageBreak/>
        <w:t>la</w:t>
      </w:r>
      <w:proofErr w:type="gramEnd"/>
      <w:r w:rsidRPr="00CB543A">
        <w:rPr>
          <w:b/>
          <w:bCs/>
          <w:sz w:val="32"/>
          <w:szCs w:val="28"/>
          <w:lang w:val="fr-FR"/>
        </w:rPr>
        <w:t xml:space="preserve"> fiche technique</w:t>
      </w:r>
    </w:p>
    <w:p w14:paraId="58F97A62" w14:textId="77777777" w:rsidR="007C4445" w:rsidRPr="007C4445" w:rsidRDefault="007C4445" w:rsidP="00B139C3">
      <w:pPr>
        <w:rPr>
          <w:lang w:val="fr-FR"/>
        </w:rPr>
      </w:pPr>
      <w:r w:rsidRPr="007C4445">
        <w:rPr>
          <w:lang w:val="fr-FR"/>
        </w:rPr>
        <w:t>Les données socio-démographiques :</w:t>
      </w:r>
    </w:p>
    <w:p w14:paraId="75D8F477" w14:textId="77777777" w:rsidR="007C4445" w:rsidRPr="007C4445" w:rsidRDefault="007C4445" w:rsidP="00B139C3">
      <w:pPr>
        <w:rPr>
          <w:lang w:val="fr-FR"/>
        </w:rPr>
      </w:pPr>
      <w:r w:rsidRPr="007C4445">
        <w:rPr>
          <w:lang w:val="fr-FR"/>
        </w:rPr>
        <w:t>1</w:t>
      </w:r>
      <w:r w:rsidRPr="007C4445">
        <w:rPr>
          <w:rFonts w:cs="Times New Roman" w:hint="cs"/>
          <w:rtl/>
          <w:lang w:val="fr-FR"/>
        </w:rPr>
        <w:t>ـ</w:t>
      </w:r>
      <w:r w:rsidRPr="007C4445">
        <w:rPr>
          <w:lang w:val="fr-FR"/>
        </w:rPr>
        <w:t xml:space="preserve">le </w:t>
      </w:r>
      <w:proofErr w:type="gramStart"/>
      <w:r w:rsidRPr="007C4445">
        <w:rPr>
          <w:lang w:val="fr-FR"/>
        </w:rPr>
        <w:t>nom:</w:t>
      </w:r>
      <w:proofErr w:type="gramEnd"/>
    </w:p>
    <w:p w14:paraId="1F276488" w14:textId="77777777" w:rsidR="007C4445" w:rsidRPr="007C4445" w:rsidRDefault="007C4445" w:rsidP="00B139C3">
      <w:pPr>
        <w:rPr>
          <w:lang w:val="fr-FR"/>
        </w:rPr>
      </w:pPr>
      <w:r w:rsidRPr="007C4445">
        <w:rPr>
          <w:lang w:val="fr-FR"/>
        </w:rPr>
        <w:t>2</w:t>
      </w:r>
      <w:r w:rsidRPr="007C4445">
        <w:rPr>
          <w:rFonts w:cs="Times New Roman" w:hint="cs"/>
          <w:rtl/>
          <w:lang w:val="fr-FR"/>
        </w:rPr>
        <w:t>ـ</w:t>
      </w:r>
      <w:r w:rsidRPr="007C4445">
        <w:rPr>
          <w:lang w:val="fr-FR"/>
        </w:rPr>
        <w:t>le prénom :</w:t>
      </w:r>
    </w:p>
    <w:p w14:paraId="45486D14" w14:textId="77777777" w:rsidR="007C4445" w:rsidRPr="007C4445" w:rsidRDefault="007C4445" w:rsidP="00B139C3">
      <w:pPr>
        <w:rPr>
          <w:lang w:val="fr-FR"/>
        </w:rPr>
      </w:pPr>
      <w:r w:rsidRPr="007C4445">
        <w:rPr>
          <w:lang w:val="fr-FR"/>
        </w:rPr>
        <w:t>3</w:t>
      </w:r>
      <w:r w:rsidRPr="007C4445">
        <w:rPr>
          <w:rFonts w:cs="Times New Roman" w:hint="cs"/>
          <w:rtl/>
          <w:lang w:val="fr-FR"/>
        </w:rPr>
        <w:t>ـ</w:t>
      </w:r>
      <w:r w:rsidRPr="007C4445">
        <w:rPr>
          <w:lang w:val="fr-FR"/>
        </w:rPr>
        <w:t>l'àge :</w:t>
      </w:r>
    </w:p>
    <w:p w14:paraId="068D7089" w14:textId="77777777" w:rsidR="007C4445" w:rsidRPr="007C4445" w:rsidRDefault="007C4445" w:rsidP="00B139C3">
      <w:pPr>
        <w:rPr>
          <w:lang w:val="fr-FR"/>
        </w:rPr>
      </w:pPr>
      <w:r w:rsidRPr="007C4445">
        <w:rPr>
          <w:lang w:val="fr-FR"/>
        </w:rPr>
        <w:t>4</w:t>
      </w:r>
      <w:r w:rsidRPr="007C4445">
        <w:rPr>
          <w:rFonts w:cs="Times New Roman" w:hint="cs"/>
          <w:rtl/>
          <w:lang w:val="fr-FR"/>
        </w:rPr>
        <w:t>ـ</w:t>
      </w:r>
      <w:r w:rsidRPr="007C4445">
        <w:rPr>
          <w:lang w:val="fr-FR"/>
        </w:rPr>
        <w:t xml:space="preserve">le sexe :           </w:t>
      </w:r>
      <w:r w:rsidRPr="007C4445">
        <w:rPr>
          <w:lang w:val="fr-FR"/>
        </w:rPr>
        <w:t xml:space="preserve"> H           </w:t>
      </w:r>
      <w:r w:rsidRPr="007C4445">
        <w:rPr>
          <w:lang w:val="fr-FR"/>
        </w:rPr>
        <w:t> F</w:t>
      </w:r>
    </w:p>
    <w:p w14:paraId="7B22EA31" w14:textId="77777777" w:rsidR="007C4445" w:rsidRPr="007C4445" w:rsidRDefault="007C4445" w:rsidP="00B139C3">
      <w:pPr>
        <w:rPr>
          <w:lang w:val="fr-FR"/>
        </w:rPr>
      </w:pPr>
      <w:r w:rsidRPr="007C4445">
        <w:rPr>
          <w:lang w:val="fr-FR"/>
        </w:rPr>
        <w:t>5</w:t>
      </w:r>
      <w:r w:rsidRPr="007C4445">
        <w:rPr>
          <w:rFonts w:cs="Times New Roman" w:hint="cs"/>
          <w:rtl/>
          <w:lang w:val="fr-FR"/>
        </w:rPr>
        <w:t>ـ</w:t>
      </w:r>
      <w:r w:rsidRPr="007C4445">
        <w:rPr>
          <w:lang w:val="fr-FR"/>
        </w:rPr>
        <w:t>la profession :</w:t>
      </w:r>
    </w:p>
    <w:p w14:paraId="057F635F" w14:textId="77777777" w:rsidR="007C4445" w:rsidRPr="007C4445" w:rsidRDefault="007C4445" w:rsidP="00B139C3">
      <w:pPr>
        <w:rPr>
          <w:lang w:val="fr-FR"/>
        </w:rPr>
      </w:pPr>
      <w:r w:rsidRPr="007C4445">
        <w:rPr>
          <w:lang w:val="fr-FR"/>
        </w:rPr>
        <w:t>6</w:t>
      </w:r>
      <w:r w:rsidRPr="007C4445">
        <w:rPr>
          <w:rFonts w:cs="Times New Roman" w:hint="cs"/>
          <w:rtl/>
          <w:lang w:val="fr-FR"/>
        </w:rPr>
        <w:t>ـ</w:t>
      </w:r>
      <w:r w:rsidRPr="007C4445">
        <w:rPr>
          <w:lang w:val="fr-FR"/>
        </w:rPr>
        <w:t xml:space="preserve">situation </w:t>
      </w:r>
      <w:proofErr w:type="gramStart"/>
      <w:r w:rsidRPr="007C4445">
        <w:rPr>
          <w:lang w:val="fr-FR"/>
        </w:rPr>
        <w:t>familiale:</w:t>
      </w:r>
      <w:proofErr w:type="gramEnd"/>
    </w:p>
    <w:p w14:paraId="0313F9E0" w14:textId="77777777" w:rsidR="007C4445" w:rsidRPr="007C4445" w:rsidRDefault="007C4445" w:rsidP="00B139C3">
      <w:pPr>
        <w:rPr>
          <w:lang w:val="fr-FR"/>
        </w:rPr>
      </w:pPr>
      <w:r w:rsidRPr="007C4445">
        <w:rPr>
          <w:lang w:val="fr-FR"/>
        </w:rPr>
        <w:t>7</w:t>
      </w:r>
      <w:r w:rsidRPr="007C4445">
        <w:rPr>
          <w:rFonts w:cs="Times New Roman" w:hint="cs"/>
          <w:rtl/>
          <w:lang w:val="fr-FR"/>
        </w:rPr>
        <w:t>ـ</w:t>
      </w:r>
      <w:r w:rsidRPr="007C4445">
        <w:rPr>
          <w:lang w:val="fr-FR"/>
        </w:rPr>
        <w:t>le niveau d'instruction :</w:t>
      </w:r>
    </w:p>
    <w:p w14:paraId="3065A8FE" w14:textId="77777777" w:rsidR="007C4445" w:rsidRPr="007C4445" w:rsidRDefault="007C4445" w:rsidP="00B139C3">
      <w:pPr>
        <w:rPr>
          <w:lang w:val="fr-FR"/>
        </w:rPr>
      </w:pPr>
      <w:r w:rsidRPr="007C4445">
        <w:rPr>
          <w:lang w:val="fr-FR"/>
        </w:rPr>
        <w:t xml:space="preserve">analphabète              </w:t>
      </w:r>
      <w:r w:rsidRPr="007C4445">
        <w:rPr>
          <w:lang w:val="fr-FR"/>
        </w:rPr>
        <w:t xml:space="preserve">primaire                  </w:t>
      </w:r>
      <w:r w:rsidRPr="007C4445">
        <w:rPr>
          <w:lang w:val="fr-FR"/>
        </w:rPr>
        <w:t xml:space="preserve">secondaire      </w:t>
      </w:r>
    </w:p>
    <w:p w14:paraId="4710EEF8" w14:textId="77777777" w:rsidR="007C4445" w:rsidRPr="007C4445" w:rsidRDefault="007C4445" w:rsidP="00B139C3">
      <w:pPr>
        <w:rPr>
          <w:lang w:val="fr-FR"/>
        </w:rPr>
      </w:pPr>
      <w:r w:rsidRPr="007C4445">
        <w:rPr>
          <w:lang w:val="fr-FR"/>
        </w:rPr>
        <w:t xml:space="preserve">lycée                   </w:t>
      </w:r>
      <w:r w:rsidRPr="007C4445">
        <w:rPr>
          <w:lang w:val="fr-FR"/>
        </w:rPr>
        <w:t xml:space="preserve">univairsitaire </w:t>
      </w:r>
    </w:p>
    <w:p w14:paraId="6FAC70A4" w14:textId="77777777" w:rsidR="007C4445" w:rsidRPr="007C4445" w:rsidRDefault="007C4445" w:rsidP="00B139C3">
      <w:pPr>
        <w:rPr>
          <w:lang w:val="fr-FR"/>
        </w:rPr>
      </w:pPr>
      <w:r w:rsidRPr="007C4445">
        <w:rPr>
          <w:lang w:val="fr-FR"/>
        </w:rPr>
        <w:t>8</w:t>
      </w:r>
      <w:r w:rsidRPr="007C4445">
        <w:rPr>
          <w:rFonts w:cs="Times New Roman" w:hint="cs"/>
          <w:rtl/>
          <w:lang w:val="fr-FR"/>
        </w:rPr>
        <w:t>ـ</w:t>
      </w:r>
      <w:r w:rsidRPr="007C4445">
        <w:rPr>
          <w:lang w:val="fr-FR"/>
        </w:rPr>
        <w:t>le niveau socio-économique :</w:t>
      </w:r>
    </w:p>
    <w:p w14:paraId="456A2788" w14:textId="77777777" w:rsidR="007C4445" w:rsidRPr="007C4445" w:rsidRDefault="007C4445" w:rsidP="00B139C3">
      <w:pPr>
        <w:rPr>
          <w:lang w:val="fr-FR"/>
        </w:rPr>
      </w:pPr>
      <w:r w:rsidRPr="007C4445">
        <w:rPr>
          <w:lang w:val="fr-FR"/>
        </w:rPr>
        <w:t xml:space="preserve">bas                      </w:t>
      </w:r>
      <w:r w:rsidRPr="007C4445">
        <w:rPr>
          <w:lang w:val="fr-FR"/>
        </w:rPr>
        <w:t xml:space="preserve">moyen                </w:t>
      </w:r>
      <w:r w:rsidRPr="007C4445">
        <w:rPr>
          <w:lang w:val="fr-FR"/>
        </w:rPr>
        <w:t xml:space="preserve">bon </w:t>
      </w:r>
    </w:p>
    <w:p w14:paraId="147B723D" w14:textId="77777777" w:rsidR="007C4445" w:rsidRPr="007C4445" w:rsidRDefault="007C4445" w:rsidP="00B139C3">
      <w:pPr>
        <w:rPr>
          <w:lang w:val="fr-FR"/>
        </w:rPr>
      </w:pPr>
      <w:r w:rsidRPr="007C4445">
        <w:rPr>
          <w:lang w:val="fr-FR"/>
        </w:rPr>
        <w:t>9</w:t>
      </w:r>
      <w:r w:rsidRPr="007C4445">
        <w:rPr>
          <w:rFonts w:cs="Times New Roman" w:hint="cs"/>
          <w:rtl/>
          <w:lang w:val="fr-FR"/>
        </w:rPr>
        <w:t>ـ</w:t>
      </w:r>
      <w:r w:rsidRPr="007C4445">
        <w:rPr>
          <w:lang w:val="fr-FR"/>
        </w:rPr>
        <w:t>zone de résidence :</w:t>
      </w:r>
    </w:p>
    <w:p w14:paraId="5EDA3BDD" w14:textId="77777777" w:rsidR="007C4445" w:rsidRPr="007C4445" w:rsidRDefault="007C4445" w:rsidP="00B139C3">
      <w:pPr>
        <w:rPr>
          <w:lang w:val="fr-FR"/>
        </w:rPr>
      </w:pPr>
      <w:r w:rsidRPr="007C4445">
        <w:rPr>
          <w:lang w:val="fr-FR"/>
        </w:rPr>
        <w:t xml:space="preserve">urbaine                     </w:t>
      </w:r>
      <w:r w:rsidRPr="007C4445">
        <w:rPr>
          <w:lang w:val="fr-FR"/>
        </w:rPr>
        <w:t xml:space="preserve">rurale </w:t>
      </w:r>
    </w:p>
    <w:p w14:paraId="753785D8" w14:textId="77777777" w:rsidR="007C4445" w:rsidRPr="007C4445" w:rsidRDefault="007C4445" w:rsidP="00B139C3">
      <w:pPr>
        <w:rPr>
          <w:lang w:val="fr-FR"/>
        </w:rPr>
      </w:pPr>
      <w:r w:rsidRPr="007C4445">
        <w:rPr>
          <w:lang w:val="fr-FR"/>
        </w:rPr>
        <w:t>Les données médicales :</w:t>
      </w:r>
    </w:p>
    <w:p w14:paraId="6E169345" w14:textId="77777777" w:rsidR="007C4445" w:rsidRPr="007C4445" w:rsidRDefault="007C4445" w:rsidP="00B139C3">
      <w:pPr>
        <w:rPr>
          <w:lang w:val="fr-FR"/>
        </w:rPr>
      </w:pPr>
      <w:r w:rsidRPr="007C4445">
        <w:rPr>
          <w:lang w:val="fr-FR"/>
        </w:rPr>
        <w:t xml:space="preserve">1-le poids :             la taille :              </w:t>
      </w:r>
      <w:proofErr w:type="gramStart"/>
      <w:r w:rsidRPr="007C4445">
        <w:rPr>
          <w:lang w:val="fr-FR"/>
        </w:rPr>
        <w:t>BMI:</w:t>
      </w:r>
      <w:proofErr w:type="gramEnd"/>
      <w:r w:rsidRPr="007C4445">
        <w:rPr>
          <w:lang w:val="fr-FR"/>
        </w:rPr>
        <w:t xml:space="preserve">              tours de taille :</w:t>
      </w:r>
    </w:p>
    <w:p w14:paraId="731CBC2B" w14:textId="77777777" w:rsidR="007C4445" w:rsidRPr="007C4445" w:rsidRDefault="007C4445" w:rsidP="00B139C3">
      <w:pPr>
        <w:rPr>
          <w:lang w:val="fr-FR"/>
        </w:rPr>
      </w:pPr>
      <w:r w:rsidRPr="007C4445">
        <w:rPr>
          <w:lang w:val="fr-FR"/>
        </w:rPr>
        <w:t>2</w:t>
      </w:r>
      <w:r w:rsidRPr="007C4445">
        <w:rPr>
          <w:rFonts w:cs="Times New Roman" w:hint="cs"/>
          <w:rtl/>
          <w:lang w:val="fr-FR"/>
        </w:rPr>
        <w:t>ـ</w:t>
      </w:r>
      <w:r w:rsidRPr="007C4445">
        <w:rPr>
          <w:lang w:val="fr-FR"/>
        </w:rPr>
        <w:t xml:space="preserve">la durée du diabète : </w:t>
      </w:r>
    </w:p>
    <w:p w14:paraId="306BB270" w14:textId="77777777" w:rsidR="007C4445" w:rsidRPr="007C4445" w:rsidRDefault="007C4445" w:rsidP="00B139C3">
      <w:pPr>
        <w:rPr>
          <w:lang w:val="fr-FR"/>
        </w:rPr>
      </w:pPr>
      <w:r w:rsidRPr="007C4445">
        <w:rPr>
          <w:lang w:val="fr-FR"/>
        </w:rPr>
        <w:t>3</w:t>
      </w:r>
      <w:r w:rsidRPr="007C4445">
        <w:rPr>
          <w:rFonts w:cs="Times New Roman" w:hint="cs"/>
          <w:rtl/>
          <w:lang w:val="fr-FR"/>
        </w:rPr>
        <w:t>ـ</w:t>
      </w:r>
      <w:r w:rsidRPr="007C4445">
        <w:rPr>
          <w:lang w:val="fr-FR"/>
        </w:rPr>
        <w:t xml:space="preserve">le traitement : </w:t>
      </w:r>
    </w:p>
    <w:p w14:paraId="2EA92D0F" w14:textId="77777777" w:rsidR="007C4445" w:rsidRPr="007C4445" w:rsidRDefault="007C4445" w:rsidP="00B139C3">
      <w:pPr>
        <w:rPr>
          <w:lang w:val="fr-FR"/>
        </w:rPr>
      </w:pPr>
      <w:r w:rsidRPr="007C4445">
        <w:rPr>
          <w:lang w:val="fr-FR"/>
        </w:rPr>
        <w:t xml:space="preserve">ADO         </w:t>
      </w:r>
      <w:r w:rsidRPr="007C4445">
        <w:rPr>
          <w:lang w:val="fr-FR"/>
        </w:rPr>
        <w:t xml:space="preserve">insuline         </w:t>
      </w:r>
      <w:r w:rsidRPr="007C4445">
        <w:rPr>
          <w:lang w:val="fr-FR"/>
        </w:rPr>
        <w:t xml:space="preserve">les deux          </w:t>
      </w:r>
      <w:r w:rsidRPr="007C4445">
        <w:rPr>
          <w:lang w:val="fr-FR"/>
        </w:rPr>
        <w:t xml:space="preserve">régime alimentaire seule         </w:t>
      </w:r>
      <w:r w:rsidRPr="007C4445">
        <w:rPr>
          <w:lang w:val="fr-FR"/>
        </w:rPr>
        <w:t xml:space="preserve">aucune </w:t>
      </w:r>
    </w:p>
    <w:p w14:paraId="2B325F09" w14:textId="77777777" w:rsidR="007C4445" w:rsidRPr="007C4445" w:rsidRDefault="007C4445" w:rsidP="00B139C3">
      <w:pPr>
        <w:rPr>
          <w:lang w:val="fr-FR"/>
        </w:rPr>
      </w:pPr>
      <w:r w:rsidRPr="007C4445">
        <w:rPr>
          <w:lang w:val="fr-FR"/>
        </w:rPr>
        <w:t>5</w:t>
      </w:r>
      <w:r w:rsidRPr="007C4445">
        <w:rPr>
          <w:rFonts w:cs="Times New Roman" w:hint="cs"/>
          <w:rtl/>
          <w:lang w:val="fr-FR"/>
        </w:rPr>
        <w:t>ـ</w:t>
      </w:r>
      <w:r w:rsidRPr="007C4445">
        <w:rPr>
          <w:lang w:val="fr-FR"/>
        </w:rPr>
        <w:t xml:space="preserve">la méthode de surveillance glycémique utilisé :  </w:t>
      </w:r>
    </w:p>
    <w:p w14:paraId="467493CB" w14:textId="77777777" w:rsidR="007C4445" w:rsidRPr="007C4445" w:rsidRDefault="007C4445" w:rsidP="00B139C3">
      <w:pPr>
        <w:rPr>
          <w:lang w:val="fr-FR"/>
        </w:rPr>
      </w:pPr>
      <w:r w:rsidRPr="007C4445">
        <w:rPr>
          <w:lang w:val="fr-FR"/>
        </w:rPr>
        <w:t xml:space="preserve">Hb1c                  date de dernier dosage :    </w:t>
      </w:r>
    </w:p>
    <w:p w14:paraId="01569D14" w14:textId="77777777" w:rsidR="007C4445" w:rsidRPr="007C4445" w:rsidRDefault="007C4445" w:rsidP="00B139C3">
      <w:pPr>
        <w:rPr>
          <w:lang w:val="fr-FR"/>
        </w:rPr>
      </w:pPr>
      <w:r w:rsidRPr="007C4445">
        <w:rPr>
          <w:lang w:val="fr-FR"/>
        </w:rPr>
        <w:t xml:space="preserve">glycémie à jeun                  </w:t>
      </w:r>
      <w:r w:rsidRPr="007C4445">
        <w:rPr>
          <w:lang w:val="fr-FR"/>
        </w:rPr>
        <w:t>aucune</w:t>
      </w:r>
    </w:p>
    <w:p w14:paraId="72D4C2EF" w14:textId="77777777" w:rsidR="007C4445" w:rsidRPr="007C4445" w:rsidRDefault="007C4445" w:rsidP="00B139C3">
      <w:pPr>
        <w:rPr>
          <w:lang w:val="fr-FR"/>
        </w:rPr>
      </w:pPr>
      <w:r w:rsidRPr="007C4445">
        <w:rPr>
          <w:lang w:val="fr-FR"/>
        </w:rPr>
        <w:t>-le resultet de dernier Hb1</w:t>
      </w:r>
      <w:proofErr w:type="gramStart"/>
      <w:r w:rsidRPr="007C4445">
        <w:rPr>
          <w:lang w:val="fr-FR"/>
        </w:rPr>
        <w:t>c:</w:t>
      </w:r>
      <w:proofErr w:type="gramEnd"/>
    </w:p>
    <w:p w14:paraId="67472D47" w14:textId="77777777" w:rsidR="007C4445" w:rsidRPr="007C4445" w:rsidRDefault="007C4445" w:rsidP="00B139C3">
      <w:pPr>
        <w:rPr>
          <w:lang w:val="fr-FR"/>
        </w:rPr>
      </w:pPr>
      <w:r w:rsidRPr="007C4445">
        <w:rPr>
          <w:lang w:val="fr-FR"/>
        </w:rPr>
        <w:t>6</w:t>
      </w:r>
      <w:r w:rsidRPr="007C4445">
        <w:rPr>
          <w:rFonts w:cs="Times New Roman" w:hint="cs"/>
          <w:rtl/>
          <w:lang w:val="fr-FR"/>
        </w:rPr>
        <w:t>ـ</w:t>
      </w:r>
      <w:r w:rsidRPr="007C4445">
        <w:rPr>
          <w:lang w:val="fr-FR"/>
        </w:rPr>
        <w:t xml:space="preserve">Les complications du diabète  </w:t>
      </w:r>
    </w:p>
    <w:p w14:paraId="30A0FC19" w14:textId="77777777" w:rsidR="007C4445" w:rsidRPr="007C4445" w:rsidRDefault="007C4445" w:rsidP="00B139C3">
      <w:pPr>
        <w:rPr>
          <w:lang w:val="fr-FR"/>
        </w:rPr>
      </w:pPr>
      <w:r w:rsidRPr="007C4445">
        <w:rPr>
          <w:lang w:val="fr-FR"/>
        </w:rPr>
        <w:t xml:space="preserve">-aigue :   </w:t>
      </w:r>
      <w:r w:rsidRPr="007C4445">
        <w:rPr>
          <w:lang w:val="fr-FR"/>
        </w:rPr>
        <w:t xml:space="preserve">acidocétose            </w:t>
      </w:r>
      <w:r w:rsidRPr="007C4445">
        <w:rPr>
          <w:lang w:val="fr-FR"/>
        </w:rPr>
        <w:t xml:space="preserve">hypoglycémie       </w:t>
      </w:r>
    </w:p>
    <w:p w14:paraId="2AF415DD" w14:textId="77777777" w:rsidR="007C4445" w:rsidRPr="007C4445" w:rsidRDefault="007C4445" w:rsidP="00B139C3">
      <w:pPr>
        <w:rPr>
          <w:lang w:val="fr-FR"/>
        </w:rPr>
      </w:pPr>
      <w:r w:rsidRPr="007C4445">
        <w:rPr>
          <w:lang w:val="fr-FR"/>
        </w:rPr>
        <w:t>-chronique :</w:t>
      </w:r>
    </w:p>
    <w:p w14:paraId="70F77D66" w14:textId="77777777" w:rsidR="007C4445" w:rsidRPr="007C4445" w:rsidRDefault="007C4445" w:rsidP="00B139C3">
      <w:pPr>
        <w:rPr>
          <w:lang w:val="fr-FR"/>
        </w:rPr>
      </w:pPr>
      <w:proofErr w:type="gramStart"/>
      <w:r w:rsidRPr="007C4445">
        <w:rPr>
          <w:lang w:val="fr-FR"/>
        </w:rPr>
        <w:t>microcirculaire</w:t>
      </w:r>
      <w:proofErr w:type="gramEnd"/>
      <w:r w:rsidRPr="007C4445">
        <w:rPr>
          <w:lang w:val="fr-FR"/>
        </w:rPr>
        <w:t xml:space="preserve"> :     </w:t>
      </w:r>
      <w:r w:rsidRPr="007C4445">
        <w:rPr>
          <w:lang w:val="fr-FR"/>
        </w:rPr>
        <w:t xml:space="preserve">rétinopathie     </w:t>
      </w:r>
      <w:r w:rsidRPr="007C4445">
        <w:rPr>
          <w:lang w:val="fr-FR"/>
        </w:rPr>
        <w:t xml:space="preserve">neuropathie       </w:t>
      </w:r>
      <w:r w:rsidRPr="007C4445">
        <w:rPr>
          <w:lang w:val="fr-FR"/>
        </w:rPr>
        <w:t>néphropathie</w:t>
      </w:r>
    </w:p>
    <w:p w14:paraId="6192A225" w14:textId="77777777" w:rsidR="007C4445" w:rsidRPr="007C4445" w:rsidRDefault="007C4445" w:rsidP="00B139C3">
      <w:pPr>
        <w:rPr>
          <w:lang w:val="fr-FR"/>
        </w:rPr>
      </w:pPr>
      <w:proofErr w:type="gramStart"/>
      <w:r w:rsidRPr="007C4445">
        <w:rPr>
          <w:lang w:val="fr-FR"/>
        </w:rPr>
        <w:lastRenderedPageBreak/>
        <w:t>macrocirculaire</w:t>
      </w:r>
      <w:proofErr w:type="gramEnd"/>
      <w:r w:rsidRPr="007C4445">
        <w:rPr>
          <w:lang w:val="fr-FR"/>
        </w:rPr>
        <w:t xml:space="preserve"> :     </w:t>
      </w:r>
      <w:r w:rsidRPr="007C4445">
        <w:rPr>
          <w:lang w:val="fr-FR"/>
        </w:rPr>
        <w:t xml:space="preserve">cardiovasculaire         </w:t>
      </w:r>
      <w:r w:rsidRPr="007C4445">
        <w:rPr>
          <w:lang w:val="fr-FR"/>
        </w:rPr>
        <w:t xml:space="preserve">AVC </w:t>
      </w:r>
    </w:p>
    <w:p w14:paraId="51635B74" w14:textId="77777777" w:rsidR="007C4445" w:rsidRPr="007C4445" w:rsidRDefault="007C4445" w:rsidP="00B139C3">
      <w:pPr>
        <w:rPr>
          <w:lang w:val="fr-FR"/>
        </w:rPr>
      </w:pPr>
      <w:r w:rsidRPr="007C4445">
        <w:rPr>
          <w:lang w:val="fr-FR"/>
        </w:rPr>
        <w:t xml:space="preserve">absence </w:t>
      </w:r>
    </w:p>
    <w:p w14:paraId="6BB84E33" w14:textId="77777777" w:rsidR="007C4445" w:rsidRPr="007C4445" w:rsidRDefault="007C4445" w:rsidP="00B139C3">
      <w:pPr>
        <w:rPr>
          <w:lang w:val="fr-FR"/>
        </w:rPr>
      </w:pPr>
    </w:p>
    <w:p w14:paraId="189CEB4C" w14:textId="77777777" w:rsidR="007C4445" w:rsidRPr="007C4445" w:rsidRDefault="007C4445" w:rsidP="00B139C3">
      <w:pPr>
        <w:rPr>
          <w:lang w:val="fr-FR"/>
        </w:rPr>
      </w:pPr>
      <w:r w:rsidRPr="007C4445">
        <w:rPr>
          <w:lang w:val="fr-FR"/>
        </w:rPr>
        <w:t xml:space="preserve">L'adhérence </w:t>
      </w:r>
      <w:proofErr w:type="gramStart"/>
      <w:r w:rsidRPr="007C4445">
        <w:rPr>
          <w:lang w:val="fr-FR"/>
        </w:rPr>
        <w:t>thérapeutique:</w:t>
      </w:r>
      <w:proofErr w:type="gramEnd"/>
      <w:r w:rsidRPr="007C4445">
        <w:rPr>
          <w:lang w:val="fr-FR"/>
        </w:rPr>
        <w:t xml:space="preserve"> </w:t>
      </w:r>
    </w:p>
    <w:p w14:paraId="56FB8452" w14:textId="77777777" w:rsidR="007C4445" w:rsidRPr="007C4445" w:rsidRDefault="007C4445" w:rsidP="00B139C3">
      <w:pPr>
        <w:rPr>
          <w:lang w:val="fr-FR"/>
        </w:rPr>
      </w:pPr>
      <w:r w:rsidRPr="007C4445">
        <w:rPr>
          <w:lang w:val="fr-FR"/>
        </w:rPr>
        <w:t xml:space="preserve">/1Vous est-il arrivé d’oublier de prendre vos médicaments ?  Oui </w:t>
      </w:r>
      <w:r w:rsidRPr="007C4445">
        <w:rPr>
          <w:lang w:val="fr-FR"/>
        </w:rPr>
        <w:t xml:space="preserve"> Non </w:t>
      </w:r>
      <w:r w:rsidRPr="007C4445">
        <w:rPr>
          <w:lang w:val="fr-FR"/>
        </w:rPr>
        <w:t></w:t>
      </w:r>
    </w:p>
    <w:p w14:paraId="0A102319" w14:textId="77777777" w:rsidR="007C4445" w:rsidRPr="007C4445" w:rsidRDefault="007C4445" w:rsidP="00B139C3">
      <w:pPr>
        <w:rPr>
          <w:lang w:val="fr-FR"/>
        </w:rPr>
      </w:pPr>
      <w:r w:rsidRPr="007C4445">
        <w:rPr>
          <w:lang w:val="fr-FR"/>
        </w:rPr>
        <w:t xml:space="preserve">2/ Vous arrive-t-il de manquer une prise volontairement ? Oui </w:t>
      </w:r>
      <w:r w:rsidRPr="007C4445">
        <w:rPr>
          <w:lang w:val="fr-FR"/>
        </w:rPr>
        <w:t> Non</w:t>
      </w:r>
      <w:r w:rsidRPr="007C4445">
        <w:rPr>
          <w:lang w:val="fr-FR"/>
        </w:rPr>
        <w:t></w:t>
      </w:r>
    </w:p>
    <w:p w14:paraId="281F1960" w14:textId="77777777" w:rsidR="007C4445" w:rsidRPr="007C4445" w:rsidRDefault="007C4445" w:rsidP="00B139C3">
      <w:pPr>
        <w:rPr>
          <w:lang w:val="fr-FR"/>
        </w:rPr>
      </w:pPr>
      <w:r w:rsidRPr="007C4445">
        <w:rPr>
          <w:lang w:val="fr-FR"/>
        </w:rPr>
        <w:t xml:space="preserve">3/ Lorsque vous vous sentez mieux, arrêtez-vous parfois votre traitement ? Oui </w:t>
      </w:r>
      <w:r w:rsidRPr="007C4445">
        <w:rPr>
          <w:lang w:val="fr-FR"/>
        </w:rPr>
        <w:t> Non</w:t>
      </w:r>
      <w:r w:rsidRPr="007C4445">
        <w:rPr>
          <w:lang w:val="fr-FR"/>
        </w:rPr>
        <w:t></w:t>
      </w:r>
    </w:p>
    <w:p w14:paraId="4C1D408E" w14:textId="77777777" w:rsidR="007C4445" w:rsidRPr="007C4445" w:rsidRDefault="007C4445" w:rsidP="00B139C3">
      <w:pPr>
        <w:rPr>
          <w:lang w:val="fr-FR"/>
        </w:rPr>
      </w:pPr>
      <w:r w:rsidRPr="007C4445">
        <w:rPr>
          <w:lang w:val="fr-FR"/>
        </w:rPr>
        <w:t xml:space="preserve">4/ Lorsque vous vous sentez mal ou que vous avez des effets secondaires, arrêtez-vous parfois votre traitement ? Oui </w:t>
      </w:r>
      <w:r w:rsidRPr="007C4445">
        <w:rPr>
          <w:lang w:val="fr-FR"/>
        </w:rPr>
        <w:t> Non</w:t>
      </w:r>
      <w:r w:rsidRPr="007C4445">
        <w:rPr>
          <w:lang w:val="fr-FR"/>
        </w:rPr>
        <w:t></w:t>
      </w:r>
    </w:p>
    <w:p w14:paraId="194268C5" w14:textId="77777777" w:rsidR="007C4445" w:rsidRPr="007C4445" w:rsidRDefault="007C4445" w:rsidP="00B139C3">
      <w:pPr>
        <w:rPr>
          <w:lang w:val="fr-FR"/>
        </w:rPr>
      </w:pPr>
      <w:r w:rsidRPr="007C4445">
        <w:rPr>
          <w:lang w:val="fr-FR"/>
        </w:rPr>
        <w:t xml:space="preserve">5/ Avez-vous parfois des difficultés à suivre le traitement à cause de la complexité ou du nombre de prises ? Oui </w:t>
      </w:r>
      <w:r w:rsidRPr="007C4445">
        <w:rPr>
          <w:lang w:val="fr-FR"/>
        </w:rPr>
        <w:t> Non</w:t>
      </w:r>
      <w:r w:rsidRPr="007C4445">
        <w:rPr>
          <w:lang w:val="fr-FR"/>
        </w:rPr>
        <w:t></w:t>
      </w:r>
    </w:p>
    <w:p w14:paraId="23BA1799" w14:textId="77777777" w:rsidR="007C4445" w:rsidRPr="007C4445" w:rsidRDefault="007C4445" w:rsidP="00B139C3">
      <w:pPr>
        <w:rPr>
          <w:lang w:val="fr-FR"/>
        </w:rPr>
      </w:pPr>
      <w:proofErr w:type="gramStart"/>
      <w:r w:rsidRPr="007C4445">
        <w:rPr>
          <w:lang w:val="fr-FR"/>
        </w:rPr>
        <w:t>l'usage</w:t>
      </w:r>
      <w:proofErr w:type="gramEnd"/>
      <w:r w:rsidRPr="007C4445">
        <w:rPr>
          <w:lang w:val="fr-FR"/>
        </w:rPr>
        <w:t xml:space="preserve"> des plantes :</w:t>
      </w:r>
    </w:p>
    <w:p w14:paraId="35280DBE" w14:textId="77777777" w:rsidR="007C4445" w:rsidRPr="007C4445" w:rsidRDefault="007C4445" w:rsidP="00B139C3">
      <w:pPr>
        <w:rPr>
          <w:lang w:val="fr-FR"/>
        </w:rPr>
      </w:pPr>
      <w:r w:rsidRPr="007C4445">
        <w:rPr>
          <w:lang w:val="fr-FR"/>
        </w:rPr>
        <w:t>1</w:t>
      </w:r>
      <w:r w:rsidRPr="007C4445">
        <w:rPr>
          <w:rFonts w:cs="Times New Roman" w:hint="cs"/>
          <w:rtl/>
          <w:lang w:val="fr-FR"/>
        </w:rPr>
        <w:t>ـ</w:t>
      </w:r>
      <w:r w:rsidRPr="007C4445">
        <w:rPr>
          <w:lang w:val="fr-FR"/>
        </w:rPr>
        <w:t xml:space="preserve">utilisation des plantes </w:t>
      </w:r>
      <w:proofErr w:type="gramStart"/>
      <w:r w:rsidRPr="007C4445">
        <w:rPr>
          <w:lang w:val="fr-FR"/>
        </w:rPr>
        <w:t>médicinale:</w:t>
      </w:r>
      <w:proofErr w:type="gramEnd"/>
      <w:r w:rsidRPr="007C4445">
        <w:rPr>
          <w:lang w:val="fr-FR"/>
        </w:rPr>
        <w:t xml:space="preserve">        </w:t>
      </w:r>
      <w:r w:rsidRPr="007C4445">
        <w:rPr>
          <w:lang w:val="fr-FR"/>
        </w:rPr>
        <w:t xml:space="preserve">oui            </w:t>
      </w:r>
      <w:r w:rsidRPr="007C4445">
        <w:rPr>
          <w:lang w:val="fr-FR"/>
        </w:rPr>
        <w:t xml:space="preserve">non </w:t>
      </w:r>
    </w:p>
    <w:p w14:paraId="5CA3FE99" w14:textId="77777777" w:rsidR="007C4445" w:rsidRPr="007C4445" w:rsidRDefault="007C4445" w:rsidP="00B139C3">
      <w:pPr>
        <w:rPr>
          <w:lang w:val="fr-FR"/>
        </w:rPr>
      </w:pPr>
      <w:proofErr w:type="gramStart"/>
      <w:r w:rsidRPr="007C4445">
        <w:rPr>
          <w:lang w:val="fr-FR"/>
        </w:rPr>
        <w:t>si</w:t>
      </w:r>
      <w:proofErr w:type="gramEnd"/>
      <w:r w:rsidRPr="007C4445">
        <w:rPr>
          <w:lang w:val="fr-FR"/>
        </w:rPr>
        <w:t xml:space="preserve"> oui : les noms des plantes utilisés :</w:t>
      </w:r>
      <w:r w:rsidRPr="007C4445">
        <w:rPr>
          <w:lang w:val="fr-FR"/>
        </w:rPr>
        <w:tab/>
      </w:r>
    </w:p>
    <w:p w14:paraId="1A6B25DA" w14:textId="77777777" w:rsidR="007C4445" w:rsidRPr="007C4445" w:rsidRDefault="007C4445" w:rsidP="00B139C3">
      <w:pPr>
        <w:rPr>
          <w:lang w:val="fr-FR"/>
        </w:rPr>
      </w:pPr>
      <w:r w:rsidRPr="007C4445">
        <w:rPr>
          <w:lang w:val="fr-FR"/>
        </w:rPr>
        <w:t>............................................................................................</w:t>
      </w:r>
      <w:r w:rsidRPr="007C4445">
        <w:rPr>
          <w:lang w:val="fr-FR"/>
        </w:rPr>
        <w:tab/>
      </w:r>
      <w:r w:rsidRPr="007C4445">
        <w:rPr>
          <w:lang w:val="fr-FR"/>
        </w:rPr>
        <w:tab/>
      </w:r>
      <w:r w:rsidRPr="007C4445">
        <w:rPr>
          <w:lang w:val="fr-FR"/>
        </w:rPr>
        <w:tab/>
      </w:r>
      <w:r w:rsidRPr="007C4445">
        <w:rPr>
          <w:lang w:val="fr-FR"/>
        </w:rPr>
        <w:tab/>
      </w:r>
    </w:p>
    <w:p w14:paraId="1B97CFC0" w14:textId="77777777" w:rsidR="007C4445" w:rsidRPr="007C4445" w:rsidRDefault="007C4445" w:rsidP="00B139C3">
      <w:pPr>
        <w:rPr>
          <w:lang w:val="fr-FR"/>
        </w:rPr>
      </w:pPr>
      <w:r w:rsidRPr="007C4445">
        <w:rPr>
          <w:lang w:val="fr-FR"/>
        </w:rPr>
        <w:t>2</w:t>
      </w:r>
      <w:r w:rsidRPr="007C4445">
        <w:rPr>
          <w:rFonts w:cs="Times New Roman" w:hint="cs"/>
          <w:rtl/>
          <w:lang w:val="fr-FR"/>
        </w:rPr>
        <w:t>ـ</w:t>
      </w:r>
      <w:r w:rsidRPr="007C4445">
        <w:rPr>
          <w:lang w:val="fr-FR"/>
        </w:rPr>
        <w:t xml:space="preserve">Si oui cest quoi le motif d'utilisation :  </w:t>
      </w:r>
    </w:p>
    <w:p w14:paraId="2A09AB07" w14:textId="77777777" w:rsidR="007C4445" w:rsidRPr="007C4445" w:rsidRDefault="007C4445" w:rsidP="00B139C3">
      <w:pPr>
        <w:rPr>
          <w:lang w:val="fr-FR"/>
        </w:rPr>
      </w:pPr>
      <w:r w:rsidRPr="007C4445">
        <w:rPr>
          <w:lang w:val="fr-FR"/>
        </w:rPr>
        <w:t xml:space="preserve">moin cher       </w:t>
      </w:r>
      <w:r w:rsidRPr="007C4445">
        <w:rPr>
          <w:lang w:val="fr-FR"/>
        </w:rPr>
        <w:t xml:space="preserve">facile à obtenir        </w:t>
      </w:r>
      <w:r w:rsidRPr="007C4445">
        <w:rPr>
          <w:lang w:val="fr-FR"/>
        </w:rPr>
        <w:t xml:space="preserve">moins d'effets secondaires   </w:t>
      </w:r>
    </w:p>
    <w:p w14:paraId="4FF300D0" w14:textId="77777777" w:rsidR="007C4445" w:rsidRPr="007C4445" w:rsidRDefault="007C4445" w:rsidP="00B139C3">
      <w:pPr>
        <w:rPr>
          <w:lang w:val="fr-FR"/>
        </w:rPr>
      </w:pPr>
      <w:r w:rsidRPr="007C4445">
        <w:rPr>
          <w:lang w:val="fr-FR"/>
        </w:rPr>
        <w:t xml:space="preserve">experience positive d'un proche      </w:t>
      </w:r>
      <w:r w:rsidRPr="007C4445">
        <w:rPr>
          <w:lang w:val="fr-FR"/>
        </w:rPr>
        <w:t xml:space="preserve">autres </w:t>
      </w:r>
    </w:p>
    <w:p w14:paraId="3872FA2A" w14:textId="77777777" w:rsidR="007C4445" w:rsidRPr="007C4445" w:rsidRDefault="007C4445" w:rsidP="00B139C3">
      <w:pPr>
        <w:rPr>
          <w:lang w:val="fr-FR"/>
        </w:rPr>
      </w:pPr>
      <w:r w:rsidRPr="007C4445">
        <w:rPr>
          <w:lang w:val="fr-FR"/>
        </w:rPr>
        <w:t>3-Si non cest qoui les principaux obstacles à l'utilisation des plantes :</w:t>
      </w:r>
    </w:p>
    <w:p w14:paraId="2DF3E57D" w14:textId="77777777" w:rsidR="007C4445" w:rsidRPr="007C4445" w:rsidRDefault="007C4445" w:rsidP="00B139C3">
      <w:pPr>
        <w:rPr>
          <w:lang w:val="fr-FR"/>
        </w:rPr>
      </w:pPr>
      <w:r w:rsidRPr="007C4445">
        <w:rPr>
          <w:lang w:val="fr-FR"/>
        </w:rPr>
        <w:t xml:space="preserve">cout       </w:t>
      </w:r>
      <w:r w:rsidRPr="007C4445">
        <w:rPr>
          <w:lang w:val="fr-FR"/>
        </w:rPr>
        <w:t xml:space="preserve">les effets secondaires désaggreables      </w:t>
      </w:r>
      <w:r w:rsidRPr="007C4445">
        <w:rPr>
          <w:lang w:val="fr-FR"/>
        </w:rPr>
        <w:t xml:space="preserve">opposition familiale  </w:t>
      </w:r>
    </w:p>
    <w:p w14:paraId="00B7CA26" w14:textId="77777777" w:rsidR="007C4445" w:rsidRPr="007C4445" w:rsidRDefault="007C4445" w:rsidP="00B139C3">
      <w:pPr>
        <w:rPr>
          <w:lang w:val="fr-FR"/>
        </w:rPr>
      </w:pPr>
      <w:r w:rsidRPr="007C4445">
        <w:rPr>
          <w:lang w:val="fr-FR"/>
        </w:rPr>
        <w:t xml:space="preserve">non recommandées par le médecin </w:t>
      </w:r>
    </w:p>
    <w:p w14:paraId="25D2D033" w14:textId="77777777" w:rsidR="007C4445" w:rsidRPr="007C4445" w:rsidRDefault="007C4445" w:rsidP="00B139C3">
      <w:pPr>
        <w:rPr>
          <w:lang w:val="fr-FR"/>
        </w:rPr>
      </w:pPr>
      <w:r w:rsidRPr="007C4445">
        <w:rPr>
          <w:lang w:val="fr-FR"/>
        </w:rPr>
        <w:t xml:space="preserve">4-depuis </w:t>
      </w:r>
      <w:proofErr w:type="gramStart"/>
      <w:r w:rsidRPr="007C4445">
        <w:rPr>
          <w:lang w:val="fr-FR"/>
        </w:rPr>
        <w:t>quand:</w:t>
      </w:r>
      <w:proofErr w:type="gramEnd"/>
    </w:p>
    <w:p w14:paraId="2389F771" w14:textId="77777777" w:rsidR="007C4445" w:rsidRPr="007C4445" w:rsidRDefault="007C4445" w:rsidP="00B139C3">
      <w:pPr>
        <w:rPr>
          <w:lang w:val="fr-FR"/>
        </w:rPr>
      </w:pPr>
      <w:r w:rsidRPr="007C4445">
        <w:rPr>
          <w:lang w:val="fr-FR"/>
        </w:rPr>
        <w:t>5</w:t>
      </w:r>
      <w:r w:rsidRPr="007C4445">
        <w:rPr>
          <w:rFonts w:cs="Times New Roman" w:hint="cs"/>
          <w:rtl/>
          <w:lang w:val="fr-FR"/>
        </w:rPr>
        <w:t>ـ</w:t>
      </w:r>
      <w:r w:rsidRPr="007C4445">
        <w:rPr>
          <w:lang w:val="fr-FR"/>
        </w:rPr>
        <w:t>la fréquence d'utilisation :</w:t>
      </w:r>
    </w:p>
    <w:p w14:paraId="7EE670E4" w14:textId="77777777" w:rsidR="007C4445" w:rsidRPr="007C4445" w:rsidRDefault="007C4445" w:rsidP="00B139C3">
      <w:pPr>
        <w:rPr>
          <w:lang w:val="fr-FR"/>
        </w:rPr>
      </w:pPr>
      <w:r w:rsidRPr="007C4445">
        <w:rPr>
          <w:lang w:val="fr-FR"/>
        </w:rPr>
        <w:t xml:space="preserve">quotidienne      </w:t>
      </w:r>
      <w:r w:rsidRPr="007C4445">
        <w:rPr>
          <w:lang w:val="fr-FR"/>
        </w:rPr>
        <w:t xml:space="preserve">plusieurs fois par semaine      </w:t>
      </w:r>
      <w:r w:rsidRPr="007C4445">
        <w:rPr>
          <w:lang w:val="fr-FR"/>
        </w:rPr>
        <w:t xml:space="preserve">occasionelle </w:t>
      </w:r>
    </w:p>
    <w:p w14:paraId="6985E448" w14:textId="77777777" w:rsidR="007C4445" w:rsidRPr="007C4445" w:rsidRDefault="007C4445" w:rsidP="00B139C3">
      <w:pPr>
        <w:rPr>
          <w:lang w:val="fr-FR"/>
        </w:rPr>
      </w:pPr>
      <w:r w:rsidRPr="007C4445">
        <w:rPr>
          <w:lang w:val="fr-FR"/>
        </w:rPr>
        <w:t>6</w:t>
      </w:r>
      <w:r w:rsidRPr="007C4445">
        <w:rPr>
          <w:rFonts w:cs="Times New Roman" w:hint="cs"/>
          <w:rtl/>
          <w:lang w:val="fr-FR"/>
        </w:rPr>
        <w:t>ـ</w:t>
      </w:r>
      <w:r w:rsidRPr="007C4445">
        <w:rPr>
          <w:lang w:val="fr-FR"/>
        </w:rPr>
        <w:t xml:space="preserve">la méthode d'utilisation : </w:t>
      </w:r>
    </w:p>
    <w:p w14:paraId="509393B8" w14:textId="77777777" w:rsidR="007C4445" w:rsidRPr="007C4445" w:rsidRDefault="007C4445" w:rsidP="00B139C3">
      <w:pPr>
        <w:rPr>
          <w:lang w:val="fr-FR"/>
        </w:rPr>
      </w:pPr>
      <w:r w:rsidRPr="007C4445">
        <w:rPr>
          <w:lang w:val="fr-FR"/>
        </w:rPr>
        <w:t xml:space="preserve">poudre       </w:t>
      </w:r>
      <w:r w:rsidRPr="007C4445">
        <w:rPr>
          <w:lang w:val="fr-FR"/>
        </w:rPr>
        <w:t xml:space="preserve">macération      </w:t>
      </w:r>
      <w:r w:rsidRPr="007C4445">
        <w:rPr>
          <w:lang w:val="fr-FR"/>
        </w:rPr>
        <w:t xml:space="preserve">infusion      </w:t>
      </w:r>
      <w:r w:rsidRPr="007C4445">
        <w:rPr>
          <w:lang w:val="fr-FR"/>
        </w:rPr>
        <w:t xml:space="preserve">décoction    </w:t>
      </w:r>
      <w:r w:rsidRPr="007C4445">
        <w:rPr>
          <w:lang w:val="fr-FR"/>
        </w:rPr>
        <w:t xml:space="preserve">autre </w:t>
      </w:r>
    </w:p>
    <w:p w14:paraId="4896D375" w14:textId="77777777" w:rsidR="007C4445" w:rsidRPr="007C4445" w:rsidRDefault="007C4445" w:rsidP="00B139C3">
      <w:pPr>
        <w:rPr>
          <w:lang w:val="fr-FR"/>
        </w:rPr>
      </w:pPr>
      <w:r w:rsidRPr="007C4445">
        <w:rPr>
          <w:lang w:val="fr-FR"/>
        </w:rPr>
        <w:t>7</w:t>
      </w:r>
      <w:r w:rsidRPr="007C4445">
        <w:rPr>
          <w:rFonts w:cs="Times New Roman" w:hint="cs"/>
          <w:rtl/>
          <w:lang w:val="fr-FR"/>
        </w:rPr>
        <w:t>ـ</w:t>
      </w:r>
      <w:r w:rsidRPr="007C4445">
        <w:rPr>
          <w:lang w:val="fr-FR"/>
        </w:rPr>
        <w:t xml:space="preserve">la partie utilisée de la </w:t>
      </w:r>
      <w:proofErr w:type="gramStart"/>
      <w:r w:rsidRPr="007C4445">
        <w:rPr>
          <w:lang w:val="fr-FR"/>
        </w:rPr>
        <w:t>plante:</w:t>
      </w:r>
      <w:proofErr w:type="gramEnd"/>
      <w:r w:rsidRPr="007C4445">
        <w:rPr>
          <w:lang w:val="fr-FR"/>
        </w:rPr>
        <w:t xml:space="preserve"> </w:t>
      </w:r>
    </w:p>
    <w:p w14:paraId="5D3B12A2" w14:textId="77777777" w:rsidR="007C4445" w:rsidRPr="007C4445" w:rsidRDefault="007C4445" w:rsidP="00B139C3">
      <w:pPr>
        <w:rPr>
          <w:lang w:val="fr-FR"/>
        </w:rPr>
      </w:pPr>
      <w:r w:rsidRPr="007C4445">
        <w:rPr>
          <w:lang w:val="fr-FR"/>
        </w:rPr>
        <w:t xml:space="preserve">plante entier     </w:t>
      </w:r>
      <w:r w:rsidRPr="007C4445">
        <w:rPr>
          <w:lang w:val="fr-FR"/>
        </w:rPr>
        <w:t xml:space="preserve">les feuilles     </w:t>
      </w:r>
      <w:r w:rsidRPr="007C4445">
        <w:rPr>
          <w:lang w:val="fr-FR"/>
        </w:rPr>
        <w:t xml:space="preserve">pedoncule     </w:t>
      </w:r>
      <w:r w:rsidRPr="007C4445">
        <w:rPr>
          <w:lang w:val="fr-FR"/>
        </w:rPr>
        <w:t xml:space="preserve">les racines    </w:t>
      </w:r>
      <w:r w:rsidRPr="007C4445">
        <w:rPr>
          <w:lang w:val="fr-FR"/>
        </w:rPr>
        <w:t xml:space="preserve">les fleurs     </w:t>
      </w:r>
      <w:r w:rsidRPr="007C4445">
        <w:rPr>
          <w:lang w:val="fr-FR"/>
        </w:rPr>
        <w:t xml:space="preserve">les fruits    </w:t>
      </w:r>
      <w:r w:rsidRPr="007C4445">
        <w:rPr>
          <w:lang w:val="fr-FR"/>
        </w:rPr>
        <w:t xml:space="preserve">mélange  </w:t>
      </w:r>
    </w:p>
    <w:p w14:paraId="3E46B69B" w14:textId="77777777" w:rsidR="007C4445" w:rsidRPr="007C4445" w:rsidRDefault="007C4445" w:rsidP="00B139C3">
      <w:pPr>
        <w:rPr>
          <w:lang w:val="fr-FR"/>
        </w:rPr>
      </w:pPr>
      <w:r w:rsidRPr="007C4445">
        <w:rPr>
          <w:lang w:val="fr-FR"/>
        </w:rPr>
        <w:lastRenderedPageBreak/>
        <w:t>8</w:t>
      </w:r>
      <w:r w:rsidRPr="007C4445">
        <w:rPr>
          <w:rFonts w:cs="Times New Roman" w:hint="cs"/>
          <w:rtl/>
          <w:lang w:val="fr-FR"/>
        </w:rPr>
        <w:t>ـ</w:t>
      </w:r>
      <w:r w:rsidRPr="007C4445">
        <w:rPr>
          <w:lang w:val="fr-FR"/>
        </w:rPr>
        <w:t xml:space="preserve">source des plantes :  </w:t>
      </w:r>
      <w:r w:rsidRPr="007C4445">
        <w:rPr>
          <w:lang w:val="fr-FR"/>
        </w:rPr>
        <w:t xml:space="preserve">herboriste        </w:t>
      </w:r>
      <w:r w:rsidRPr="007C4445">
        <w:rPr>
          <w:lang w:val="fr-FR"/>
        </w:rPr>
        <w:t xml:space="preserve">pharmacien     </w:t>
      </w:r>
      <w:r w:rsidRPr="007C4445">
        <w:rPr>
          <w:lang w:val="fr-FR"/>
        </w:rPr>
        <w:t>cueillette</w:t>
      </w:r>
    </w:p>
    <w:p w14:paraId="39D82569" w14:textId="77777777" w:rsidR="007C4445" w:rsidRPr="007C4445" w:rsidRDefault="007C4445" w:rsidP="00B139C3">
      <w:pPr>
        <w:rPr>
          <w:lang w:val="fr-FR"/>
        </w:rPr>
      </w:pPr>
      <w:r w:rsidRPr="007C4445">
        <w:rPr>
          <w:lang w:val="fr-FR"/>
        </w:rPr>
        <w:t>9</w:t>
      </w:r>
      <w:r w:rsidRPr="007C4445">
        <w:rPr>
          <w:rFonts w:cs="Times New Roman" w:hint="cs"/>
          <w:rtl/>
          <w:lang w:val="fr-FR"/>
        </w:rPr>
        <w:t>ـ</w:t>
      </w:r>
      <w:r w:rsidRPr="007C4445">
        <w:rPr>
          <w:lang w:val="fr-FR"/>
        </w:rPr>
        <w:t xml:space="preserve">prise conjointe avec les </w:t>
      </w:r>
      <w:proofErr w:type="gramStart"/>
      <w:r w:rsidRPr="007C4445">
        <w:rPr>
          <w:lang w:val="fr-FR"/>
        </w:rPr>
        <w:t>medicaments?</w:t>
      </w:r>
      <w:proofErr w:type="gramEnd"/>
      <w:r w:rsidRPr="007C4445">
        <w:rPr>
          <w:lang w:val="fr-FR"/>
        </w:rPr>
        <w:t xml:space="preserve">  </w:t>
      </w:r>
      <w:r w:rsidRPr="007C4445">
        <w:rPr>
          <w:lang w:val="fr-FR"/>
        </w:rPr>
        <w:t xml:space="preserve">oui    </w:t>
      </w:r>
      <w:r w:rsidRPr="007C4445">
        <w:rPr>
          <w:lang w:val="fr-FR"/>
        </w:rPr>
        <w:t xml:space="preserve">non </w:t>
      </w:r>
    </w:p>
    <w:p w14:paraId="34200377" w14:textId="77777777" w:rsidR="007C4445" w:rsidRPr="007C4445" w:rsidRDefault="007C4445" w:rsidP="00B139C3">
      <w:pPr>
        <w:rPr>
          <w:lang w:val="fr-FR"/>
        </w:rPr>
      </w:pPr>
      <w:r w:rsidRPr="007C4445">
        <w:rPr>
          <w:lang w:val="fr-FR"/>
        </w:rPr>
        <w:t>10</w:t>
      </w:r>
      <w:r w:rsidRPr="007C4445">
        <w:rPr>
          <w:rFonts w:cs="Times New Roman" w:hint="cs"/>
          <w:rtl/>
          <w:lang w:val="fr-FR"/>
        </w:rPr>
        <w:t>ـ</w:t>
      </w:r>
      <w:r w:rsidRPr="007C4445">
        <w:rPr>
          <w:lang w:val="fr-FR"/>
        </w:rPr>
        <w:t xml:space="preserve">Avez vous informer votre </w:t>
      </w:r>
      <w:proofErr w:type="gramStart"/>
      <w:r w:rsidRPr="007C4445">
        <w:rPr>
          <w:lang w:val="fr-FR"/>
        </w:rPr>
        <w:t>médecin?</w:t>
      </w:r>
      <w:proofErr w:type="gramEnd"/>
      <w:r w:rsidRPr="007C4445">
        <w:rPr>
          <w:lang w:val="fr-FR"/>
        </w:rPr>
        <w:t xml:space="preserve">  </w:t>
      </w:r>
      <w:r w:rsidRPr="007C4445">
        <w:rPr>
          <w:lang w:val="fr-FR"/>
        </w:rPr>
        <w:t xml:space="preserve"> oui    </w:t>
      </w:r>
      <w:r w:rsidRPr="007C4445">
        <w:rPr>
          <w:lang w:val="fr-FR"/>
        </w:rPr>
        <w:t xml:space="preserve">non  </w:t>
      </w:r>
    </w:p>
    <w:p w14:paraId="4B31A94C" w14:textId="77777777" w:rsidR="007C4445" w:rsidRPr="007C4445" w:rsidRDefault="007C4445" w:rsidP="00B139C3">
      <w:pPr>
        <w:rPr>
          <w:lang w:val="fr-FR"/>
        </w:rPr>
      </w:pPr>
      <w:r w:rsidRPr="007C4445">
        <w:rPr>
          <w:lang w:val="fr-FR"/>
        </w:rPr>
        <w:t>11</w:t>
      </w:r>
      <w:r w:rsidRPr="007C4445">
        <w:rPr>
          <w:rFonts w:cs="Times New Roman" w:hint="cs"/>
          <w:rtl/>
          <w:lang w:val="fr-FR"/>
        </w:rPr>
        <w:t>ـ</w:t>
      </w:r>
      <w:r w:rsidRPr="007C4445">
        <w:rPr>
          <w:rFonts w:hint="eastAsia"/>
          <w:lang w:val="fr-FR"/>
        </w:rPr>
        <w:t>é</w:t>
      </w:r>
      <w:r w:rsidRPr="007C4445">
        <w:rPr>
          <w:lang w:val="fr-FR"/>
        </w:rPr>
        <w:t xml:space="preserve">fficacité d'utilisation de </w:t>
      </w:r>
      <w:proofErr w:type="gramStart"/>
      <w:r w:rsidRPr="007C4445">
        <w:rPr>
          <w:lang w:val="fr-FR"/>
        </w:rPr>
        <w:t>la  phytothérapie</w:t>
      </w:r>
      <w:proofErr w:type="gramEnd"/>
      <w:r w:rsidRPr="007C4445">
        <w:rPr>
          <w:lang w:val="fr-FR"/>
        </w:rPr>
        <w:t xml:space="preserve"> :         </w:t>
      </w:r>
      <w:r w:rsidRPr="007C4445">
        <w:rPr>
          <w:lang w:val="fr-FR"/>
        </w:rPr>
        <w:t xml:space="preserve">éfficace      </w:t>
      </w:r>
      <w:r w:rsidRPr="007C4445">
        <w:rPr>
          <w:lang w:val="fr-FR"/>
        </w:rPr>
        <w:t xml:space="preserve">inéfficace </w:t>
      </w:r>
    </w:p>
    <w:p w14:paraId="4B38A3DF" w14:textId="77777777" w:rsidR="007C4445" w:rsidRPr="007C4445" w:rsidRDefault="007C4445" w:rsidP="00B139C3">
      <w:pPr>
        <w:rPr>
          <w:lang w:val="fr-FR"/>
        </w:rPr>
      </w:pPr>
      <w:r w:rsidRPr="007C4445">
        <w:rPr>
          <w:lang w:val="fr-FR"/>
        </w:rPr>
        <w:t>12</w:t>
      </w:r>
      <w:r w:rsidRPr="007C4445">
        <w:rPr>
          <w:rFonts w:cs="Times New Roman" w:hint="cs"/>
          <w:rtl/>
          <w:lang w:val="fr-FR"/>
        </w:rPr>
        <w:t>ـ</w:t>
      </w:r>
      <w:r w:rsidRPr="007C4445">
        <w:rPr>
          <w:lang w:val="fr-FR"/>
        </w:rPr>
        <w:t>Quel sont les effets indesirables signalés si éxiste ?</w:t>
      </w:r>
    </w:p>
    <w:p w14:paraId="56F384FE" w14:textId="77777777" w:rsidR="007C4445" w:rsidRPr="007C4445" w:rsidRDefault="007C4445" w:rsidP="00B139C3">
      <w:pPr>
        <w:rPr>
          <w:lang w:val="fr-FR"/>
        </w:rPr>
      </w:pPr>
      <w:r w:rsidRPr="007C4445">
        <w:rPr>
          <w:lang w:val="fr-FR"/>
        </w:rPr>
        <w:t>..........................................................................................................</w:t>
      </w:r>
    </w:p>
    <w:p w14:paraId="353D6136" w14:textId="77777777" w:rsidR="00784D29" w:rsidRPr="00664D0A" w:rsidRDefault="00784D29" w:rsidP="00B139C3">
      <w:pPr>
        <w:rPr>
          <w:lang w:val="fr-FR"/>
        </w:rPr>
      </w:pPr>
    </w:p>
    <w:sectPr w:rsidR="00784D29" w:rsidRPr="00664D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9C0D6" w14:textId="77777777" w:rsidR="00D20671" w:rsidRDefault="00D20671">
      <w:pPr>
        <w:spacing w:after="0" w:line="240" w:lineRule="auto"/>
      </w:pPr>
      <w:r>
        <w:separator/>
      </w:r>
    </w:p>
  </w:endnote>
  <w:endnote w:type="continuationSeparator" w:id="0">
    <w:p w14:paraId="374E555B" w14:textId="77777777" w:rsidR="00D20671" w:rsidRDefault="00D20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briola">
    <w:panose1 w:val="04040605051002020D02"/>
    <w:charset w:val="00"/>
    <w:family w:val="decorative"/>
    <w:pitch w:val="variable"/>
    <w:sig w:usb0="E00002EF" w:usb1="5000204B"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1123468"/>
      <w:docPartObj>
        <w:docPartGallery w:val="Page Numbers (Bottom of Page)"/>
        <w:docPartUnique/>
      </w:docPartObj>
    </w:sdtPr>
    <w:sdtEndPr>
      <w:rPr>
        <w:noProof/>
      </w:rPr>
    </w:sdtEndPr>
    <w:sdtContent>
      <w:p w14:paraId="6BD0F638" w14:textId="791BF249" w:rsidR="00F568F0" w:rsidRDefault="00F568F0">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4A82A7B9" w14:textId="77777777" w:rsidR="00F568F0" w:rsidRDefault="00F56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7A3CC7" w14:textId="77777777" w:rsidR="00D20671" w:rsidRDefault="00D20671">
      <w:pPr>
        <w:spacing w:after="0" w:line="240" w:lineRule="auto"/>
      </w:pPr>
      <w:r>
        <w:separator/>
      </w:r>
    </w:p>
  </w:footnote>
  <w:footnote w:type="continuationSeparator" w:id="0">
    <w:p w14:paraId="5B8842BE" w14:textId="77777777" w:rsidR="00D20671" w:rsidRDefault="00D20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77C98"/>
    <w:multiLevelType w:val="multilevel"/>
    <w:tmpl w:val="68284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B45EC"/>
    <w:multiLevelType w:val="multilevel"/>
    <w:tmpl w:val="88AA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73A2E"/>
    <w:multiLevelType w:val="multilevel"/>
    <w:tmpl w:val="67EE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D5F10"/>
    <w:multiLevelType w:val="multilevel"/>
    <w:tmpl w:val="81E82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86965"/>
    <w:multiLevelType w:val="multilevel"/>
    <w:tmpl w:val="606A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EC7EBC"/>
    <w:multiLevelType w:val="multilevel"/>
    <w:tmpl w:val="6E34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0D0A30"/>
    <w:multiLevelType w:val="hybridMultilevel"/>
    <w:tmpl w:val="9E5E111A"/>
    <w:lvl w:ilvl="0" w:tplc="040C0001">
      <w:start w:val="1"/>
      <w:numFmt w:val="bullet"/>
      <w:lvlText w:val=""/>
      <w:lvlJc w:val="left"/>
      <w:pPr>
        <w:ind w:left="1504" w:hanging="360"/>
      </w:pPr>
      <w:rPr>
        <w:rFonts w:ascii="Symbol" w:hAnsi="Symbol" w:hint="default"/>
      </w:rPr>
    </w:lvl>
    <w:lvl w:ilvl="1" w:tplc="040C0003" w:tentative="1">
      <w:start w:val="1"/>
      <w:numFmt w:val="bullet"/>
      <w:lvlText w:val="o"/>
      <w:lvlJc w:val="left"/>
      <w:pPr>
        <w:ind w:left="2224" w:hanging="360"/>
      </w:pPr>
      <w:rPr>
        <w:rFonts w:ascii="Courier New" w:hAnsi="Courier New" w:cs="Courier New" w:hint="default"/>
      </w:rPr>
    </w:lvl>
    <w:lvl w:ilvl="2" w:tplc="040C0005" w:tentative="1">
      <w:start w:val="1"/>
      <w:numFmt w:val="bullet"/>
      <w:lvlText w:val=""/>
      <w:lvlJc w:val="left"/>
      <w:pPr>
        <w:ind w:left="2944" w:hanging="360"/>
      </w:pPr>
      <w:rPr>
        <w:rFonts w:ascii="Wingdings" w:hAnsi="Wingdings" w:hint="default"/>
      </w:rPr>
    </w:lvl>
    <w:lvl w:ilvl="3" w:tplc="040C0001" w:tentative="1">
      <w:start w:val="1"/>
      <w:numFmt w:val="bullet"/>
      <w:lvlText w:val=""/>
      <w:lvlJc w:val="left"/>
      <w:pPr>
        <w:ind w:left="3664" w:hanging="360"/>
      </w:pPr>
      <w:rPr>
        <w:rFonts w:ascii="Symbol" w:hAnsi="Symbol" w:hint="default"/>
      </w:rPr>
    </w:lvl>
    <w:lvl w:ilvl="4" w:tplc="040C0003" w:tentative="1">
      <w:start w:val="1"/>
      <w:numFmt w:val="bullet"/>
      <w:lvlText w:val="o"/>
      <w:lvlJc w:val="left"/>
      <w:pPr>
        <w:ind w:left="4384" w:hanging="360"/>
      </w:pPr>
      <w:rPr>
        <w:rFonts w:ascii="Courier New" w:hAnsi="Courier New" w:cs="Courier New" w:hint="default"/>
      </w:rPr>
    </w:lvl>
    <w:lvl w:ilvl="5" w:tplc="040C0005" w:tentative="1">
      <w:start w:val="1"/>
      <w:numFmt w:val="bullet"/>
      <w:lvlText w:val=""/>
      <w:lvlJc w:val="left"/>
      <w:pPr>
        <w:ind w:left="5104" w:hanging="360"/>
      </w:pPr>
      <w:rPr>
        <w:rFonts w:ascii="Wingdings" w:hAnsi="Wingdings" w:hint="default"/>
      </w:rPr>
    </w:lvl>
    <w:lvl w:ilvl="6" w:tplc="040C0001" w:tentative="1">
      <w:start w:val="1"/>
      <w:numFmt w:val="bullet"/>
      <w:lvlText w:val=""/>
      <w:lvlJc w:val="left"/>
      <w:pPr>
        <w:ind w:left="5824" w:hanging="360"/>
      </w:pPr>
      <w:rPr>
        <w:rFonts w:ascii="Symbol" w:hAnsi="Symbol" w:hint="default"/>
      </w:rPr>
    </w:lvl>
    <w:lvl w:ilvl="7" w:tplc="040C0003" w:tentative="1">
      <w:start w:val="1"/>
      <w:numFmt w:val="bullet"/>
      <w:lvlText w:val="o"/>
      <w:lvlJc w:val="left"/>
      <w:pPr>
        <w:ind w:left="6544" w:hanging="360"/>
      </w:pPr>
      <w:rPr>
        <w:rFonts w:ascii="Courier New" w:hAnsi="Courier New" w:cs="Courier New" w:hint="default"/>
      </w:rPr>
    </w:lvl>
    <w:lvl w:ilvl="8" w:tplc="040C0005" w:tentative="1">
      <w:start w:val="1"/>
      <w:numFmt w:val="bullet"/>
      <w:lvlText w:val=""/>
      <w:lvlJc w:val="left"/>
      <w:pPr>
        <w:ind w:left="7264" w:hanging="360"/>
      </w:pPr>
      <w:rPr>
        <w:rFonts w:ascii="Wingdings" w:hAnsi="Wingdings" w:hint="default"/>
      </w:rPr>
    </w:lvl>
  </w:abstractNum>
  <w:abstractNum w:abstractNumId="7" w15:restartNumberingAfterBreak="0">
    <w:nsid w:val="1BC91B8D"/>
    <w:multiLevelType w:val="multilevel"/>
    <w:tmpl w:val="46EA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C48A8"/>
    <w:multiLevelType w:val="hybridMultilevel"/>
    <w:tmpl w:val="E4C87BE4"/>
    <w:lvl w:ilvl="0" w:tplc="AB74F99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FB477BB"/>
    <w:multiLevelType w:val="multilevel"/>
    <w:tmpl w:val="4A2A8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5352E6"/>
    <w:multiLevelType w:val="multilevel"/>
    <w:tmpl w:val="0858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61169C"/>
    <w:multiLevelType w:val="multilevel"/>
    <w:tmpl w:val="291A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E7763"/>
    <w:multiLevelType w:val="hybridMultilevel"/>
    <w:tmpl w:val="F82EAF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F17038"/>
    <w:multiLevelType w:val="multilevel"/>
    <w:tmpl w:val="B0B8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2C78D1"/>
    <w:multiLevelType w:val="multilevel"/>
    <w:tmpl w:val="97E0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3A2DE0"/>
    <w:multiLevelType w:val="multilevel"/>
    <w:tmpl w:val="2A0A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065EB0"/>
    <w:multiLevelType w:val="multilevel"/>
    <w:tmpl w:val="B06A8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841E14"/>
    <w:multiLevelType w:val="multilevel"/>
    <w:tmpl w:val="4D948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B67895"/>
    <w:multiLevelType w:val="hybridMultilevel"/>
    <w:tmpl w:val="964E99F4"/>
    <w:lvl w:ilvl="0" w:tplc="F2DCAC5E">
      <w:start w:val="1"/>
      <w:numFmt w:val="bullet"/>
      <w:lvlText w:val="●"/>
      <w:lvlJc w:val="left"/>
      <w:pPr>
        <w:ind w:left="720" w:hanging="360"/>
      </w:pPr>
    </w:lvl>
    <w:lvl w:ilvl="1" w:tplc="3A38EDAA">
      <w:start w:val="1"/>
      <w:numFmt w:val="bullet"/>
      <w:lvlText w:val="○"/>
      <w:lvlJc w:val="left"/>
      <w:pPr>
        <w:ind w:left="1440" w:hanging="360"/>
      </w:pPr>
    </w:lvl>
    <w:lvl w:ilvl="2" w:tplc="54F0FC4C">
      <w:start w:val="1"/>
      <w:numFmt w:val="bullet"/>
      <w:lvlText w:val="■"/>
      <w:lvlJc w:val="left"/>
      <w:pPr>
        <w:ind w:left="2160" w:hanging="360"/>
      </w:pPr>
    </w:lvl>
    <w:lvl w:ilvl="3" w:tplc="788AD9B6">
      <w:start w:val="1"/>
      <w:numFmt w:val="bullet"/>
      <w:lvlText w:val="●"/>
      <w:lvlJc w:val="left"/>
      <w:pPr>
        <w:ind w:left="2880" w:hanging="360"/>
      </w:pPr>
    </w:lvl>
    <w:lvl w:ilvl="4" w:tplc="94EEF58A">
      <w:start w:val="1"/>
      <w:numFmt w:val="bullet"/>
      <w:lvlText w:val="○"/>
      <w:lvlJc w:val="left"/>
      <w:pPr>
        <w:ind w:left="3600" w:hanging="360"/>
      </w:pPr>
    </w:lvl>
    <w:lvl w:ilvl="5" w:tplc="68D4F9AA">
      <w:start w:val="1"/>
      <w:numFmt w:val="bullet"/>
      <w:lvlText w:val="■"/>
      <w:lvlJc w:val="left"/>
      <w:pPr>
        <w:ind w:left="4320" w:hanging="360"/>
      </w:pPr>
    </w:lvl>
    <w:lvl w:ilvl="6" w:tplc="8C226EC0">
      <w:start w:val="1"/>
      <w:numFmt w:val="bullet"/>
      <w:lvlText w:val="●"/>
      <w:lvlJc w:val="left"/>
      <w:pPr>
        <w:ind w:left="5040" w:hanging="360"/>
      </w:pPr>
    </w:lvl>
    <w:lvl w:ilvl="7" w:tplc="5346159E">
      <w:start w:val="1"/>
      <w:numFmt w:val="bullet"/>
      <w:lvlText w:val="●"/>
      <w:lvlJc w:val="left"/>
      <w:pPr>
        <w:ind w:left="5760" w:hanging="360"/>
      </w:pPr>
    </w:lvl>
    <w:lvl w:ilvl="8" w:tplc="BDCE2720">
      <w:start w:val="1"/>
      <w:numFmt w:val="bullet"/>
      <w:lvlText w:val="●"/>
      <w:lvlJc w:val="left"/>
      <w:pPr>
        <w:ind w:left="6480" w:hanging="360"/>
      </w:pPr>
    </w:lvl>
  </w:abstractNum>
  <w:abstractNum w:abstractNumId="19" w15:restartNumberingAfterBreak="0">
    <w:nsid w:val="372C5406"/>
    <w:multiLevelType w:val="multilevel"/>
    <w:tmpl w:val="5B42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8E2EAB"/>
    <w:multiLevelType w:val="multilevel"/>
    <w:tmpl w:val="251A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656BFB"/>
    <w:multiLevelType w:val="multilevel"/>
    <w:tmpl w:val="82C8B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E97931"/>
    <w:multiLevelType w:val="multilevel"/>
    <w:tmpl w:val="595E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1D6B67"/>
    <w:multiLevelType w:val="multilevel"/>
    <w:tmpl w:val="45F09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B522CB"/>
    <w:multiLevelType w:val="multilevel"/>
    <w:tmpl w:val="EB98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DA6E41"/>
    <w:multiLevelType w:val="multilevel"/>
    <w:tmpl w:val="EFF40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3072D0"/>
    <w:multiLevelType w:val="multilevel"/>
    <w:tmpl w:val="E54A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B23F20"/>
    <w:multiLevelType w:val="multilevel"/>
    <w:tmpl w:val="D740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434D25"/>
    <w:multiLevelType w:val="multilevel"/>
    <w:tmpl w:val="723E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BA30B5"/>
    <w:multiLevelType w:val="multilevel"/>
    <w:tmpl w:val="837A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5906E6"/>
    <w:multiLevelType w:val="multilevel"/>
    <w:tmpl w:val="CEBA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E92F50"/>
    <w:multiLevelType w:val="multilevel"/>
    <w:tmpl w:val="A7FE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9E1B4D"/>
    <w:multiLevelType w:val="multilevel"/>
    <w:tmpl w:val="239C8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AD465B"/>
    <w:multiLevelType w:val="multilevel"/>
    <w:tmpl w:val="C03E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D416B5"/>
    <w:multiLevelType w:val="multilevel"/>
    <w:tmpl w:val="A372C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F83974"/>
    <w:multiLevelType w:val="multilevel"/>
    <w:tmpl w:val="B886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057C1F"/>
    <w:multiLevelType w:val="multilevel"/>
    <w:tmpl w:val="1B82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816AE2"/>
    <w:multiLevelType w:val="multilevel"/>
    <w:tmpl w:val="778A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87575F"/>
    <w:multiLevelType w:val="multilevel"/>
    <w:tmpl w:val="3F8A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1935F3"/>
    <w:multiLevelType w:val="multilevel"/>
    <w:tmpl w:val="CF06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6"/>
  </w:num>
  <w:num w:numId="3">
    <w:abstractNumId w:val="24"/>
  </w:num>
  <w:num w:numId="4">
    <w:abstractNumId w:val="16"/>
  </w:num>
  <w:num w:numId="5">
    <w:abstractNumId w:val="21"/>
  </w:num>
  <w:num w:numId="6">
    <w:abstractNumId w:val="1"/>
  </w:num>
  <w:num w:numId="7">
    <w:abstractNumId w:val="17"/>
  </w:num>
  <w:num w:numId="8">
    <w:abstractNumId w:val="13"/>
  </w:num>
  <w:num w:numId="9">
    <w:abstractNumId w:val="30"/>
  </w:num>
  <w:num w:numId="10">
    <w:abstractNumId w:val="14"/>
  </w:num>
  <w:num w:numId="11">
    <w:abstractNumId w:val="11"/>
  </w:num>
  <w:num w:numId="12">
    <w:abstractNumId w:val="34"/>
  </w:num>
  <w:num w:numId="13">
    <w:abstractNumId w:val="28"/>
  </w:num>
  <w:num w:numId="14">
    <w:abstractNumId w:val="36"/>
  </w:num>
  <w:num w:numId="15">
    <w:abstractNumId w:val="0"/>
  </w:num>
  <w:num w:numId="16">
    <w:abstractNumId w:val="26"/>
  </w:num>
  <w:num w:numId="17">
    <w:abstractNumId w:val="15"/>
  </w:num>
  <w:num w:numId="18">
    <w:abstractNumId w:val="35"/>
  </w:num>
  <w:num w:numId="19">
    <w:abstractNumId w:val="32"/>
  </w:num>
  <w:num w:numId="20">
    <w:abstractNumId w:val="23"/>
  </w:num>
  <w:num w:numId="21">
    <w:abstractNumId w:val="2"/>
  </w:num>
  <w:num w:numId="22">
    <w:abstractNumId w:val="9"/>
  </w:num>
  <w:num w:numId="23">
    <w:abstractNumId w:val="10"/>
  </w:num>
  <w:num w:numId="24">
    <w:abstractNumId w:val="31"/>
  </w:num>
  <w:num w:numId="25">
    <w:abstractNumId w:val="22"/>
  </w:num>
  <w:num w:numId="26">
    <w:abstractNumId w:val="27"/>
  </w:num>
  <w:num w:numId="27">
    <w:abstractNumId w:val="5"/>
  </w:num>
  <w:num w:numId="28">
    <w:abstractNumId w:val="3"/>
  </w:num>
  <w:num w:numId="29">
    <w:abstractNumId w:val="12"/>
  </w:num>
  <w:num w:numId="30">
    <w:abstractNumId w:val="7"/>
  </w:num>
  <w:num w:numId="31">
    <w:abstractNumId w:val="25"/>
  </w:num>
  <w:num w:numId="32">
    <w:abstractNumId w:val="8"/>
  </w:num>
  <w:num w:numId="33">
    <w:abstractNumId w:val="29"/>
  </w:num>
  <w:num w:numId="34">
    <w:abstractNumId w:val="33"/>
  </w:num>
  <w:num w:numId="35">
    <w:abstractNumId w:val="39"/>
  </w:num>
  <w:num w:numId="36">
    <w:abstractNumId w:val="37"/>
  </w:num>
  <w:num w:numId="37">
    <w:abstractNumId w:val="20"/>
  </w:num>
  <w:num w:numId="38">
    <w:abstractNumId w:val="19"/>
  </w:num>
  <w:num w:numId="39">
    <w:abstractNumId w:val="38"/>
  </w:num>
  <w:num w:numId="40">
    <w:abstractNumId w:val="18"/>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D0A"/>
    <w:rsid w:val="0005552C"/>
    <w:rsid w:val="000C1665"/>
    <w:rsid w:val="00116A61"/>
    <w:rsid w:val="00126F4C"/>
    <w:rsid w:val="001559DD"/>
    <w:rsid w:val="00193001"/>
    <w:rsid w:val="001B12A2"/>
    <w:rsid w:val="001C2505"/>
    <w:rsid w:val="001E23A3"/>
    <w:rsid w:val="001F3903"/>
    <w:rsid w:val="001F5341"/>
    <w:rsid w:val="00240EFB"/>
    <w:rsid w:val="002A20EA"/>
    <w:rsid w:val="002B2054"/>
    <w:rsid w:val="003766EB"/>
    <w:rsid w:val="003771A7"/>
    <w:rsid w:val="003C72FA"/>
    <w:rsid w:val="003E5C80"/>
    <w:rsid w:val="003F4230"/>
    <w:rsid w:val="00430E92"/>
    <w:rsid w:val="00574D38"/>
    <w:rsid w:val="00577C0B"/>
    <w:rsid w:val="00580E17"/>
    <w:rsid w:val="0059682C"/>
    <w:rsid w:val="005B6D92"/>
    <w:rsid w:val="005C4773"/>
    <w:rsid w:val="006117AA"/>
    <w:rsid w:val="006477FA"/>
    <w:rsid w:val="00651A23"/>
    <w:rsid w:val="006529E5"/>
    <w:rsid w:val="00664D0A"/>
    <w:rsid w:val="00665FE5"/>
    <w:rsid w:val="006F25EE"/>
    <w:rsid w:val="007277D4"/>
    <w:rsid w:val="0076226D"/>
    <w:rsid w:val="00784D29"/>
    <w:rsid w:val="007A397A"/>
    <w:rsid w:val="007C4445"/>
    <w:rsid w:val="0080119A"/>
    <w:rsid w:val="0086407A"/>
    <w:rsid w:val="008758B6"/>
    <w:rsid w:val="008920C8"/>
    <w:rsid w:val="008B0273"/>
    <w:rsid w:val="00903A96"/>
    <w:rsid w:val="00912DDF"/>
    <w:rsid w:val="00983108"/>
    <w:rsid w:val="009A0A95"/>
    <w:rsid w:val="009C7487"/>
    <w:rsid w:val="009D1D3B"/>
    <w:rsid w:val="009D3632"/>
    <w:rsid w:val="00A032FC"/>
    <w:rsid w:val="00A04585"/>
    <w:rsid w:val="00A33DED"/>
    <w:rsid w:val="00A71563"/>
    <w:rsid w:val="00B139C3"/>
    <w:rsid w:val="00B91DCD"/>
    <w:rsid w:val="00BD7816"/>
    <w:rsid w:val="00BF29E3"/>
    <w:rsid w:val="00C241A6"/>
    <w:rsid w:val="00C24D88"/>
    <w:rsid w:val="00C464A1"/>
    <w:rsid w:val="00C5177C"/>
    <w:rsid w:val="00C66341"/>
    <w:rsid w:val="00CA0DF8"/>
    <w:rsid w:val="00CB543A"/>
    <w:rsid w:val="00CC1349"/>
    <w:rsid w:val="00D20671"/>
    <w:rsid w:val="00D505A9"/>
    <w:rsid w:val="00D60DAF"/>
    <w:rsid w:val="00D675D9"/>
    <w:rsid w:val="00D73339"/>
    <w:rsid w:val="00D9672E"/>
    <w:rsid w:val="00E2496A"/>
    <w:rsid w:val="00E642AF"/>
    <w:rsid w:val="00E97C3D"/>
    <w:rsid w:val="00EC1434"/>
    <w:rsid w:val="00EC7E26"/>
    <w:rsid w:val="00ED63CC"/>
    <w:rsid w:val="00F3578C"/>
    <w:rsid w:val="00F568F0"/>
    <w:rsid w:val="00F9194F"/>
    <w:rsid w:val="00F96B82"/>
    <w:rsid w:val="00FC4A34"/>
    <w:rsid w:val="00FD00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BB72B"/>
  <w15:chartTrackingRefBased/>
  <w15:docId w15:val="{5BECF3DB-22F0-4F74-A164-828365645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39C3"/>
    <w:rPr>
      <w:rFonts w:asciiTheme="majorBidi" w:hAnsiTheme="majorBidi"/>
      <w:sz w:val="24"/>
    </w:rPr>
  </w:style>
  <w:style w:type="paragraph" w:styleId="Heading1">
    <w:name w:val="heading 1"/>
    <w:basedOn w:val="Normal"/>
    <w:next w:val="Normal"/>
    <w:link w:val="Heading1Char"/>
    <w:uiPriority w:val="9"/>
    <w:qFormat/>
    <w:rsid w:val="009A0A95"/>
    <w:pPr>
      <w:keepNext/>
      <w:keepLines/>
      <w:spacing w:before="480" w:after="0" w:line="276" w:lineRule="auto"/>
      <w:outlineLvl w:val="0"/>
    </w:pPr>
    <w:rPr>
      <w:rFonts w:eastAsiaTheme="majorEastAsia" w:cstheme="majorBidi"/>
      <w:b/>
      <w:bCs/>
      <w:color w:val="002060"/>
      <w:sz w:val="32"/>
      <w:szCs w:val="28"/>
      <w:lang w:val="fr-FR"/>
    </w:rPr>
  </w:style>
  <w:style w:type="paragraph" w:styleId="Heading2">
    <w:name w:val="heading 2"/>
    <w:basedOn w:val="Normal"/>
    <w:next w:val="Normal"/>
    <w:link w:val="Heading2Char"/>
    <w:uiPriority w:val="9"/>
    <w:unhideWhenUsed/>
    <w:qFormat/>
    <w:rsid w:val="009A0A95"/>
    <w:pPr>
      <w:keepNext/>
      <w:keepLines/>
      <w:spacing w:before="200" w:after="0" w:line="276" w:lineRule="auto"/>
      <w:outlineLvl w:val="1"/>
    </w:pPr>
    <w:rPr>
      <w:rFonts w:eastAsiaTheme="majorEastAsia" w:cstheme="majorBidi"/>
      <w:b/>
      <w:bCs/>
      <w:color w:val="385623" w:themeColor="accent6" w:themeShade="80"/>
      <w:sz w:val="28"/>
      <w:szCs w:val="26"/>
      <w:lang w:val="fr-FR"/>
    </w:rPr>
  </w:style>
  <w:style w:type="paragraph" w:styleId="Heading3">
    <w:name w:val="heading 3"/>
    <w:basedOn w:val="Normal"/>
    <w:link w:val="Heading3Char"/>
    <w:uiPriority w:val="9"/>
    <w:qFormat/>
    <w:rsid w:val="009A0A95"/>
    <w:pPr>
      <w:spacing w:before="100" w:beforeAutospacing="1" w:after="100" w:afterAutospacing="1" w:line="240" w:lineRule="auto"/>
      <w:outlineLvl w:val="2"/>
    </w:pPr>
    <w:rPr>
      <w:rFonts w:ascii="Times New Roman" w:eastAsia="Times New Roman" w:hAnsi="Times New Roman" w:cs="Times New Roman"/>
      <w:b/>
      <w:bCs/>
      <w:color w:val="525252" w:themeColor="accent3" w:themeShade="80"/>
      <w:sz w:val="26"/>
      <w:szCs w:val="27"/>
      <w:lang w:val="fr-FR" w:eastAsia="fr-FR"/>
    </w:rPr>
  </w:style>
  <w:style w:type="paragraph" w:styleId="Heading4">
    <w:name w:val="heading 4"/>
    <w:basedOn w:val="Normal"/>
    <w:next w:val="Normal"/>
    <w:link w:val="Heading4Char"/>
    <w:uiPriority w:val="9"/>
    <w:unhideWhenUsed/>
    <w:qFormat/>
    <w:rsid w:val="009A0A95"/>
    <w:pPr>
      <w:keepNext/>
      <w:keepLines/>
      <w:spacing w:before="40" w:after="0"/>
      <w:outlineLvl w:val="3"/>
    </w:pPr>
    <w:rPr>
      <w:rFonts w:asciiTheme="majorHAnsi" w:eastAsiaTheme="majorEastAsia" w:hAnsiTheme="majorHAnsi" w:cstheme="majorBidi"/>
      <w:i/>
      <w:iCs/>
      <w:color w:val="500000"/>
    </w:rPr>
  </w:style>
  <w:style w:type="paragraph" w:styleId="Heading5">
    <w:name w:val="heading 5"/>
    <w:basedOn w:val="Normal"/>
    <w:next w:val="Normal"/>
    <w:link w:val="Heading5Char"/>
    <w:uiPriority w:val="9"/>
    <w:unhideWhenUsed/>
    <w:qFormat/>
    <w:rsid w:val="009A0A95"/>
    <w:pPr>
      <w:keepNext/>
      <w:keepLines/>
      <w:spacing w:before="40" w:after="0"/>
      <w:outlineLvl w:val="4"/>
    </w:pPr>
    <w:rPr>
      <w:rFonts w:asciiTheme="majorHAnsi" w:eastAsiaTheme="majorEastAsia" w:hAnsiTheme="majorHAnsi" w:cstheme="majorBidi"/>
      <w:color w:val="42123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A95"/>
    <w:rPr>
      <w:rFonts w:asciiTheme="majorBidi" w:eastAsiaTheme="majorEastAsia" w:hAnsiTheme="majorBidi" w:cstheme="majorBidi"/>
      <w:b/>
      <w:bCs/>
      <w:color w:val="002060"/>
      <w:sz w:val="32"/>
      <w:szCs w:val="28"/>
      <w:lang w:val="fr-FR"/>
    </w:rPr>
  </w:style>
  <w:style w:type="character" w:customStyle="1" w:styleId="Heading2Char">
    <w:name w:val="Heading 2 Char"/>
    <w:basedOn w:val="DefaultParagraphFont"/>
    <w:link w:val="Heading2"/>
    <w:uiPriority w:val="9"/>
    <w:rsid w:val="009A0A95"/>
    <w:rPr>
      <w:rFonts w:asciiTheme="majorBidi" w:eastAsiaTheme="majorEastAsia" w:hAnsiTheme="majorBidi" w:cstheme="majorBidi"/>
      <w:b/>
      <w:bCs/>
      <w:color w:val="385623" w:themeColor="accent6" w:themeShade="80"/>
      <w:sz w:val="28"/>
      <w:szCs w:val="26"/>
      <w:lang w:val="fr-FR"/>
    </w:rPr>
  </w:style>
  <w:style w:type="character" w:customStyle="1" w:styleId="Heading3Char">
    <w:name w:val="Heading 3 Char"/>
    <w:basedOn w:val="DefaultParagraphFont"/>
    <w:link w:val="Heading3"/>
    <w:uiPriority w:val="9"/>
    <w:rsid w:val="009A0A95"/>
    <w:rPr>
      <w:rFonts w:ascii="Times New Roman" w:eastAsia="Times New Roman" w:hAnsi="Times New Roman" w:cs="Times New Roman"/>
      <w:b/>
      <w:bCs/>
      <w:color w:val="525252" w:themeColor="accent3" w:themeShade="80"/>
      <w:sz w:val="26"/>
      <w:szCs w:val="27"/>
      <w:lang w:val="fr-FR" w:eastAsia="fr-FR"/>
    </w:rPr>
  </w:style>
  <w:style w:type="character" w:customStyle="1" w:styleId="Heading4Char">
    <w:name w:val="Heading 4 Char"/>
    <w:basedOn w:val="DefaultParagraphFont"/>
    <w:link w:val="Heading4"/>
    <w:uiPriority w:val="9"/>
    <w:rsid w:val="009A0A95"/>
    <w:rPr>
      <w:rFonts w:asciiTheme="majorHAnsi" w:eastAsiaTheme="majorEastAsia" w:hAnsiTheme="majorHAnsi" w:cstheme="majorBidi"/>
      <w:i/>
      <w:iCs/>
      <w:color w:val="500000"/>
      <w:sz w:val="24"/>
    </w:rPr>
  </w:style>
  <w:style w:type="character" w:customStyle="1" w:styleId="Heading5Char">
    <w:name w:val="Heading 5 Char"/>
    <w:basedOn w:val="DefaultParagraphFont"/>
    <w:link w:val="Heading5"/>
    <w:uiPriority w:val="9"/>
    <w:rsid w:val="009A0A95"/>
    <w:rPr>
      <w:rFonts w:asciiTheme="majorHAnsi" w:eastAsiaTheme="majorEastAsia" w:hAnsiTheme="majorHAnsi" w:cstheme="majorBidi"/>
      <w:color w:val="42123F"/>
      <w:sz w:val="24"/>
    </w:rPr>
  </w:style>
  <w:style w:type="character" w:styleId="Emphasis">
    <w:name w:val="Emphasis"/>
    <w:basedOn w:val="DefaultParagraphFont"/>
    <w:uiPriority w:val="20"/>
    <w:qFormat/>
    <w:rsid w:val="00664D0A"/>
    <w:rPr>
      <w:i/>
      <w:iCs/>
    </w:rPr>
  </w:style>
  <w:style w:type="character" w:styleId="Strong">
    <w:name w:val="Strong"/>
    <w:basedOn w:val="DefaultParagraphFont"/>
    <w:uiPriority w:val="22"/>
    <w:qFormat/>
    <w:rsid w:val="00664D0A"/>
    <w:rPr>
      <w:b/>
      <w:bCs/>
    </w:rPr>
  </w:style>
  <w:style w:type="paragraph" w:styleId="NormalWeb">
    <w:name w:val="Normal (Web)"/>
    <w:basedOn w:val="Normal"/>
    <w:uiPriority w:val="99"/>
    <w:unhideWhenUsed/>
    <w:rsid w:val="00664D0A"/>
    <w:pPr>
      <w:spacing w:before="100" w:beforeAutospacing="1" w:after="100" w:afterAutospacing="1" w:line="240" w:lineRule="auto"/>
    </w:pPr>
    <w:rPr>
      <w:rFonts w:ascii="Times New Roman" w:eastAsia="Times New Roman" w:hAnsi="Times New Roman" w:cs="Times New Roman"/>
      <w:szCs w:val="24"/>
      <w:lang w:val="fr-FR" w:eastAsia="fr-FR"/>
    </w:rPr>
  </w:style>
  <w:style w:type="character" w:styleId="Hyperlink">
    <w:name w:val="Hyperlink"/>
    <w:basedOn w:val="DefaultParagraphFont"/>
    <w:uiPriority w:val="99"/>
    <w:unhideWhenUsed/>
    <w:rsid w:val="00664D0A"/>
    <w:rPr>
      <w:color w:val="0563C1" w:themeColor="hyperlink"/>
      <w:u w:val="single"/>
    </w:rPr>
  </w:style>
  <w:style w:type="paragraph" w:styleId="BalloonText">
    <w:name w:val="Balloon Text"/>
    <w:basedOn w:val="Normal"/>
    <w:link w:val="BalloonTextChar"/>
    <w:uiPriority w:val="99"/>
    <w:semiHidden/>
    <w:unhideWhenUsed/>
    <w:rsid w:val="00664D0A"/>
    <w:pPr>
      <w:spacing w:after="0" w:line="240" w:lineRule="auto"/>
    </w:pPr>
    <w:rPr>
      <w:rFonts w:ascii="Tahoma" w:hAnsi="Tahoma" w:cs="Tahoma"/>
      <w:sz w:val="16"/>
      <w:szCs w:val="16"/>
      <w:lang w:val="fr-FR"/>
    </w:rPr>
  </w:style>
  <w:style w:type="character" w:customStyle="1" w:styleId="BalloonTextChar">
    <w:name w:val="Balloon Text Char"/>
    <w:basedOn w:val="DefaultParagraphFont"/>
    <w:link w:val="BalloonText"/>
    <w:uiPriority w:val="99"/>
    <w:semiHidden/>
    <w:rsid w:val="00664D0A"/>
    <w:rPr>
      <w:rFonts w:ascii="Tahoma" w:hAnsi="Tahoma" w:cs="Tahoma"/>
      <w:sz w:val="16"/>
      <w:szCs w:val="16"/>
      <w:lang w:val="fr-FR"/>
    </w:rPr>
  </w:style>
  <w:style w:type="paragraph" w:styleId="Bibliography">
    <w:name w:val="Bibliography"/>
    <w:basedOn w:val="Normal"/>
    <w:next w:val="Normal"/>
    <w:uiPriority w:val="37"/>
    <w:unhideWhenUsed/>
    <w:rsid w:val="00664D0A"/>
    <w:pPr>
      <w:tabs>
        <w:tab w:val="left" w:pos="384"/>
      </w:tabs>
      <w:spacing w:after="240" w:line="240" w:lineRule="auto"/>
      <w:ind w:left="384" w:hanging="384"/>
    </w:pPr>
    <w:rPr>
      <w:lang w:val="fr-FR"/>
    </w:rPr>
  </w:style>
  <w:style w:type="paragraph" w:styleId="ListParagraph">
    <w:name w:val="List Paragraph"/>
    <w:basedOn w:val="Normal"/>
    <w:uiPriority w:val="34"/>
    <w:qFormat/>
    <w:rsid w:val="00664D0A"/>
    <w:pPr>
      <w:spacing w:after="200" w:line="276" w:lineRule="auto"/>
      <w:ind w:left="720"/>
      <w:contextualSpacing/>
    </w:pPr>
    <w:rPr>
      <w:rFonts w:eastAsiaTheme="minorEastAsia"/>
    </w:rPr>
  </w:style>
  <w:style w:type="table" w:styleId="TableGrid">
    <w:name w:val="Table Grid"/>
    <w:basedOn w:val="TableNormal"/>
    <w:uiPriority w:val="59"/>
    <w:rsid w:val="00664D0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64D0A"/>
    <w:pPr>
      <w:spacing w:after="0" w:line="240" w:lineRule="auto"/>
    </w:pPr>
    <w:rPr>
      <w:rFonts w:eastAsiaTheme="minorEastAsia"/>
    </w:rPr>
  </w:style>
  <w:style w:type="table" w:customStyle="1" w:styleId="PlainTable51">
    <w:name w:val="Plain Table 51"/>
    <w:basedOn w:val="TableNormal"/>
    <w:uiPriority w:val="45"/>
    <w:rsid w:val="00664D0A"/>
    <w:pPr>
      <w:spacing w:after="0" w:line="240" w:lineRule="auto"/>
    </w:pPr>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664D0A"/>
    <w:pPr>
      <w:spacing w:after="0" w:line="240" w:lineRule="auto"/>
    </w:pPr>
    <w:rPr>
      <w:lang w:val="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rsid w:val="00664D0A"/>
    <w:pPr>
      <w:spacing w:after="0" w:line="240" w:lineRule="auto"/>
    </w:pPr>
    <w:rPr>
      <w:lang w:val="fr-F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whitespace-normal">
    <w:name w:val="whitespace-normal"/>
    <w:basedOn w:val="DefaultParagraphFont"/>
    <w:rsid w:val="00664D0A"/>
  </w:style>
  <w:style w:type="character" w:customStyle="1" w:styleId="math-inline">
    <w:name w:val="math-inline"/>
    <w:basedOn w:val="DefaultParagraphFont"/>
    <w:rsid w:val="00664D0A"/>
  </w:style>
  <w:style w:type="paragraph" w:styleId="Caption">
    <w:name w:val="caption"/>
    <w:basedOn w:val="Normal"/>
    <w:next w:val="Normal"/>
    <w:uiPriority w:val="35"/>
    <w:unhideWhenUsed/>
    <w:qFormat/>
    <w:rsid w:val="009A0A95"/>
    <w:pPr>
      <w:spacing w:after="200" w:line="240" w:lineRule="auto"/>
    </w:pPr>
    <w:rPr>
      <w:b/>
      <w:bCs/>
      <w:color w:val="002948"/>
      <w:sz w:val="18"/>
      <w:szCs w:val="18"/>
      <w:lang w:val="fr-FR"/>
    </w:rPr>
  </w:style>
  <w:style w:type="table" w:customStyle="1" w:styleId="Grilleclaire1">
    <w:name w:val="Grille claire1"/>
    <w:basedOn w:val="TableNormal"/>
    <w:uiPriority w:val="62"/>
    <w:rsid w:val="00664D0A"/>
    <w:pPr>
      <w:spacing w:after="0" w:line="240" w:lineRule="auto"/>
    </w:pPr>
    <w:rPr>
      <w:lang w:val="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TOC2">
    <w:name w:val="toc 2"/>
    <w:basedOn w:val="Normal"/>
    <w:next w:val="Normal"/>
    <w:autoRedefine/>
    <w:uiPriority w:val="39"/>
    <w:unhideWhenUsed/>
    <w:rsid w:val="00664D0A"/>
    <w:pPr>
      <w:spacing w:after="100" w:line="276" w:lineRule="auto"/>
      <w:ind w:left="220"/>
    </w:pPr>
    <w:rPr>
      <w:lang w:val="fr-FR"/>
    </w:rPr>
  </w:style>
  <w:style w:type="paragraph" w:styleId="TOC1">
    <w:name w:val="toc 1"/>
    <w:basedOn w:val="Normal"/>
    <w:next w:val="Normal"/>
    <w:autoRedefine/>
    <w:uiPriority w:val="39"/>
    <w:unhideWhenUsed/>
    <w:rsid w:val="00664D0A"/>
    <w:pPr>
      <w:spacing w:after="100" w:line="276" w:lineRule="auto"/>
    </w:pPr>
    <w:rPr>
      <w:lang w:val="fr-FR"/>
    </w:rPr>
  </w:style>
  <w:style w:type="paragraph" w:styleId="Header">
    <w:name w:val="header"/>
    <w:basedOn w:val="Normal"/>
    <w:link w:val="HeaderChar"/>
    <w:uiPriority w:val="99"/>
    <w:unhideWhenUsed/>
    <w:rsid w:val="00664D0A"/>
    <w:pPr>
      <w:tabs>
        <w:tab w:val="center" w:pos="4536"/>
        <w:tab w:val="right" w:pos="9072"/>
      </w:tabs>
      <w:spacing w:after="0" w:line="240" w:lineRule="auto"/>
    </w:pPr>
    <w:rPr>
      <w:lang w:val="fr-FR"/>
    </w:rPr>
  </w:style>
  <w:style w:type="character" w:customStyle="1" w:styleId="HeaderChar">
    <w:name w:val="Header Char"/>
    <w:basedOn w:val="DefaultParagraphFont"/>
    <w:link w:val="Header"/>
    <w:uiPriority w:val="99"/>
    <w:rsid w:val="00664D0A"/>
    <w:rPr>
      <w:lang w:val="fr-FR"/>
    </w:rPr>
  </w:style>
  <w:style w:type="paragraph" w:styleId="Footer">
    <w:name w:val="footer"/>
    <w:basedOn w:val="Normal"/>
    <w:link w:val="FooterChar"/>
    <w:uiPriority w:val="99"/>
    <w:unhideWhenUsed/>
    <w:rsid w:val="00664D0A"/>
    <w:pPr>
      <w:tabs>
        <w:tab w:val="center" w:pos="4536"/>
        <w:tab w:val="right" w:pos="9072"/>
      </w:tabs>
      <w:spacing w:after="0" w:line="240" w:lineRule="auto"/>
    </w:pPr>
    <w:rPr>
      <w:lang w:val="fr-FR"/>
    </w:rPr>
  </w:style>
  <w:style w:type="character" w:customStyle="1" w:styleId="FooterChar">
    <w:name w:val="Footer Char"/>
    <w:basedOn w:val="DefaultParagraphFont"/>
    <w:link w:val="Footer"/>
    <w:uiPriority w:val="99"/>
    <w:rsid w:val="00664D0A"/>
    <w:rPr>
      <w:lang w:val="fr-FR"/>
    </w:rPr>
  </w:style>
  <w:style w:type="table" w:styleId="PlainTable1">
    <w:name w:val="Plain Table 1"/>
    <w:basedOn w:val="TableNormal"/>
    <w:uiPriority w:val="41"/>
    <w:rsid w:val="00664D0A"/>
    <w:pPr>
      <w:spacing w:after="0" w:line="240" w:lineRule="auto"/>
    </w:pPr>
    <w:rPr>
      <w:lang w:val="fr-F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nt-claude-response-body">
    <w:name w:val="font-claude-response-body"/>
    <w:basedOn w:val="Normal"/>
    <w:rsid w:val="00664D0A"/>
    <w:pPr>
      <w:spacing w:before="100" w:beforeAutospacing="1" w:after="100" w:afterAutospacing="1" w:line="240" w:lineRule="auto"/>
    </w:pPr>
    <w:rPr>
      <w:rFonts w:ascii="Times New Roman" w:eastAsia="Times New Roman" w:hAnsi="Times New Roman" w:cs="Times New Roman"/>
      <w:szCs w:val="24"/>
      <w:lang w:val="fr-FR" w:eastAsia="fr-FR"/>
    </w:rPr>
  </w:style>
  <w:style w:type="table" w:customStyle="1" w:styleId="TableGrid1">
    <w:name w:val="Table Grid1"/>
    <w:basedOn w:val="TableNormal"/>
    <w:next w:val="TableGrid"/>
    <w:uiPriority w:val="59"/>
    <w:rsid w:val="00FC4A3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91DC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59"/>
    <w:rsid w:val="006117AA"/>
    <w:pPr>
      <w:spacing w:after="0" w:line="240" w:lineRule="auto"/>
    </w:pPr>
    <w:rPr>
      <w:rFonts w:ascii="Arial" w:eastAsia="Arial" w:hAnsi="Arial" w:cs="Arial"/>
      <w:sz w:val="24"/>
      <w:szCs w:val="24"/>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rsid w:val="00CB543A"/>
    <w:pPr>
      <w:spacing w:after="0"/>
    </w:pPr>
  </w:style>
  <w:style w:type="table" w:styleId="GridTable2-Accent1">
    <w:name w:val="Grid Table 2 Accent 1"/>
    <w:basedOn w:val="TableNormal"/>
    <w:uiPriority w:val="47"/>
    <w:rsid w:val="003E5C8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5">
    <w:name w:val="Grid Table 2 Accent 5"/>
    <w:basedOn w:val="TableNormal"/>
    <w:uiPriority w:val="47"/>
    <w:rsid w:val="003E5C8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1Light-Accent5">
    <w:name w:val="Grid Table 1 Light Accent 5"/>
    <w:basedOn w:val="TableNormal"/>
    <w:uiPriority w:val="46"/>
    <w:rsid w:val="003E5C8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308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5.png"/><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image" Target="media/image47.jpeg"/><Relationship Id="rId68" Type="http://schemas.openxmlformats.org/officeDocument/2006/relationships/footer" Target="footer1.xml"/><Relationship Id="rId84" Type="http://schemas.openxmlformats.org/officeDocument/2006/relationships/chart" Target="charts/chart17.xml"/><Relationship Id="rId89" Type="http://schemas.openxmlformats.org/officeDocument/2006/relationships/chart" Target="charts/chart22.xml"/><Relationship Id="rId16" Type="http://schemas.openxmlformats.org/officeDocument/2006/relationships/hyperlink" Target="file:///C:\Users\Administrator\Downloads\memoire%20pr&#233;%20final.docx" TargetMode="External"/><Relationship Id="rId11" Type="http://schemas.openxmlformats.org/officeDocument/2006/relationships/hyperlink" Target="file:///C:\Users\Administrator\Downloads\memoire%20pr&#233;%20final.docx" TargetMode="External"/><Relationship Id="rId32" Type="http://schemas.openxmlformats.org/officeDocument/2006/relationships/image" Target="media/image16.jpeg"/><Relationship Id="rId37" Type="http://schemas.openxmlformats.org/officeDocument/2006/relationships/image" Target="media/image21.jpeg"/><Relationship Id="rId53" Type="http://schemas.openxmlformats.org/officeDocument/2006/relationships/image" Target="media/image37.jpeg"/><Relationship Id="rId58" Type="http://schemas.openxmlformats.org/officeDocument/2006/relationships/image" Target="media/image42.jpeg"/><Relationship Id="rId74" Type="http://schemas.openxmlformats.org/officeDocument/2006/relationships/chart" Target="charts/chart7.xml"/><Relationship Id="rId79" Type="http://schemas.openxmlformats.org/officeDocument/2006/relationships/chart" Target="charts/chart12.xml"/><Relationship Id="rId5" Type="http://schemas.openxmlformats.org/officeDocument/2006/relationships/webSettings" Target="webSettings.xml"/><Relationship Id="rId90" Type="http://schemas.openxmlformats.org/officeDocument/2006/relationships/chart" Target="charts/chart23.xml"/><Relationship Id="rId95" Type="http://schemas.openxmlformats.org/officeDocument/2006/relationships/theme" Target="theme/theme1.xml"/><Relationship Id="rId22" Type="http://schemas.openxmlformats.org/officeDocument/2006/relationships/image" Target="media/image6.jpeg"/><Relationship Id="rId27" Type="http://schemas.openxmlformats.org/officeDocument/2006/relationships/image" Target="media/image11.jpeg"/><Relationship Id="rId43" Type="http://schemas.openxmlformats.org/officeDocument/2006/relationships/image" Target="media/image27.jpeg"/><Relationship Id="rId48" Type="http://schemas.openxmlformats.org/officeDocument/2006/relationships/image" Target="media/image32.jpeg"/><Relationship Id="rId64" Type="http://schemas.openxmlformats.org/officeDocument/2006/relationships/image" Target="media/image48.jpeg"/><Relationship Id="rId69" Type="http://schemas.openxmlformats.org/officeDocument/2006/relationships/chart" Target="charts/chart2.xml"/><Relationship Id="rId8" Type="http://schemas.openxmlformats.org/officeDocument/2006/relationships/image" Target="media/image1.png"/><Relationship Id="rId51" Type="http://schemas.openxmlformats.org/officeDocument/2006/relationships/image" Target="media/image35.jpeg"/><Relationship Id="rId72" Type="http://schemas.openxmlformats.org/officeDocument/2006/relationships/chart" Target="charts/chart5.xml"/><Relationship Id="rId80" Type="http://schemas.openxmlformats.org/officeDocument/2006/relationships/chart" Target="charts/chart13.xml"/><Relationship Id="rId85" Type="http://schemas.openxmlformats.org/officeDocument/2006/relationships/chart" Target="charts/chart18.xml"/><Relationship Id="rId93" Type="http://schemas.openxmlformats.org/officeDocument/2006/relationships/chart" Target="charts/chart26.xml"/><Relationship Id="rId3" Type="http://schemas.openxmlformats.org/officeDocument/2006/relationships/styles" Target="styles.xml"/><Relationship Id="rId12" Type="http://schemas.openxmlformats.org/officeDocument/2006/relationships/hyperlink" Target="file:///C:\Users\Administrator\Downloads\memoire%20pr&#233;%20final.docx" TargetMode="External"/><Relationship Id="rId17" Type="http://schemas.openxmlformats.org/officeDocument/2006/relationships/hyperlink" Target="file:///C:\Users\Administrator\Downloads\memoire%20pr&#233;%20final.docx"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30.jpeg"/><Relationship Id="rId59" Type="http://schemas.openxmlformats.org/officeDocument/2006/relationships/image" Target="media/image43.jpeg"/><Relationship Id="rId67" Type="http://schemas.openxmlformats.org/officeDocument/2006/relationships/chart" Target="charts/chart1.xml"/><Relationship Id="rId20" Type="http://schemas.openxmlformats.org/officeDocument/2006/relationships/image" Target="media/image4.png"/><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chart" Target="charts/chart3.xml"/><Relationship Id="rId75" Type="http://schemas.openxmlformats.org/officeDocument/2006/relationships/chart" Target="charts/chart8.xml"/><Relationship Id="rId83" Type="http://schemas.openxmlformats.org/officeDocument/2006/relationships/chart" Target="charts/chart16.xml"/><Relationship Id="rId88" Type="http://schemas.openxmlformats.org/officeDocument/2006/relationships/chart" Target="charts/chart21.xml"/><Relationship Id="rId91" Type="http://schemas.openxmlformats.org/officeDocument/2006/relationships/chart" Target="charts/chart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Administrator\Downloads\memoire%20pr&#233;%20final.docx"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3.jpeg"/><Relationship Id="rId57" Type="http://schemas.openxmlformats.org/officeDocument/2006/relationships/image" Target="media/image41.jpeg"/><Relationship Id="rId10" Type="http://schemas.openxmlformats.org/officeDocument/2006/relationships/hyperlink" Target="file:///C:\Users\Administrator\Downloads\memoire%20pr&#233;%20final.docx" TargetMode="External"/><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chart" Target="charts/chart6.xml"/><Relationship Id="rId78" Type="http://schemas.openxmlformats.org/officeDocument/2006/relationships/chart" Target="charts/chart11.xml"/><Relationship Id="rId81" Type="http://schemas.openxmlformats.org/officeDocument/2006/relationships/chart" Target="charts/chart14.xml"/><Relationship Id="rId86" Type="http://schemas.openxmlformats.org/officeDocument/2006/relationships/chart" Target="charts/chart19.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Administrator\Downloads\memoire%20pr&#233;%20final.docx" TargetMode="External"/><Relationship Id="rId13" Type="http://schemas.openxmlformats.org/officeDocument/2006/relationships/hyperlink" Target="file:///C:\Users\Administrator\Downloads\memoire%20pr&#233;%20final.docx" TargetMode="External"/><Relationship Id="rId18" Type="http://schemas.openxmlformats.org/officeDocument/2006/relationships/image" Target="media/image2.jpeg"/><Relationship Id="rId39" Type="http://schemas.openxmlformats.org/officeDocument/2006/relationships/image" Target="media/image23.jpeg"/><Relationship Id="rId34" Type="http://schemas.openxmlformats.org/officeDocument/2006/relationships/image" Target="media/image18.jpeg"/><Relationship Id="rId50" Type="http://schemas.openxmlformats.org/officeDocument/2006/relationships/image" Target="media/image34.jpeg"/><Relationship Id="rId55" Type="http://schemas.openxmlformats.org/officeDocument/2006/relationships/image" Target="media/image39.jpeg"/><Relationship Id="rId76" Type="http://schemas.openxmlformats.org/officeDocument/2006/relationships/chart" Target="charts/chart9.xml"/><Relationship Id="rId7" Type="http://schemas.openxmlformats.org/officeDocument/2006/relationships/endnotes" Target="endnotes.xml"/><Relationship Id="rId71" Type="http://schemas.openxmlformats.org/officeDocument/2006/relationships/chart" Target="charts/chart4.xml"/><Relationship Id="rId92" Type="http://schemas.openxmlformats.org/officeDocument/2006/relationships/chart" Target="charts/chart25.xml"/><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image" Target="media/image8.jpeg"/><Relationship Id="rId40" Type="http://schemas.openxmlformats.org/officeDocument/2006/relationships/image" Target="media/image24.jpeg"/><Relationship Id="rId45" Type="http://schemas.openxmlformats.org/officeDocument/2006/relationships/image" Target="media/image29.jpeg"/><Relationship Id="rId66" Type="http://schemas.openxmlformats.org/officeDocument/2006/relationships/image" Target="media/image50.jpeg"/><Relationship Id="rId87" Type="http://schemas.openxmlformats.org/officeDocument/2006/relationships/chart" Target="charts/chart20.xml"/><Relationship Id="rId61" Type="http://schemas.openxmlformats.org/officeDocument/2006/relationships/image" Target="media/image45.jpeg"/><Relationship Id="rId82" Type="http://schemas.openxmlformats.org/officeDocument/2006/relationships/chart" Target="charts/chart15.xml"/><Relationship Id="rId19" Type="http://schemas.openxmlformats.org/officeDocument/2006/relationships/image" Target="media/image3.jpeg"/><Relationship Id="rId14" Type="http://schemas.openxmlformats.org/officeDocument/2006/relationships/hyperlink" Target="file:///C:\Users\Administrator\Downloads\memoire%20pr&#233;%20final.docx" TargetMode="External"/><Relationship Id="rId30" Type="http://schemas.openxmlformats.org/officeDocument/2006/relationships/image" Target="media/image14.jpeg"/><Relationship Id="rId35" Type="http://schemas.openxmlformats.org/officeDocument/2006/relationships/image" Target="media/image19.jpeg"/><Relationship Id="rId56" Type="http://schemas.openxmlformats.org/officeDocument/2006/relationships/image" Target="media/image40.jpeg"/><Relationship Id="rId77"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cuments\PRATIQ.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ocuments\PRATIQ.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ocuments\pratiqqq.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ocuments\pratiqqq.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Documents\pratiqqq.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Documents\pratiqqq.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C:\Users\Administrator\Desktop\memoire\EXCEL%20COMPLET.xlsx" TargetMode="External"/><Relationship Id="rId2" Type="http://schemas.microsoft.com/office/2011/relationships/chartColorStyle" Target="colors3.xml"/><Relationship Id="rId1" Type="http://schemas.microsoft.com/office/2011/relationships/chartStyle" Target="style3.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2.bin"/></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embeddings/oleObject3.bin"/></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1.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2.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3.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4.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5.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6.xlsx"/></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2.xml"/><Relationship Id="rId1" Type="http://schemas.microsoft.com/office/2011/relationships/chartStyle" Target="style12.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3.xml"/><Relationship Id="rId1" Type="http://schemas.microsoft.com/office/2011/relationships/chartStyle" Target="style13.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4.xml"/><Relationship Id="rId1" Type="http://schemas.microsoft.com/office/2011/relationships/chartStyle" Target="style14.xml"/></Relationships>
</file>

<file path=word/charts/_rels/chart22.xml.rels><?xml version="1.0" encoding="UTF-8" standalone="yes"?>
<Relationships xmlns="http://schemas.openxmlformats.org/package/2006/relationships"><Relationship Id="rId1" Type="http://schemas.openxmlformats.org/officeDocument/2006/relationships/oleObject" Target="file:///C:\Users\Admin\Documents\pratiqqq.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Admin\Documents\pratiqqq.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Admin\Documents\pratiqqq.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Admin\Documents\pratiqqq.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Admin\Documents\pratiqqq.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[Classeur1]Feuil64!Tableau croisé dynamique48</c:name>
    <c:fmtId val="-1"/>
  </c:pivotSource>
  <c:chart>
    <c:autoTitleDeleted val="1"/>
    <c:pivotFmts>
      <c:pivotFmt>
        <c:idx val="0"/>
        <c:marker>
          <c:symbol val="none"/>
        </c:marker>
      </c:pivotFmt>
      <c:pivotFmt>
        <c:idx val="1"/>
        <c:marker>
          <c:symbol val="none"/>
        </c:marker>
      </c:pivotFmt>
    </c:pivotFmts>
    <c:view3D>
      <c:rotX val="30"/>
      <c:rotY val="0"/>
      <c:rAngAx val="0"/>
    </c:view3D>
    <c:floor>
      <c:thickness val="0"/>
    </c:floor>
    <c:sideWall>
      <c:thickness val="0"/>
    </c:sideWall>
    <c:backWall>
      <c:thickness val="0"/>
    </c:backWall>
    <c:plotArea>
      <c:layout/>
      <c:pie3DChart>
        <c:varyColors val="1"/>
        <c:ser>
          <c:idx val="0"/>
          <c:order val="0"/>
          <c:tx>
            <c:strRef>
              <c:f>Feuil64!$B$3</c:f>
              <c:strCache>
                <c:ptCount val="1"/>
                <c:pt idx="0">
                  <c:v>Total</c:v>
                </c:pt>
              </c:strCache>
            </c:strRef>
          </c:tx>
          <c:explosion val="25"/>
          <c:cat>
            <c:strRef>
              <c:f>Feuil64!$A$4:$A$6</c:f>
              <c:strCache>
                <c:ptCount val="2"/>
                <c:pt idx="0">
                  <c:v>Non</c:v>
                </c:pt>
                <c:pt idx="1">
                  <c:v>Oui</c:v>
                </c:pt>
              </c:strCache>
            </c:strRef>
          </c:cat>
          <c:val>
            <c:numRef>
              <c:f>Feuil64!$B$4:$B$6</c:f>
              <c:numCache>
                <c:formatCode>General</c:formatCode>
                <c:ptCount val="2"/>
                <c:pt idx="0">
                  <c:v>93</c:v>
                </c:pt>
                <c:pt idx="1">
                  <c:v>158</c:v>
                </c:pt>
              </c:numCache>
            </c:numRef>
          </c:val>
          <c:extLst>
            <c:ext xmlns:c16="http://schemas.microsoft.com/office/drawing/2014/chart" uri="{C3380CC4-5D6E-409C-BE32-E72D297353CC}">
              <c16:uniqueId val="{00000000-00D7-443D-AC55-2924CA107A45}"/>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Feuil2!$C$55:$C$81</c:f>
              <c:strCache>
                <c:ptCount val="16"/>
                <c:pt idx="0">
                  <c:v>Lamiacées</c:v>
                </c:pt>
                <c:pt idx="1">
                  <c:v>Apiacées</c:v>
                </c:pt>
                <c:pt idx="2">
                  <c:v>Astéracées                     </c:v>
                </c:pt>
                <c:pt idx="3">
                  <c:v>Lauracées </c:v>
                </c:pt>
                <c:pt idx="4">
                  <c:v>Amaryllidacées</c:v>
                </c:pt>
                <c:pt idx="5">
                  <c:v>Fabacées</c:v>
                </c:pt>
                <c:pt idx="6">
                  <c:v>Oléacées</c:v>
                </c:pt>
                <c:pt idx="7">
                  <c:v>Punicacées</c:v>
                </c:pt>
                <c:pt idx="8">
                  <c:v>Cistacées</c:v>
                </c:pt>
                <c:pt idx="9">
                  <c:v>Ranunculaceae</c:v>
                </c:pt>
                <c:pt idx="10">
                  <c:v>Theaceae</c:v>
                </c:pt>
                <c:pt idx="11">
                  <c:v>Rutaceae</c:v>
                </c:pt>
                <c:pt idx="12">
                  <c:v>Cupressacées</c:v>
                </c:pt>
                <c:pt idx="13">
                  <c:v>Zingiberaceae</c:v>
                </c:pt>
                <c:pt idx="14">
                  <c:v>Cucurbitaceae</c:v>
                </c:pt>
                <c:pt idx="15">
                  <c:v>Rosaceae</c:v>
                </c:pt>
              </c:strCache>
              <c:extLst/>
            </c:strRef>
          </c:cat>
          <c:val>
            <c:numRef>
              <c:f>Feuil2!$D$55:$D$81</c:f>
              <c:numCache>
                <c:formatCode>General</c:formatCode>
                <c:ptCount val="16"/>
                <c:pt idx="0">
                  <c:v>25</c:v>
                </c:pt>
                <c:pt idx="1">
                  <c:v>24</c:v>
                </c:pt>
                <c:pt idx="2">
                  <c:v>119</c:v>
                </c:pt>
                <c:pt idx="3">
                  <c:v>20</c:v>
                </c:pt>
                <c:pt idx="4">
                  <c:v>2</c:v>
                </c:pt>
                <c:pt idx="5">
                  <c:v>14</c:v>
                </c:pt>
                <c:pt idx="6">
                  <c:v>9</c:v>
                </c:pt>
                <c:pt idx="7">
                  <c:v>2</c:v>
                </c:pt>
                <c:pt idx="8">
                  <c:v>1</c:v>
                </c:pt>
                <c:pt idx="9">
                  <c:v>1</c:v>
                </c:pt>
                <c:pt idx="10">
                  <c:v>1</c:v>
                </c:pt>
                <c:pt idx="11">
                  <c:v>5</c:v>
                </c:pt>
                <c:pt idx="12">
                  <c:v>7</c:v>
                </c:pt>
                <c:pt idx="13">
                  <c:v>6</c:v>
                </c:pt>
                <c:pt idx="14">
                  <c:v>3</c:v>
                </c:pt>
                <c:pt idx="15">
                  <c:v>1</c:v>
                </c:pt>
              </c:numCache>
              <c:extLst/>
            </c:numRef>
          </c:val>
          <c:extLst>
            <c:ext xmlns:c16="http://schemas.microsoft.com/office/drawing/2014/chart" uri="{C3380CC4-5D6E-409C-BE32-E72D297353CC}">
              <c16:uniqueId val="{00000000-5368-45A1-ABC4-104632043023}"/>
            </c:ext>
          </c:extLst>
        </c:ser>
        <c:dLbls>
          <c:showLegendKey val="0"/>
          <c:showVal val="0"/>
          <c:showCatName val="0"/>
          <c:showSerName val="0"/>
          <c:showPercent val="0"/>
          <c:showBubbleSize val="0"/>
        </c:dLbls>
        <c:gapWidth val="115"/>
        <c:overlap val="-20"/>
        <c:axId val="1534386879"/>
        <c:axId val="1534403103"/>
      </c:barChart>
      <c:catAx>
        <c:axId val="1534386879"/>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34403103"/>
        <c:crosses val="autoZero"/>
        <c:auto val="1"/>
        <c:lblAlgn val="ctr"/>
        <c:lblOffset val="100"/>
        <c:noMultiLvlLbl val="0"/>
      </c:catAx>
      <c:valAx>
        <c:axId val="15344031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343868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'age non'!$F$8</c:f>
              <c:strCache>
                <c:ptCount val="1"/>
                <c:pt idx="0">
                  <c:v>non utilisateurs </c:v>
                </c:pt>
              </c:strCache>
            </c:strRef>
          </c:tx>
          <c:invertIfNegative val="0"/>
          <c:cat>
            <c:strRef>
              <c:f>'age non'!$E$9:$E$15</c:f>
              <c:strCache>
                <c:ptCount val="7"/>
                <c:pt idx="0">
                  <c:v>30-39</c:v>
                </c:pt>
                <c:pt idx="1">
                  <c:v>40-49</c:v>
                </c:pt>
                <c:pt idx="2">
                  <c:v>50-59</c:v>
                </c:pt>
                <c:pt idx="3">
                  <c:v>60-69</c:v>
                </c:pt>
                <c:pt idx="4">
                  <c:v>70-79</c:v>
                </c:pt>
                <c:pt idx="5">
                  <c:v>80-89</c:v>
                </c:pt>
                <c:pt idx="6">
                  <c:v>90-100</c:v>
                </c:pt>
              </c:strCache>
            </c:strRef>
          </c:cat>
          <c:val>
            <c:numRef>
              <c:f>'age non'!$F$9:$F$15</c:f>
              <c:numCache>
                <c:formatCode>General</c:formatCode>
                <c:ptCount val="7"/>
                <c:pt idx="0">
                  <c:v>4</c:v>
                </c:pt>
                <c:pt idx="1">
                  <c:v>12</c:v>
                </c:pt>
                <c:pt idx="2">
                  <c:v>28</c:v>
                </c:pt>
                <c:pt idx="3">
                  <c:v>33</c:v>
                </c:pt>
                <c:pt idx="4">
                  <c:v>12</c:v>
                </c:pt>
                <c:pt idx="5">
                  <c:v>3</c:v>
                </c:pt>
                <c:pt idx="6">
                  <c:v>1</c:v>
                </c:pt>
              </c:numCache>
            </c:numRef>
          </c:val>
          <c:extLst>
            <c:ext xmlns:c16="http://schemas.microsoft.com/office/drawing/2014/chart" uri="{C3380CC4-5D6E-409C-BE32-E72D297353CC}">
              <c16:uniqueId val="{00000000-8F8D-4850-820A-7C375E7FFB63}"/>
            </c:ext>
          </c:extLst>
        </c:ser>
        <c:ser>
          <c:idx val="1"/>
          <c:order val="1"/>
          <c:tx>
            <c:strRef>
              <c:f>'age non'!$G$8</c:f>
              <c:strCache>
                <c:ptCount val="1"/>
                <c:pt idx="0">
                  <c:v>utilisateurs</c:v>
                </c:pt>
              </c:strCache>
            </c:strRef>
          </c:tx>
          <c:invertIfNegative val="0"/>
          <c:cat>
            <c:strRef>
              <c:f>'age non'!$E$9:$E$15</c:f>
              <c:strCache>
                <c:ptCount val="7"/>
                <c:pt idx="0">
                  <c:v>30-39</c:v>
                </c:pt>
                <c:pt idx="1">
                  <c:v>40-49</c:v>
                </c:pt>
                <c:pt idx="2">
                  <c:v>50-59</c:v>
                </c:pt>
                <c:pt idx="3">
                  <c:v>60-69</c:v>
                </c:pt>
                <c:pt idx="4">
                  <c:v>70-79</c:v>
                </c:pt>
                <c:pt idx="5">
                  <c:v>80-89</c:v>
                </c:pt>
                <c:pt idx="6">
                  <c:v>90-100</c:v>
                </c:pt>
              </c:strCache>
            </c:strRef>
          </c:cat>
          <c:val>
            <c:numRef>
              <c:f>'age non'!$G$9:$G$15</c:f>
              <c:numCache>
                <c:formatCode>General</c:formatCode>
                <c:ptCount val="7"/>
                <c:pt idx="0">
                  <c:v>2</c:v>
                </c:pt>
                <c:pt idx="1">
                  <c:v>24</c:v>
                </c:pt>
                <c:pt idx="2">
                  <c:v>40</c:v>
                </c:pt>
                <c:pt idx="3">
                  <c:v>56</c:v>
                </c:pt>
                <c:pt idx="4">
                  <c:v>34</c:v>
                </c:pt>
                <c:pt idx="5">
                  <c:v>2</c:v>
                </c:pt>
                <c:pt idx="6">
                  <c:v>0</c:v>
                </c:pt>
              </c:numCache>
            </c:numRef>
          </c:val>
          <c:extLst>
            <c:ext xmlns:c16="http://schemas.microsoft.com/office/drawing/2014/chart" uri="{C3380CC4-5D6E-409C-BE32-E72D297353CC}">
              <c16:uniqueId val="{00000001-8F8D-4850-820A-7C375E7FFB63}"/>
            </c:ext>
          </c:extLst>
        </c:ser>
        <c:dLbls>
          <c:showLegendKey val="0"/>
          <c:showVal val="0"/>
          <c:showCatName val="0"/>
          <c:showSerName val="0"/>
          <c:showPercent val="0"/>
          <c:showBubbleSize val="0"/>
        </c:dLbls>
        <c:gapWidth val="150"/>
        <c:shape val="box"/>
        <c:axId val="117272960"/>
        <c:axId val="117274496"/>
        <c:axId val="0"/>
      </c:bar3DChart>
      <c:catAx>
        <c:axId val="117272960"/>
        <c:scaling>
          <c:orientation val="minMax"/>
        </c:scaling>
        <c:delete val="0"/>
        <c:axPos val="b"/>
        <c:numFmt formatCode="General" sourceLinked="0"/>
        <c:majorTickMark val="out"/>
        <c:minorTickMark val="none"/>
        <c:tickLblPos val="nextTo"/>
        <c:crossAx val="117274496"/>
        <c:crosses val="autoZero"/>
        <c:auto val="1"/>
        <c:lblAlgn val="ctr"/>
        <c:lblOffset val="100"/>
        <c:noMultiLvlLbl val="0"/>
      </c:catAx>
      <c:valAx>
        <c:axId val="117274496"/>
        <c:scaling>
          <c:orientation val="minMax"/>
        </c:scaling>
        <c:delete val="0"/>
        <c:axPos val="l"/>
        <c:majorGridlines/>
        <c:numFmt formatCode="General" sourceLinked="1"/>
        <c:majorTickMark val="out"/>
        <c:minorTickMark val="none"/>
        <c:tickLblPos val="nextTo"/>
        <c:crossAx val="11727296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SEXE2!$K$6</c:f>
              <c:strCache>
                <c:ptCount val="1"/>
                <c:pt idx="0">
                  <c:v>F</c:v>
                </c:pt>
              </c:strCache>
            </c:strRef>
          </c:tx>
          <c:invertIfNegative val="0"/>
          <c:cat>
            <c:strRef>
              <c:f>SEXE2!$L$5:$M$5</c:f>
              <c:strCache>
                <c:ptCount val="2"/>
                <c:pt idx="0">
                  <c:v>utilisateurs</c:v>
                </c:pt>
                <c:pt idx="1">
                  <c:v>non utilisateurs</c:v>
                </c:pt>
              </c:strCache>
            </c:strRef>
          </c:cat>
          <c:val>
            <c:numRef>
              <c:f>SEXE2!$L$6:$M$6</c:f>
              <c:numCache>
                <c:formatCode>General</c:formatCode>
                <c:ptCount val="2"/>
                <c:pt idx="0">
                  <c:v>83</c:v>
                </c:pt>
                <c:pt idx="1">
                  <c:v>45</c:v>
                </c:pt>
              </c:numCache>
            </c:numRef>
          </c:val>
          <c:extLst>
            <c:ext xmlns:c16="http://schemas.microsoft.com/office/drawing/2014/chart" uri="{C3380CC4-5D6E-409C-BE32-E72D297353CC}">
              <c16:uniqueId val="{00000000-BFF3-4CE7-9306-29064CC886AA}"/>
            </c:ext>
          </c:extLst>
        </c:ser>
        <c:ser>
          <c:idx val="1"/>
          <c:order val="1"/>
          <c:tx>
            <c:strRef>
              <c:f>SEXE2!$K$7</c:f>
              <c:strCache>
                <c:ptCount val="1"/>
                <c:pt idx="0">
                  <c:v>H</c:v>
                </c:pt>
              </c:strCache>
            </c:strRef>
          </c:tx>
          <c:invertIfNegative val="0"/>
          <c:cat>
            <c:strRef>
              <c:f>SEXE2!$L$5:$M$5</c:f>
              <c:strCache>
                <c:ptCount val="2"/>
                <c:pt idx="0">
                  <c:v>utilisateurs</c:v>
                </c:pt>
                <c:pt idx="1">
                  <c:v>non utilisateurs</c:v>
                </c:pt>
              </c:strCache>
            </c:strRef>
          </c:cat>
          <c:val>
            <c:numRef>
              <c:f>SEXE2!$L$7:$M$7</c:f>
              <c:numCache>
                <c:formatCode>General</c:formatCode>
                <c:ptCount val="2"/>
                <c:pt idx="0">
                  <c:v>75</c:v>
                </c:pt>
                <c:pt idx="1">
                  <c:v>48</c:v>
                </c:pt>
              </c:numCache>
            </c:numRef>
          </c:val>
          <c:extLst>
            <c:ext xmlns:c16="http://schemas.microsoft.com/office/drawing/2014/chart" uri="{C3380CC4-5D6E-409C-BE32-E72D297353CC}">
              <c16:uniqueId val="{00000001-BFF3-4CE7-9306-29064CC886AA}"/>
            </c:ext>
          </c:extLst>
        </c:ser>
        <c:dLbls>
          <c:showLegendKey val="0"/>
          <c:showVal val="0"/>
          <c:showCatName val="0"/>
          <c:showSerName val="0"/>
          <c:showPercent val="0"/>
          <c:showBubbleSize val="0"/>
        </c:dLbls>
        <c:gapWidth val="150"/>
        <c:shape val="cylinder"/>
        <c:axId val="119258496"/>
        <c:axId val="135321088"/>
        <c:axId val="0"/>
      </c:bar3DChart>
      <c:catAx>
        <c:axId val="119258496"/>
        <c:scaling>
          <c:orientation val="minMax"/>
        </c:scaling>
        <c:delete val="0"/>
        <c:axPos val="b"/>
        <c:numFmt formatCode="General" sourceLinked="0"/>
        <c:majorTickMark val="out"/>
        <c:minorTickMark val="none"/>
        <c:tickLblPos val="nextTo"/>
        <c:crossAx val="135321088"/>
        <c:crosses val="autoZero"/>
        <c:auto val="1"/>
        <c:lblAlgn val="ctr"/>
        <c:lblOffset val="100"/>
        <c:noMultiLvlLbl val="0"/>
      </c:catAx>
      <c:valAx>
        <c:axId val="135321088"/>
        <c:scaling>
          <c:orientation val="minMax"/>
        </c:scaling>
        <c:delete val="0"/>
        <c:axPos val="l"/>
        <c:majorGridlines/>
        <c:numFmt formatCode="General" sourceLinked="1"/>
        <c:majorTickMark val="out"/>
        <c:minorTickMark val="none"/>
        <c:tickLblPos val="nextTo"/>
        <c:crossAx val="119258496"/>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'IMC 2'!$F$4</c:f>
              <c:strCache>
                <c:ptCount val="1"/>
                <c:pt idx="0">
                  <c:v>utilisateurs </c:v>
                </c:pt>
              </c:strCache>
            </c:strRef>
          </c:tx>
          <c:spPr>
            <a:solidFill>
              <a:schemeClr val="accent1"/>
            </a:solidFill>
            <a:ln>
              <a:noFill/>
            </a:ln>
            <a:effectLst/>
            <a:sp3d/>
          </c:spPr>
          <c:invertIfNegative val="0"/>
          <c:cat>
            <c:strRef>
              <c:f>'IMC 2'!$E$5:$E$9</c:f>
              <c:strCache>
                <c:ptCount val="5"/>
                <c:pt idx="0">
                  <c:v>IMC ˂ 18,5</c:v>
                </c:pt>
                <c:pt idx="1">
                  <c:v>18,5≤ IMC ˂24,99</c:v>
                </c:pt>
                <c:pt idx="2">
                  <c:v>25≤ IMC ˂29,99</c:v>
                </c:pt>
                <c:pt idx="3">
                  <c:v>30≤ IMC ˂34,9</c:v>
                </c:pt>
                <c:pt idx="4">
                  <c:v>IMC ≥35</c:v>
                </c:pt>
              </c:strCache>
            </c:strRef>
          </c:cat>
          <c:val>
            <c:numRef>
              <c:f>'IMC 2'!$F$5:$F$9</c:f>
              <c:numCache>
                <c:formatCode>General</c:formatCode>
                <c:ptCount val="5"/>
                <c:pt idx="0">
                  <c:v>3</c:v>
                </c:pt>
                <c:pt idx="1">
                  <c:v>51</c:v>
                </c:pt>
                <c:pt idx="2">
                  <c:v>65</c:v>
                </c:pt>
                <c:pt idx="3">
                  <c:v>31</c:v>
                </c:pt>
                <c:pt idx="4">
                  <c:v>9</c:v>
                </c:pt>
              </c:numCache>
            </c:numRef>
          </c:val>
          <c:extLst>
            <c:ext xmlns:c16="http://schemas.microsoft.com/office/drawing/2014/chart" uri="{C3380CC4-5D6E-409C-BE32-E72D297353CC}">
              <c16:uniqueId val="{00000000-96EF-4507-B190-2871985230E8}"/>
            </c:ext>
          </c:extLst>
        </c:ser>
        <c:ser>
          <c:idx val="1"/>
          <c:order val="1"/>
          <c:tx>
            <c:strRef>
              <c:f>'IMC 2'!$G$4</c:f>
              <c:strCache>
                <c:ptCount val="1"/>
                <c:pt idx="0">
                  <c:v>non utilisateurs</c:v>
                </c:pt>
              </c:strCache>
            </c:strRef>
          </c:tx>
          <c:spPr>
            <a:solidFill>
              <a:schemeClr val="accent2"/>
            </a:solidFill>
            <a:ln>
              <a:noFill/>
            </a:ln>
            <a:effectLst/>
            <a:sp3d/>
          </c:spPr>
          <c:invertIfNegative val="0"/>
          <c:cat>
            <c:strRef>
              <c:f>'IMC 2'!$E$5:$E$9</c:f>
              <c:strCache>
                <c:ptCount val="5"/>
                <c:pt idx="0">
                  <c:v>IMC ˂ 18,5</c:v>
                </c:pt>
                <c:pt idx="1">
                  <c:v>18,5≤ IMC ˂24,99</c:v>
                </c:pt>
                <c:pt idx="2">
                  <c:v>25≤ IMC ˂29,99</c:v>
                </c:pt>
                <c:pt idx="3">
                  <c:v>30≤ IMC ˂34,9</c:v>
                </c:pt>
                <c:pt idx="4">
                  <c:v>IMC ≥35</c:v>
                </c:pt>
              </c:strCache>
            </c:strRef>
          </c:cat>
          <c:val>
            <c:numRef>
              <c:f>'IMC 2'!$G$5:$G$9</c:f>
              <c:numCache>
                <c:formatCode>General</c:formatCode>
                <c:ptCount val="5"/>
                <c:pt idx="0">
                  <c:v>6</c:v>
                </c:pt>
                <c:pt idx="1">
                  <c:v>32</c:v>
                </c:pt>
                <c:pt idx="2">
                  <c:v>28</c:v>
                </c:pt>
                <c:pt idx="3">
                  <c:v>22</c:v>
                </c:pt>
                <c:pt idx="4">
                  <c:v>5</c:v>
                </c:pt>
              </c:numCache>
            </c:numRef>
          </c:val>
          <c:extLst>
            <c:ext xmlns:c16="http://schemas.microsoft.com/office/drawing/2014/chart" uri="{C3380CC4-5D6E-409C-BE32-E72D297353CC}">
              <c16:uniqueId val="{00000001-96EF-4507-B190-2871985230E8}"/>
            </c:ext>
          </c:extLst>
        </c:ser>
        <c:dLbls>
          <c:showLegendKey val="0"/>
          <c:showVal val="0"/>
          <c:showCatName val="0"/>
          <c:showSerName val="0"/>
          <c:showPercent val="0"/>
          <c:showBubbleSize val="0"/>
        </c:dLbls>
        <c:gapWidth val="150"/>
        <c:shape val="box"/>
        <c:axId val="137935104"/>
        <c:axId val="138182656"/>
        <c:axId val="0"/>
      </c:bar3DChart>
      <c:catAx>
        <c:axId val="1379351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38182656"/>
        <c:crosses val="autoZero"/>
        <c:auto val="1"/>
        <c:lblAlgn val="ctr"/>
        <c:lblOffset val="100"/>
        <c:noMultiLvlLbl val="0"/>
      </c:catAx>
      <c:valAx>
        <c:axId val="138182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37935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[pratiqqq.xlsx]TT!$E$4</c:f>
              <c:strCache>
                <c:ptCount val="1"/>
                <c:pt idx="0">
                  <c:v>non utilisateurs </c:v>
                </c:pt>
              </c:strCache>
            </c:strRef>
          </c:tx>
          <c:spPr>
            <a:solidFill>
              <a:schemeClr val="accent6"/>
            </a:solidFill>
            <a:ln>
              <a:noFill/>
            </a:ln>
            <a:effectLst>
              <a:outerShdw blurRad="50800" dist="38100" sx="95000" sy="95000" algn="l" rotWithShape="0">
                <a:prstClr val="black">
                  <a:alpha val="40000"/>
                </a:prstClr>
              </a:outerShdw>
            </a:effectLst>
            <a:sp3d/>
          </c:spPr>
          <c:invertIfNegative val="0"/>
          <c:cat>
            <c:multiLvlStrRef>
              <c:f>[pratiqqq.xlsx]TT!$C$5:$D$8</c:f>
              <c:multiLvlStrCache>
                <c:ptCount val="4"/>
                <c:lvl>
                  <c:pt idx="0">
                    <c:v>&lt;94cm</c:v>
                  </c:pt>
                  <c:pt idx="1">
                    <c:v>≥94cm</c:v>
                  </c:pt>
                  <c:pt idx="2">
                    <c:v>&lt; 80 cm</c:v>
                  </c:pt>
                  <c:pt idx="3">
                    <c:v>≥ 80 cm</c:v>
                  </c:pt>
                </c:lvl>
                <c:lvl>
                  <c:pt idx="0">
                    <c:v>hommes</c:v>
                  </c:pt>
                  <c:pt idx="2">
                    <c:v>femmes</c:v>
                  </c:pt>
                </c:lvl>
              </c:multiLvlStrCache>
            </c:multiLvlStrRef>
          </c:cat>
          <c:val>
            <c:numRef>
              <c:f>[pratiqqq.xlsx]TT!$E$5:$E$8</c:f>
              <c:numCache>
                <c:formatCode>General</c:formatCode>
                <c:ptCount val="4"/>
                <c:pt idx="0">
                  <c:v>46</c:v>
                </c:pt>
                <c:pt idx="1">
                  <c:v>2</c:v>
                </c:pt>
                <c:pt idx="2">
                  <c:v>15</c:v>
                </c:pt>
                <c:pt idx="3">
                  <c:v>30</c:v>
                </c:pt>
              </c:numCache>
            </c:numRef>
          </c:val>
          <c:extLst>
            <c:ext xmlns:c16="http://schemas.microsoft.com/office/drawing/2014/chart" uri="{C3380CC4-5D6E-409C-BE32-E72D297353CC}">
              <c16:uniqueId val="{00000000-41AB-4B3E-8B14-A3DC867CB136}"/>
            </c:ext>
          </c:extLst>
        </c:ser>
        <c:ser>
          <c:idx val="1"/>
          <c:order val="1"/>
          <c:tx>
            <c:strRef>
              <c:f>[pratiqqq.xlsx]TT!$F$4</c:f>
              <c:strCache>
                <c:ptCount val="1"/>
                <c:pt idx="0">
                  <c:v>utilisateurs </c:v>
                </c:pt>
              </c:strCache>
            </c:strRef>
          </c:tx>
          <c:spPr>
            <a:solidFill>
              <a:schemeClr val="accent5"/>
            </a:solidFill>
            <a:ln>
              <a:noFill/>
            </a:ln>
            <a:effectLst>
              <a:outerShdw blurRad="50800" dist="38100" algn="l" rotWithShape="0">
                <a:prstClr val="black">
                  <a:alpha val="40000"/>
                </a:prstClr>
              </a:outerShdw>
            </a:effectLst>
            <a:sp3d/>
          </c:spPr>
          <c:invertIfNegative val="0"/>
          <c:cat>
            <c:multiLvlStrRef>
              <c:f>[pratiqqq.xlsx]TT!$C$5:$D$8</c:f>
              <c:multiLvlStrCache>
                <c:ptCount val="4"/>
                <c:lvl>
                  <c:pt idx="0">
                    <c:v>&lt;94cm</c:v>
                  </c:pt>
                  <c:pt idx="1">
                    <c:v>≥94cm</c:v>
                  </c:pt>
                  <c:pt idx="2">
                    <c:v>&lt; 80 cm</c:v>
                  </c:pt>
                  <c:pt idx="3">
                    <c:v>≥ 80 cm</c:v>
                  </c:pt>
                </c:lvl>
                <c:lvl>
                  <c:pt idx="0">
                    <c:v>hommes</c:v>
                  </c:pt>
                  <c:pt idx="2">
                    <c:v>femmes</c:v>
                  </c:pt>
                </c:lvl>
              </c:multiLvlStrCache>
            </c:multiLvlStrRef>
          </c:cat>
          <c:val>
            <c:numRef>
              <c:f>[pratiqqq.xlsx]TT!$F$5:$F$8</c:f>
              <c:numCache>
                <c:formatCode>General</c:formatCode>
                <c:ptCount val="4"/>
                <c:pt idx="0">
                  <c:v>69</c:v>
                </c:pt>
                <c:pt idx="1">
                  <c:v>6</c:v>
                </c:pt>
                <c:pt idx="2">
                  <c:v>29</c:v>
                </c:pt>
                <c:pt idx="3">
                  <c:v>54</c:v>
                </c:pt>
              </c:numCache>
            </c:numRef>
          </c:val>
          <c:extLst>
            <c:ext xmlns:c16="http://schemas.microsoft.com/office/drawing/2014/chart" uri="{C3380CC4-5D6E-409C-BE32-E72D297353CC}">
              <c16:uniqueId val="{00000001-41AB-4B3E-8B14-A3DC867CB136}"/>
            </c:ext>
          </c:extLst>
        </c:ser>
        <c:dLbls>
          <c:showLegendKey val="0"/>
          <c:showVal val="0"/>
          <c:showCatName val="0"/>
          <c:showSerName val="0"/>
          <c:showPercent val="0"/>
          <c:showBubbleSize val="0"/>
        </c:dLbls>
        <c:gapWidth val="150"/>
        <c:shape val="box"/>
        <c:axId val="1401797999"/>
        <c:axId val="1401800495"/>
        <c:axId val="0"/>
      </c:bar3DChart>
      <c:catAx>
        <c:axId val="140179799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01800495"/>
        <c:crosses val="autoZero"/>
        <c:auto val="1"/>
        <c:lblAlgn val="ctr"/>
        <c:lblOffset val="100"/>
        <c:noMultiLvlLbl val="0"/>
      </c:catAx>
      <c:valAx>
        <c:axId val="1401800495"/>
        <c:scaling>
          <c:orientation val="minMax"/>
        </c:scaling>
        <c:delete val="0"/>
        <c:axPos val="l"/>
        <c:majorGridlines>
          <c:spPr>
            <a:ln w="9525" cap="flat" cmpd="sng" algn="ctr">
              <a:solidFill>
                <a:schemeClr val="tx1">
                  <a:lumMod val="15000"/>
                  <a:lumOff val="85000"/>
                </a:schemeClr>
              </a:solidFill>
              <a:round/>
            </a:ln>
            <a:effectLst>
              <a:outerShdw blurRad="50800" dist="38100" dir="2700000" algn="tl" rotWithShape="0">
                <a:prstClr val="black">
                  <a:alpha val="40000"/>
                </a:prstClr>
              </a:outerShdw>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017979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duree1!$F$3</c:f>
              <c:strCache>
                <c:ptCount val="1"/>
                <c:pt idx="0">
                  <c:v>utilisateurs</c:v>
                </c:pt>
              </c:strCache>
            </c:strRef>
          </c:tx>
          <c:spPr>
            <a:solidFill>
              <a:schemeClr val="accent1"/>
            </a:solidFill>
            <a:ln>
              <a:noFill/>
            </a:ln>
            <a:effectLst/>
            <a:sp3d/>
          </c:spPr>
          <c:invertIfNegative val="0"/>
          <c:cat>
            <c:strRef>
              <c:f>duree1!$E$4:$E$8</c:f>
              <c:strCache>
                <c:ptCount val="5"/>
                <c:pt idx="0">
                  <c:v>˂1 année</c:v>
                </c:pt>
                <c:pt idx="1">
                  <c:v>[1-10] ans</c:v>
                </c:pt>
                <c:pt idx="2">
                  <c:v>[10-20] ans</c:v>
                </c:pt>
                <c:pt idx="3">
                  <c:v>[20-30] ans</c:v>
                </c:pt>
                <c:pt idx="4">
                  <c:v>[30-40] ans</c:v>
                </c:pt>
              </c:strCache>
            </c:strRef>
          </c:cat>
          <c:val>
            <c:numRef>
              <c:f>duree1!$F$4:$F$8</c:f>
              <c:numCache>
                <c:formatCode>General</c:formatCode>
                <c:ptCount val="5"/>
                <c:pt idx="0">
                  <c:v>3</c:v>
                </c:pt>
                <c:pt idx="1">
                  <c:v>62</c:v>
                </c:pt>
                <c:pt idx="2">
                  <c:v>17</c:v>
                </c:pt>
                <c:pt idx="3">
                  <c:v>10</c:v>
                </c:pt>
                <c:pt idx="4">
                  <c:v>1</c:v>
                </c:pt>
              </c:numCache>
            </c:numRef>
          </c:val>
          <c:extLst>
            <c:ext xmlns:c16="http://schemas.microsoft.com/office/drawing/2014/chart" uri="{C3380CC4-5D6E-409C-BE32-E72D297353CC}">
              <c16:uniqueId val="{00000000-AF2C-4459-8C3A-73B9179B2EAA}"/>
            </c:ext>
          </c:extLst>
        </c:ser>
        <c:ser>
          <c:idx val="1"/>
          <c:order val="1"/>
          <c:tx>
            <c:strRef>
              <c:f>duree1!$G$3</c:f>
              <c:strCache>
                <c:ptCount val="1"/>
                <c:pt idx="0">
                  <c:v>non utilisateurs</c:v>
                </c:pt>
              </c:strCache>
            </c:strRef>
          </c:tx>
          <c:spPr>
            <a:solidFill>
              <a:schemeClr val="accent2"/>
            </a:solidFill>
            <a:ln>
              <a:noFill/>
            </a:ln>
            <a:effectLst/>
            <a:sp3d/>
          </c:spPr>
          <c:invertIfNegative val="0"/>
          <c:cat>
            <c:strRef>
              <c:f>duree1!$E$4:$E$8</c:f>
              <c:strCache>
                <c:ptCount val="5"/>
                <c:pt idx="0">
                  <c:v>˂1 année</c:v>
                </c:pt>
                <c:pt idx="1">
                  <c:v>[1-10] ans</c:v>
                </c:pt>
                <c:pt idx="2">
                  <c:v>[10-20] ans</c:v>
                </c:pt>
                <c:pt idx="3">
                  <c:v>[20-30] ans</c:v>
                </c:pt>
                <c:pt idx="4">
                  <c:v>[30-40] ans</c:v>
                </c:pt>
              </c:strCache>
            </c:strRef>
          </c:cat>
          <c:val>
            <c:numRef>
              <c:f>duree1!$G$4:$G$8</c:f>
              <c:numCache>
                <c:formatCode>General</c:formatCode>
                <c:ptCount val="5"/>
                <c:pt idx="0">
                  <c:v>3</c:v>
                </c:pt>
                <c:pt idx="1">
                  <c:v>88</c:v>
                </c:pt>
                <c:pt idx="2">
                  <c:v>47</c:v>
                </c:pt>
                <c:pt idx="3">
                  <c:v>18</c:v>
                </c:pt>
                <c:pt idx="4">
                  <c:v>2</c:v>
                </c:pt>
              </c:numCache>
            </c:numRef>
          </c:val>
          <c:extLst>
            <c:ext xmlns:c16="http://schemas.microsoft.com/office/drawing/2014/chart" uri="{C3380CC4-5D6E-409C-BE32-E72D297353CC}">
              <c16:uniqueId val="{00000001-AF2C-4459-8C3A-73B9179B2EAA}"/>
            </c:ext>
          </c:extLst>
        </c:ser>
        <c:dLbls>
          <c:showLegendKey val="0"/>
          <c:showVal val="0"/>
          <c:showCatName val="0"/>
          <c:showSerName val="0"/>
          <c:showPercent val="0"/>
          <c:showBubbleSize val="0"/>
        </c:dLbls>
        <c:gapWidth val="150"/>
        <c:shape val="box"/>
        <c:axId val="138994048"/>
        <c:axId val="138995584"/>
        <c:axId val="0"/>
      </c:bar3DChart>
      <c:catAx>
        <c:axId val="1389940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38995584"/>
        <c:crosses val="autoZero"/>
        <c:auto val="1"/>
        <c:lblAlgn val="ctr"/>
        <c:lblOffset val="100"/>
        <c:noMultiLvlLbl val="0"/>
      </c:catAx>
      <c:valAx>
        <c:axId val="138995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38994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'trt2'!$E$3</c:f>
              <c:strCache>
                <c:ptCount val="1"/>
                <c:pt idx="0">
                  <c:v>utilisateurs</c:v>
                </c:pt>
              </c:strCache>
            </c:strRef>
          </c:tx>
          <c:spPr>
            <a:solidFill>
              <a:schemeClr val="accent1"/>
            </a:solidFill>
            <a:ln>
              <a:noFill/>
            </a:ln>
            <a:effectLst/>
          </c:spPr>
          <c:invertIfNegative val="0"/>
          <c:cat>
            <c:strRef>
              <c:f>'trt2'!$D$4:$D$7</c:f>
              <c:strCache>
                <c:ptCount val="4"/>
                <c:pt idx="0">
                  <c:v>ADO</c:v>
                </c:pt>
                <c:pt idx="1">
                  <c:v>Insuline</c:v>
                </c:pt>
                <c:pt idx="2">
                  <c:v>Les deux</c:v>
                </c:pt>
                <c:pt idx="3">
                  <c:v>Régime alimentaire seul</c:v>
                </c:pt>
              </c:strCache>
            </c:strRef>
          </c:cat>
          <c:val>
            <c:numRef>
              <c:f>'trt2'!$E$4:$E$7</c:f>
              <c:numCache>
                <c:formatCode>General</c:formatCode>
                <c:ptCount val="4"/>
                <c:pt idx="0">
                  <c:v>109</c:v>
                </c:pt>
                <c:pt idx="1">
                  <c:v>13</c:v>
                </c:pt>
                <c:pt idx="2">
                  <c:v>27</c:v>
                </c:pt>
                <c:pt idx="3">
                  <c:v>9</c:v>
                </c:pt>
              </c:numCache>
            </c:numRef>
          </c:val>
          <c:extLst>
            <c:ext xmlns:c16="http://schemas.microsoft.com/office/drawing/2014/chart" uri="{C3380CC4-5D6E-409C-BE32-E72D297353CC}">
              <c16:uniqueId val="{00000000-BADA-441F-9E5A-448C7D7AD2F9}"/>
            </c:ext>
          </c:extLst>
        </c:ser>
        <c:ser>
          <c:idx val="1"/>
          <c:order val="1"/>
          <c:tx>
            <c:strRef>
              <c:f>'trt2'!$F$3</c:f>
              <c:strCache>
                <c:ptCount val="1"/>
                <c:pt idx="0">
                  <c:v>non utilisateurs</c:v>
                </c:pt>
              </c:strCache>
            </c:strRef>
          </c:tx>
          <c:spPr>
            <a:solidFill>
              <a:schemeClr val="accent2"/>
            </a:solidFill>
            <a:ln>
              <a:noFill/>
            </a:ln>
            <a:effectLst/>
          </c:spPr>
          <c:invertIfNegative val="0"/>
          <c:cat>
            <c:strRef>
              <c:f>'trt2'!$D$4:$D$7</c:f>
              <c:strCache>
                <c:ptCount val="4"/>
                <c:pt idx="0">
                  <c:v>ADO</c:v>
                </c:pt>
                <c:pt idx="1">
                  <c:v>Insuline</c:v>
                </c:pt>
                <c:pt idx="2">
                  <c:v>Les deux</c:v>
                </c:pt>
                <c:pt idx="3">
                  <c:v>Régime alimentaire seul</c:v>
                </c:pt>
              </c:strCache>
            </c:strRef>
          </c:cat>
          <c:val>
            <c:numRef>
              <c:f>'trt2'!$F$4:$F$7</c:f>
              <c:numCache>
                <c:formatCode>General</c:formatCode>
                <c:ptCount val="4"/>
                <c:pt idx="0">
                  <c:v>62</c:v>
                </c:pt>
                <c:pt idx="1">
                  <c:v>14</c:v>
                </c:pt>
                <c:pt idx="2">
                  <c:v>14</c:v>
                </c:pt>
                <c:pt idx="3">
                  <c:v>3</c:v>
                </c:pt>
              </c:numCache>
            </c:numRef>
          </c:val>
          <c:extLst>
            <c:ext xmlns:c16="http://schemas.microsoft.com/office/drawing/2014/chart" uri="{C3380CC4-5D6E-409C-BE32-E72D297353CC}">
              <c16:uniqueId val="{00000001-BADA-441F-9E5A-448C7D7AD2F9}"/>
            </c:ext>
          </c:extLst>
        </c:ser>
        <c:dLbls>
          <c:showLegendKey val="0"/>
          <c:showVal val="0"/>
          <c:showCatName val="0"/>
          <c:showSerName val="0"/>
          <c:showPercent val="0"/>
          <c:showBubbleSize val="0"/>
        </c:dLbls>
        <c:gapWidth val="182"/>
        <c:axId val="144332672"/>
        <c:axId val="144334208"/>
      </c:barChart>
      <c:catAx>
        <c:axId val="144332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44334208"/>
        <c:crosses val="autoZero"/>
        <c:auto val="1"/>
        <c:lblAlgn val="ctr"/>
        <c:lblOffset val="100"/>
        <c:noMultiLvlLbl val="0"/>
      </c:catAx>
      <c:valAx>
        <c:axId val="1443342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4433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SURV2!$F$2</c:f>
              <c:strCache>
                <c:ptCount val="1"/>
                <c:pt idx="0">
                  <c:v>utilisateurs </c:v>
                </c:pt>
              </c:strCache>
            </c:strRef>
          </c:tx>
          <c:spPr>
            <a:solidFill>
              <a:schemeClr val="accent1"/>
            </a:solidFill>
            <a:ln>
              <a:noFill/>
            </a:ln>
            <a:effectLst/>
            <a:sp3d/>
          </c:spPr>
          <c:invertIfNegative val="0"/>
          <c:cat>
            <c:strRef>
              <c:f>SURV2!$E$3:$E$6</c:f>
              <c:strCache>
                <c:ptCount val="4"/>
                <c:pt idx="0">
                  <c:v>Aucune</c:v>
                </c:pt>
                <c:pt idx="1">
                  <c:v>Glycémie à jeun</c:v>
                </c:pt>
                <c:pt idx="2">
                  <c:v>HbA1c</c:v>
                </c:pt>
                <c:pt idx="3">
                  <c:v>les deux</c:v>
                </c:pt>
              </c:strCache>
            </c:strRef>
          </c:cat>
          <c:val>
            <c:numRef>
              <c:f>SURV2!$F$3:$F$6</c:f>
              <c:numCache>
                <c:formatCode>General</c:formatCode>
                <c:ptCount val="4"/>
                <c:pt idx="0">
                  <c:v>6</c:v>
                </c:pt>
                <c:pt idx="1">
                  <c:v>76</c:v>
                </c:pt>
                <c:pt idx="2">
                  <c:v>12</c:v>
                </c:pt>
                <c:pt idx="3">
                  <c:v>64</c:v>
                </c:pt>
              </c:numCache>
            </c:numRef>
          </c:val>
          <c:extLst>
            <c:ext xmlns:c16="http://schemas.microsoft.com/office/drawing/2014/chart" uri="{C3380CC4-5D6E-409C-BE32-E72D297353CC}">
              <c16:uniqueId val="{00000000-4F68-489D-A87F-636F0A08F4DB}"/>
            </c:ext>
          </c:extLst>
        </c:ser>
        <c:ser>
          <c:idx val="1"/>
          <c:order val="1"/>
          <c:tx>
            <c:strRef>
              <c:f>SURV2!$G$2</c:f>
              <c:strCache>
                <c:ptCount val="1"/>
                <c:pt idx="0">
                  <c:v>non utilisateurs</c:v>
                </c:pt>
              </c:strCache>
            </c:strRef>
          </c:tx>
          <c:spPr>
            <a:solidFill>
              <a:schemeClr val="accent2"/>
            </a:solidFill>
            <a:ln>
              <a:noFill/>
            </a:ln>
            <a:effectLst/>
            <a:sp3d/>
          </c:spPr>
          <c:invertIfNegative val="0"/>
          <c:cat>
            <c:strRef>
              <c:f>SURV2!$E$3:$E$6</c:f>
              <c:strCache>
                <c:ptCount val="4"/>
                <c:pt idx="0">
                  <c:v>Aucune</c:v>
                </c:pt>
                <c:pt idx="1">
                  <c:v>Glycémie à jeun</c:v>
                </c:pt>
                <c:pt idx="2">
                  <c:v>HbA1c</c:v>
                </c:pt>
                <c:pt idx="3">
                  <c:v>les deux</c:v>
                </c:pt>
              </c:strCache>
            </c:strRef>
          </c:cat>
          <c:val>
            <c:numRef>
              <c:f>SURV2!$G$3:$G$6</c:f>
              <c:numCache>
                <c:formatCode>General</c:formatCode>
                <c:ptCount val="4"/>
                <c:pt idx="0">
                  <c:v>4</c:v>
                </c:pt>
                <c:pt idx="1">
                  <c:v>48</c:v>
                </c:pt>
                <c:pt idx="2">
                  <c:v>6</c:v>
                </c:pt>
                <c:pt idx="3">
                  <c:v>35</c:v>
                </c:pt>
              </c:numCache>
            </c:numRef>
          </c:val>
          <c:extLst>
            <c:ext xmlns:c16="http://schemas.microsoft.com/office/drawing/2014/chart" uri="{C3380CC4-5D6E-409C-BE32-E72D297353CC}">
              <c16:uniqueId val="{00000001-4F68-489D-A87F-636F0A08F4DB}"/>
            </c:ext>
          </c:extLst>
        </c:ser>
        <c:dLbls>
          <c:showLegendKey val="0"/>
          <c:showVal val="0"/>
          <c:showCatName val="0"/>
          <c:showSerName val="0"/>
          <c:showPercent val="0"/>
          <c:showBubbleSize val="0"/>
        </c:dLbls>
        <c:gapWidth val="150"/>
        <c:shape val="box"/>
        <c:axId val="144400384"/>
        <c:axId val="144401920"/>
        <c:axId val="0"/>
      </c:bar3DChart>
      <c:catAx>
        <c:axId val="1444003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44401920"/>
        <c:crosses val="autoZero"/>
        <c:auto val="1"/>
        <c:lblAlgn val="ctr"/>
        <c:lblOffset val="100"/>
        <c:noMultiLvlLbl val="0"/>
      </c:catAx>
      <c:valAx>
        <c:axId val="144401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44400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TTnn!$K$8</c:f>
              <c:strCache>
                <c:ptCount val="1"/>
                <c:pt idx="0">
                  <c:v>Utilisateurs (n=133)</c:v>
                </c:pt>
              </c:strCache>
            </c:strRef>
          </c:tx>
          <c:spPr>
            <a:solidFill>
              <a:schemeClr val="accent1"/>
            </a:solidFill>
            <a:ln>
              <a:noFill/>
            </a:ln>
            <a:effectLst/>
          </c:spPr>
          <c:invertIfNegative val="0"/>
          <c:cat>
            <c:strRef>
              <c:f>TTnn!$I$9:$J$11</c:f>
              <c:strCache>
                <c:ptCount val="3"/>
                <c:pt idx="0">
                  <c:v>Normale</c:v>
                </c:pt>
                <c:pt idx="1">
                  <c:v>Diabète équilibré</c:v>
                </c:pt>
                <c:pt idx="2">
                  <c:v>Diabète non équilibré</c:v>
                </c:pt>
              </c:strCache>
              <c:extLst/>
            </c:strRef>
          </c:cat>
          <c:val>
            <c:numRef>
              <c:f>TTnn!$K$9:$K$11</c:f>
              <c:numCache>
                <c:formatCode>General</c:formatCode>
                <c:ptCount val="3"/>
                <c:pt idx="0">
                  <c:v>7</c:v>
                </c:pt>
                <c:pt idx="1">
                  <c:v>57</c:v>
                </c:pt>
                <c:pt idx="2">
                  <c:v>69</c:v>
                </c:pt>
              </c:numCache>
            </c:numRef>
          </c:val>
          <c:extLst>
            <c:ext xmlns:c16="http://schemas.microsoft.com/office/drawing/2014/chart" uri="{C3380CC4-5D6E-409C-BE32-E72D297353CC}">
              <c16:uniqueId val="{00000000-B89D-45E3-BBBC-63F9428646AD}"/>
            </c:ext>
          </c:extLst>
        </c:ser>
        <c:ser>
          <c:idx val="1"/>
          <c:order val="1"/>
          <c:tx>
            <c:strRef>
              <c:f>TTnn!$L$8</c:f>
              <c:strCache>
                <c:ptCount val="1"/>
                <c:pt idx="0">
                  <c:v>Fréquence (%)</c:v>
                </c:pt>
              </c:strCache>
            </c:strRef>
          </c:tx>
          <c:spPr>
            <a:solidFill>
              <a:schemeClr val="accent2"/>
            </a:solidFill>
            <a:ln>
              <a:noFill/>
            </a:ln>
            <a:effectLst/>
          </c:spPr>
          <c:invertIfNegative val="0"/>
          <c:cat>
            <c:strRef>
              <c:f>TTnn!$I$9:$J$11</c:f>
              <c:strCache>
                <c:ptCount val="3"/>
                <c:pt idx="0">
                  <c:v>Normale</c:v>
                </c:pt>
                <c:pt idx="1">
                  <c:v>Diabète équilibré</c:v>
                </c:pt>
                <c:pt idx="2">
                  <c:v>Diabète non équilibré</c:v>
                </c:pt>
              </c:strCache>
              <c:extLst/>
            </c:strRef>
          </c:cat>
          <c:val>
            <c:numRef>
              <c:f>TTnn!$L$9:$L$11</c:f>
              <c:numCache>
                <c:formatCode>General</c:formatCode>
                <c:ptCount val="3"/>
                <c:pt idx="0">
                  <c:v>0</c:v>
                </c:pt>
                <c:pt idx="1">
                  <c:v>0</c:v>
                </c:pt>
                <c:pt idx="2">
                  <c:v>0</c:v>
                </c:pt>
              </c:numCache>
            </c:numRef>
          </c:val>
          <c:extLst>
            <c:ext xmlns:c16="http://schemas.microsoft.com/office/drawing/2014/chart" uri="{C3380CC4-5D6E-409C-BE32-E72D297353CC}">
              <c16:uniqueId val="{00000001-B89D-45E3-BBBC-63F9428646AD}"/>
            </c:ext>
          </c:extLst>
        </c:ser>
        <c:ser>
          <c:idx val="2"/>
          <c:order val="2"/>
          <c:tx>
            <c:strRef>
              <c:f>TTnn!$M$8</c:f>
              <c:strCache>
                <c:ptCount val="1"/>
                <c:pt idx="0">
                  <c:v>Non-utilisateurs (n=75)</c:v>
                </c:pt>
              </c:strCache>
            </c:strRef>
          </c:tx>
          <c:spPr>
            <a:solidFill>
              <a:schemeClr val="accent3"/>
            </a:solidFill>
            <a:ln>
              <a:noFill/>
            </a:ln>
            <a:effectLst/>
          </c:spPr>
          <c:invertIfNegative val="0"/>
          <c:cat>
            <c:strRef>
              <c:f>TTnn!$I$9:$J$11</c:f>
              <c:strCache>
                <c:ptCount val="3"/>
                <c:pt idx="0">
                  <c:v>Normale</c:v>
                </c:pt>
                <c:pt idx="1">
                  <c:v>Diabète équilibré</c:v>
                </c:pt>
                <c:pt idx="2">
                  <c:v>Diabète non équilibré</c:v>
                </c:pt>
              </c:strCache>
              <c:extLst/>
            </c:strRef>
          </c:cat>
          <c:val>
            <c:numRef>
              <c:f>TTnn!$M$9:$M$11</c:f>
              <c:numCache>
                <c:formatCode>General</c:formatCode>
                <c:ptCount val="3"/>
                <c:pt idx="0">
                  <c:v>4</c:v>
                </c:pt>
                <c:pt idx="1">
                  <c:v>22</c:v>
                </c:pt>
                <c:pt idx="2">
                  <c:v>49</c:v>
                </c:pt>
              </c:numCache>
            </c:numRef>
          </c:val>
          <c:extLst>
            <c:ext xmlns:c16="http://schemas.microsoft.com/office/drawing/2014/chart" uri="{C3380CC4-5D6E-409C-BE32-E72D297353CC}">
              <c16:uniqueId val="{00000002-B89D-45E3-BBBC-63F9428646AD}"/>
            </c:ext>
          </c:extLst>
        </c:ser>
        <c:dLbls>
          <c:showLegendKey val="0"/>
          <c:showVal val="0"/>
          <c:showCatName val="0"/>
          <c:showSerName val="0"/>
          <c:showPercent val="0"/>
          <c:showBubbleSize val="0"/>
        </c:dLbls>
        <c:gapWidth val="182"/>
        <c:axId val="1338786255"/>
        <c:axId val="1338784591"/>
      </c:barChart>
      <c:catAx>
        <c:axId val="13387862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338784591"/>
        <c:crosses val="autoZero"/>
        <c:auto val="1"/>
        <c:lblAlgn val="ctr"/>
        <c:lblOffset val="100"/>
        <c:noMultiLvlLbl val="0"/>
      </c:catAx>
      <c:valAx>
        <c:axId val="133878459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3387862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1"/>
          <c:order val="1"/>
          <c:tx>
            <c:strRef>
              <c:f>[pratiqqq.xlsx]adherence!$H$12</c:f>
              <c:strCache>
                <c:ptCount val="1"/>
                <c:pt idx="0">
                  <c:v>chez les utilisateurs</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[pratiqqq.xlsx]adherence!$F$13:$F$17</c:f>
              <c:strCache>
                <c:ptCount val="5"/>
                <c:pt idx="0">
                  <c:v>arret de traitement en cas de l'oubli</c:v>
                </c:pt>
                <c:pt idx="1">
                  <c:v>l'omission volontaire de la prise médicamenteuse </c:v>
                </c:pt>
                <c:pt idx="2">
                  <c:v>l'arrêt du traitement en cas d'amélioration </c:v>
                </c:pt>
                <c:pt idx="3">
                  <c:v>l'arrêt du traitement en cas d'effets secondaires </c:v>
                </c:pt>
                <c:pt idx="4">
                  <c:v>difficultés liées à la complexité du traitement </c:v>
                </c:pt>
              </c:strCache>
            </c:strRef>
          </c:cat>
          <c:val>
            <c:numRef>
              <c:f>[pratiqqq.xlsx]adherence!$H$13:$H$17</c:f>
              <c:numCache>
                <c:formatCode>General</c:formatCode>
                <c:ptCount val="5"/>
              </c:numCache>
            </c:numRef>
          </c:val>
          <c:extLst>
            <c:ext xmlns:c16="http://schemas.microsoft.com/office/drawing/2014/chart" uri="{C3380CC4-5D6E-409C-BE32-E72D297353CC}">
              <c16:uniqueId val="{00000000-9B9F-4921-83B7-9893097E4A36}"/>
            </c:ext>
          </c:extLst>
        </c:ser>
        <c:ser>
          <c:idx val="3"/>
          <c:order val="3"/>
          <c:tx>
            <c:strRef>
              <c:f>[pratiqqq.xlsx]adherence!$J$12</c:f>
              <c:strCache>
                <c:ptCount val="1"/>
                <c:pt idx="0">
                  <c:v>oui</c:v>
                </c:pt>
              </c:strCache>
            </c:strRef>
          </c:tx>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[pratiqqq.xlsx]adherence!$F$13:$F$17</c:f>
              <c:strCache>
                <c:ptCount val="5"/>
                <c:pt idx="0">
                  <c:v>arret de traitement en cas de l'oubli</c:v>
                </c:pt>
                <c:pt idx="1">
                  <c:v>l'omission volontaire de la prise médicamenteuse </c:v>
                </c:pt>
                <c:pt idx="2">
                  <c:v>l'arrêt du traitement en cas d'amélioration </c:v>
                </c:pt>
                <c:pt idx="3">
                  <c:v>l'arrêt du traitement en cas d'effets secondaires </c:v>
                </c:pt>
                <c:pt idx="4">
                  <c:v>difficultés liées à la complexité du traitement </c:v>
                </c:pt>
              </c:strCache>
            </c:strRef>
          </c:cat>
          <c:val>
            <c:numRef>
              <c:f>[pratiqqq.xlsx]adherence!$J$13:$J$17</c:f>
              <c:numCache>
                <c:formatCode>General</c:formatCode>
                <c:ptCount val="5"/>
                <c:pt idx="0">
                  <c:v>59</c:v>
                </c:pt>
                <c:pt idx="1">
                  <c:v>26</c:v>
                </c:pt>
                <c:pt idx="2">
                  <c:v>18</c:v>
                </c:pt>
                <c:pt idx="3">
                  <c:v>10</c:v>
                </c:pt>
                <c:pt idx="4">
                  <c:v>11</c:v>
                </c:pt>
              </c:numCache>
            </c:numRef>
          </c:val>
          <c:extLst>
            <c:ext xmlns:c16="http://schemas.microsoft.com/office/drawing/2014/chart" uri="{C3380CC4-5D6E-409C-BE32-E72D297353CC}">
              <c16:uniqueId val="{00000001-9B9F-4921-83B7-9893097E4A36}"/>
            </c:ext>
          </c:extLst>
        </c:ser>
        <c:ser>
          <c:idx val="4"/>
          <c:order val="4"/>
          <c:tx>
            <c:strRef>
              <c:f>[pratiqqq.xlsx]adherence!$K$12</c:f>
              <c:strCache>
                <c:ptCount val="1"/>
                <c:pt idx="0">
                  <c:v>non</c:v>
                </c:pt>
              </c:strCache>
            </c:strRef>
          </c:tx>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[pratiqqq.xlsx]adherence!$F$13:$F$17</c:f>
              <c:strCache>
                <c:ptCount val="5"/>
                <c:pt idx="0">
                  <c:v>arret de traitement en cas de l'oubli</c:v>
                </c:pt>
                <c:pt idx="1">
                  <c:v>l'omission volontaire de la prise médicamenteuse </c:v>
                </c:pt>
                <c:pt idx="2">
                  <c:v>l'arrêt du traitement en cas d'amélioration </c:v>
                </c:pt>
                <c:pt idx="3">
                  <c:v>l'arrêt du traitement en cas d'effets secondaires </c:v>
                </c:pt>
                <c:pt idx="4">
                  <c:v>difficultés liées à la complexité du traitement </c:v>
                </c:pt>
              </c:strCache>
            </c:strRef>
          </c:cat>
          <c:val>
            <c:numRef>
              <c:f>[pratiqqq.xlsx]adherence!$K$13:$K$17</c:f>
              <c:numCache>
                <c:formatCode>General</c:formatCode>
                <c:ptCount val="5"/>
                <c:pt idx="0">
                  <c:v>90</c:v>
                </c:pt>
                <c:pt idx="1">
                  <c:v>123</c:v>
                </c:pt>
                <c:pt idx="2">
                  <c:v>131</c:v>
                </c:pt>
                <c:pt idx="3">
                  <c:v>139</c:v>
                </c:pt>
                <c:pt idx="4">
                  <c:v>138</c:v>
                </c:pt>
              </c:numCache>
            </c:numRef>
          </c:val>
          <c:extLst>
            <c:ext xmlns:c16="http://schemas.microsoft.com/office/drawing/2014/chart" uri="{C3380CC4-5D6E-409C-BE32-E72D297353CC}">
              <c16:uniqueId val="{00000002-9B9F-4921-83B7-9893097E4A36}"/>
            </c:ext>
          </c:extLst>
        </c:ser>
        <c:dLbls>
          <c:showLegendKey val="0"/>
          <c:showVal val="0"/>
          <c:showCatName val="0"/>
          <c:showSerName val="0"/>
          <c:showPercent val="0"/>
          <c:showBubbleSize val="0"/>
        </c:dLbls>
        <c:gapWidth val="115"/>
        <c:overlap val="-20"/>
        <c:axId val="1408925039"/>
        <c:axId val="1408942095"/>
        <c:extLst>
          <c:ext xmlns:c15="http://schemas.microsoft.com/office/drawing/2012/chart" uri="{02D57815-91ED-43cb-92C2-25804820EDAC}">
            <c15:filteredBarSeries>
              <c15:ser>
                <c:idx val="0"/>
                <c:order val="0"/>
                <c:tx>
                  <c:strRef>
                    <c:extLst>
                      <c:ext uri="{02D57815-91ED-43cb-92C2-25804820EDAC}">
                        <c15:formulaRef>
                          <c15:sqref>[pratiqqq.xlsx]adherence!$G$12</c15:sqref>
                        </c15:formulaRef>
                      </c:ext>
                    </c:extLst>
                    <c:strCache>
                      <c:ptCount val="1"/>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extLst>
                      <c:ext uri="{02D57815-91ED-43cb-92C2-25804820EDAC}">
                        <c15:formulaRef>
                          <c15:sqref>[pratiqqq.xlsx]adherence!$F$13:$F$17</c15:sqref>
                        </c15:formulaRef>
                      </c:ext>
                    </c:extLst>
                    <c:strCache>
                      <c:ptCount val="5"/>
                      <c:pt idx="0">
                        <c:v>arret de traitement en cas de l'oubli</c:v>
                      </c:pt>
                      <c:pt idx="1">
                        <c:v>l'omission volontaire de la prise médicamenteuse </c:v>
                      </c:pt>
                      <c:pt idx="2">
                        <c:v>l'arrêt du traitement en cas d'amélioration </c:v>
                      </c:pt>
                      <c:pt idx="3">
                        <c:v>l'arrêt du traitement en cas d'effets secondaires </c:v>
                      </c:pt>
                      <c:pt idx="4">
                        <c:v>difficultés liées à la complexité du traitement </c:v>
                      </c:pt>
                    </c:strCache>
                  </c:strRef>
                </c:cat>
                <c:val>
                  <c:numRef>
                    <c:extLst>
                      <c:ext uri="{02D57815-91ED-43cb-92C2-25804820EDAC}">
                        <c15:formulaRef>
                          <c15:sqref>[pratiqqq.xlsx]adherence!$G$13:$G$17</c15:sqref>
                        </c15:formulaRef>
                      </c:ext>
                    </c:extLst>
                    <c:numCache>
                      <c:formatCode>General</c:formatCode>
                      <c:ptCount val="5"/>
                    </c:numCache>
                  </c:numRef>
                </c:val>
                <c:extLst>
                  <c:ext xmlns:c16="http://schemas.microsoft.com/office/drawing/2014/chart" uri="{C3380CC4-5D6E-409C-BE32-E72D297353CC}">
                    <c16:uniqueId val="{00000003-9B9F-4921-83B7-9893097E4A36}"/>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[pratiqqq.xlsx]adherence!$I$12</c15:sqref>
                        </c15:formulaRef>
                      </c:ext>
                    </c:extLst>
                    <c:strCache>
                      <c:ptCount val="1"/>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extLst xmlns:c15="http://schemas.microsoft.com/office/drawing/2012/chart">
                      <c:ext xmlns:c15="http://schemas.microsoft.com/office/drawing/2012/chart" uri="{02D57815-91ED-43cb-92C2-25804820EDAC}">
                        <c15:formulaRef>
                          <c15:sqref>[pratiqqq.xlsx]adherence!$F$13:$F$17</c15:sqref>
                        </c15:formulaRef>
                      </c:ext>
                    </c:extLst>
                    <c:strCache>
                      <c:ptCount val="5"/>
                      <c:pt idx="0">
                        <c:v>arret de traitement en cas de l'oubli</c:v>
                      </c:pt>
                      <c:pt idx="1">
                        <c:v>l'omission volontaire de la prise médicamenteuse </c:v>
                      </c:pt>
                      <c:pt idx="2">
                        <c:v>l'arrêt du traitement en cas d'amélioration </c:v>
                      </c:pt>
                      <c:pt idx="3">
                        <c:v>l'arrêt du traitement en cas d'effets secondaires </c:v>
                      </c:pt>
                      <c:pt idx="4">
                        <c:v>difficultés liées à la complexité du traitement </c:v>
                      </c:pt>
                    </c:strCache>
                  </c:strRef>
                </c:cat>
                <c:val>
                  <c:numRef>
                    <c:extLst xmlns:c15="http://schemas.microsoft.com/office/drawing/2012/chart">
                      <c:ext xmlns:c15="http://schemas.microsoft.com/office/drawing/2012/chart" uri="{02D57815-91ED-43cb-92C2-25804820EDAC}">
                        <c15:formulaRef>
                          <c15:sqref>[pratiqqq.xlsx]adherence!$I$13:$I$17</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4-9B9F-4921-83B7-9893097E4A36}"/>
                  </c:ext>
                </c:extLst>
              </c15:ser>
            </c15:filteredBarSeries>
          </c:ext>
        </c:extLst>
      </c:barChart>
      <c:catAx>
        <c:axId val="1408925039"/>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08942095"/>
        <c:crosses val="autoZero"/>
        <c:auto val="1"/>
        <c:lblAlgn val="ctr"/>
        <c:lblOffset val="100"/>
        <c:noMultiLvlLbl val="0"/>
      </c:catAx>
      <c:valAx>
        <c:axId val="140894209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08925039"/>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1"/>
          <c:order val="1"/>
          <c:tx>
            <c:strRef>
              <c:f>[pratiqqq.xlsx]adherence!$H$21</c:f>
              <c:strCache>
                <c:ptCount val="1"/>
                <c:pt idx="0">
                  <c:v>chez les non utilisateurs</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[pratiqqq.xlsx]adherence!$F$22:$F$26</c:f>
              <c:strCache>
                <c:ptCount val="5"/>
                <c:pt idx="0">
                  <c:v>arret de traitement en cas de l'oubli</c:v>
                </c:pt>
                <c:pt idx="1">
                  <c:v>l'omission volontaire de la prise médicamenteuse </c:v>
                </c:pt>
                <c:pt idx="2">
                  <c:v>l'arrêt du traitement en cas d'amélioration </c:v>
                </c:pt>
                <c:pt idx="3">
                  <c:v>l'arrêt du traitement en cas d'effets secondaires </c:v>
                </c:pt>
                <c:pt idx="4">
                  <c:v>difficultés liées à la complexité du traitement </c:v>
                </c:pt>
              </c:strCache>
            </c:strRef>
          </c:cat>
          <c:val>
            <c:numRef>
              <c:f>[pratiqqq.xlsx]adherence!$H$22:$H$26</c:f>
              <c:numCache>
                <c:formatCode>General</c:formatCode>
                <c:ptCount val="5"/>
              </c:numCache>
            </c:numRef>
          </c:val>
          <c:extLst>
            <c:ext xmlns:c16="http://schemas.microsoft.com/office/drawing/2014/chart" uri="{C3380CC4-5D6E-409C-BE32-E72D297353CC}">
              <c16:uniqueId val="{00000000-14F6-459E-8EEA-C6CBA37CE842}"/>
            </c:ext>
          </c:extLst>
        </c:ser>
        <c:ser>
          <c:idx val="3"/>
          <c:order val="3"/>
          <c:tx>
            <c:strRef>
              <c:f>[pratiqqq.xlsx]adherence!$J$21</c:f>
              <c:strCache>
                <c:ptCount val="1"/>
                <c:pt idx="0">
                  <c:v>oui</c:v>
                </c:pt>
              </c:strCache>
            </c:strRef>
          </c:tx>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[pratiqqq.xlsx]adherence!$F$22:$F$26</c:f>
              <c:strCache>
                <c:ptCount val="5"/>
                <c:pt idx="0">
                  <c:v>arret de traitement en cas de l'oubli</c:v>
                </c:pt>
                <c:pt idx="1">
                  <c:v>l'omission volontaire de la prise médicamenteuse </c:v>
                </c:pt>
                <c:pt idx="2">
                  <c:v>l'arrêt du traitement en cas d'amélioration </c:v>
                </c:pt>
                <c:pt idx="3">
                  <c:v>l'arrêt du traitement en cas d'effets secondaires </c:v>
                </c:pt>
                <c:pt idx="4">
                  <c:v>difficultés liées à la complexité du traitement </c:v>
                </c:pt>
              </c:strCache>
            </c:strRef>
          </c:cat>
          <c:val>
            <c:numRef>
              <c:f>[pratiqqq.xlsx]adherence!$J$22:$J$26</c:f>
              <c:numCache>
                <c:formatCode>General</c:formatCode>
                <c:ptCount val="5"/>
                <c:pt idx="0">
                  <c:v>29</c:v>
                </c:pt>
                <c:pt idx="1">
                  <c:v>15</c:v>
                </c:pt>
                <c:pt idx="2">
                  <c:v>12</c:v>
                </c:pt>
                <c:pt idx="3">
                  <c:v>2</c:v>
                </c:pt>
                <c:pt idx="4">
                  <c:v>8</c:v>
                </c:pt>
              </c:numCache>
            </c:numRef>
          </c:val>
          <c:extLst>
            <c:ext xmlns:c16="http://schemas.microsoft.com/office/drawing/2014/chart" uri="{C3380CC4-5D6E-409C-BE32-E72D297353CC}">
              <c16:uniqueId val="{00000001-14F6-459E-8EEA-C6CBA37CE842}"/>
            </c:ext>
          </c:extLst>
        </c:ser>
        <c:ser>
          <c:idx val="4"/>
          <c:order val="4"/>
          <c:tx>
            <c:strRef>
              <c:f>[pratiqqq.xlsx]adherence!$K$21</c:f>
              <c:strCache>
                <c:ptCount val="1"/>
                <c:pt idx="0">
                  <c:v>non</c:v>
                </c:pt>
              </c:strCache>
            </c:strRef>
          </c:tx>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[pratiqqq.xlsx]adherence!$F$22:$F$26</c:f>
              <c:strCache>
                <c:ptCount val="5"/>
                <c:pt idx="0">
                  <c:v>arret de traitement en cas de l'oubli</c:v>
                </c:pt>
                <c:pt idx="1">
                  <c:v>l'omission volontaire de la prise médicamenteuse </c:v>
                </c:pt>
                <c:pt idx="2">
                  <c:v>l'arrêt du traitement en cas d'amélioration </c:v>
                </c:pt>
                <c:pt idx="3">
                  <c:v>l'arrêt du traitement en cas d'effets secondaires </c:v>
                </c:pt>
                <c:pt idx="4">
                  <c:v>difficultés liées à la complexité du traitement </c:v>
                </c:pt>
              </c:strCache>
            </c:strRef>
          </c:cat>
          <c:val>
            <c:numRef>
              <c:f>[pratiqqq.xlsx]adherence!$K$22:$K$26</c:f>
              <c:numCache>
                <c:formatCode>General</c:formatCode>
                <c:ptCount val="5"/>
                <c:pt idx="0">
                  <c:v>61</c:v>
                </c:pt>
                <c:pt idx="1">
                  <c:v>75</c:v>
                </c:pt>
                <c:pt idx="2">
                  <c:v>78</c:v>
                </c:pt>
                <c:pt idx="3">
                  <c:v>88</c:v>
                </c:pt>
                <c:pt idx="4">
                  <c:v>82</c:v>
                </c:pt>
              </c:numCache>
            </c:numRef>
          </c:val>
          <c:extLst>
            <c:ext xmlns:c16="http://schemas.microsoft.com/office/drawing/2014/chart" uri="{C3380CC4-5D6E-409C-BE32-E72D297353CC}">
              <c16:uniqueId val="{00000002-14F6-459E-8EEA-C6CBA37CE842}"/>
            </c:ext>
          </c:extLst>
        </c:ser>
        <c:dLbls>
          <c:showLegendKey val="0"/>
          <c:showVal val="0"/>
          <c:showCatName val="0"/>
          <c:showSerName val="0"/>
          <c:showPercent val="0"/>
          <c:showBubbleSize val="0"/>
        </c:dLbls>
        <c:gapWidth val="115"/>
        <c:overlap val="-20"/>
        <c:axId val="1401793007"/>
        <c:axId val="1401798831"/>
        <c:extLst>
          <c:ext xmlns:c15="http://schemas.microsoft.com/office/drawing/2012/chart" uri="{02D57815-91ED-43cb-92C2-25804820EDAC}">
            <c15:filteredBarSeries>
              <c15:ser>
                <c:idx val="0"/>
                <c:order val="0"/>
                <c:tx>
                  <c:strRef>
                    <c:extLst>
                      <c:ext uri="{02D57815-91ED-43cb-92C2-25804820EDAC}">
                        <c15:formulaRef>
                          <c15:sqref>[pratiqqq.xlsx]adherence!$G$21</c15:sqref>
                        </c15:formulaRef>
                      </c:ext>
                    </c:extLst>
                    <c:strCache>
                      <c:ptCount val="1"/>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extLst>
                      <c:ext uri="{02D57815-91ED-43cb-92C2-25804820EDAC}">
                        <c15:formulaRef>
                          <c15:sqref>[pratiqqq.xlsx]adherence!$F$22:$F$26</c15:sqref>
                        </c15:formulaRef>
                      </c:ext>
                    </c:extLst>
                    <c:strCache>
                      <c:ptCount val="5"/>
                      <c:pt idx="0">
                        <c:v>arret de traitement en cas de l'oubli</c:v>
                      </c:pt>
                      <c:pt idx="1">
                        <c:v>l'omission volontaire de la prise médicamenteuse </c:v>
                      </c:pt>
                      <c:pt idx="2">
                        <c:v>l'arrêt du traitement en cas d'amélioration </c:v>
                      </c:pt>
                      <c:pt idx="3">
                        <c:v>l'arrêt du traitement en cas d'effets secondaires </c:v>
                      </c:pt>
                      <c:pt idx="4">
                        <c:v>difficultés liées à la complexité du traitement </c:v>
                      </c:pt>
                    </c:strCache>
                  </c:strRef>
                </c:cat>
                <c:val>
                  <c:numRef>
                    <c:extLst>
                      <c:ext uri="{02D57815-91ED-43cb-92C2-25804820EDAC}">
                        <c15:formulaRef>
                          <c15:sqref>[pratiqqq.xlsx]adherence!$G$22:$G$26</c15:sqref>
                        </c15:formulaRef>
                      </c:ext>
                    </c:extLst>
                    <c:numCache>
                      <c:formatCode>General</c:formatCode>
                      <c:ptCount val="5"/>
                    </c:numCache>
                  </c:numRef>
                </c:val>
                <c:extLst>
                  <c:ext xmlns:c16="http://schemas.microsoft.com/office/drawing/2014/chart" uri="{C3380CC4-5D6E-409C-BE32-E72D297353CC}">
                    <c16:uniqueId val="{00000003-14F6-459E-8EEA-C6CBA37CE842}"/>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[pratiqqq.xlsx]adherence!$I$21</c15:sqref>
                        </c15:formulaRef>
                      </c:ext>
                    </c:extLst>
                    <c:strCache>
                      <c:ptCount val="1"/>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extLst xmlns:c15="http://schemas.microsoft.com/office/drawing/2012/chart">
                      <c:ext xmlns:c15="http://schemas.microsoft.com/office/drawing/2012/chart" uri="{02D57815-91ED-43cb-92C2-25804820EDAC}">
                        <c15:formulaRef>
                          <c15:sqref>[pratiqqq.xlsx]adherence!$F$22:$F$26</c15:sqref>
                        </c15:formulaRef>
                      </c:ext>
                    </c:extLst>
                    <c:strCache>
                      <c:ptCount val="5"/>
                      <c:pt idx="0">
                        <c:v>arret de traitement en cas de l'oubli</c:v>
                      </c:pt>
                      <c:pt idx="1">
                        <c:v>l'omission volontaire de la prise médicamenteuse </c:v>
                      </c:pt>
                      <c:pt idx="2">
                        <c:v>l'arrêt du traitement en cas d'amélioration </c:v>
                      </c:pt>
                      <c:pt idx="3">
                        <c:v>l'arrêt du traitement en cas d'effets secondaires </c:v>
                      </c:pt>
                      <c:pt idx="4">
                        <c:v>difficultés liées à la complexité du traitement </c:v>
                      </c:pt>
                    </c:strCache>
                  </c:strRef>
                </c:cat>
                <c:val>
                  <c:numRef>
                    <c:extLst xmlns:c15="http://schemas.microsoft.com/office/drawing/2012/chart">
                      <c:ext xmlns:c15="http://schemas.microsoft.com/office/drawing/2012/chart" uri="{02D57815-91ED-43cb-92C2-25804820EDAC}">
                        <c15:formulaRef>
                          <c15:sqref>[pratiqqq.xlsx]adherence!$I$22:$I$26</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4-14F6-459E-8EEA-C6CBA37CE842}"/>
                  </c:ext>
                </c:extLst>
              </c15:ser>
            </c15:filteredBarSeries>
          </c:ext>
        </c:extLst>
      </c:barChart>
      <c:catAx>
        <c:axId val="1401793007"/>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01798831"/>
        <c:crosses val="autoZero"/>
        <c:auto val="1"/>
        <c:lblAlgn val="ctr"/>
        <c:lblOffset val="100"/>
        <c:noMultiLvlLbl val="0"/>
      </c:catAx>
      <c:valAx>
        <c:axId val="14017988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01793007"/>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4"/>
          <c:order val="4"/>
          <c:spPr>
            <a:gradFill rotWithShape="1">
              <a:gsLst>
                <a:gs pos="0">
                  <a:schemeClr val="accent5">
                    <a:shade val="53000"/>
                    <a:shade val="51000"/>
                    <a:satMod val="130000"/>
                  </a:schemeClr>
                </a:gs>
                <a:gs pos="80000">
                  <a:schemeClr val="accent5">
                    <a:shade val="53000"/>
                    <a:shade val="93000"/>
                    <a:satMod val="130000"/>
                  </a:schemeClr>
                </a:gs>
                <a:gs pos="100000">
                  <a:schemeClr val="accent5">
                    <a:shade val="53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motifn!$D$6:$D$11</c:f>
              <c:strCache>
                <c:ptCount val="6"/>
                <c:pt idx="0">
                  <c:v>experiences negatives anterieurs</c:v>
                </c:pt>
                <c:pt idx="1">
                  <c:v>la presences des autres maladies chroniques</c:v>
                </c:pt>
                <c:pt idx="2">
                  <c:v>manque d information fiable sur les plantes</c:v>
                </c:pt>
                <c:pt idx="3">
                  <c:v>Non recommandées par le médecin</c:v>
                </c:pt>
                <c:pt idx="4">
                  <c:v>Opposition familiale</c:v>
                </c:pt>
                <c:pt idx="5">
                  <c:v>peur des effets secondaires</c:v>
                </c:pt>
              </c:strCache>
            </c:strRef>
          </c:cat>
          <c:val>
            <c:numRef>
              <c:f>motifn!$I$6:$I$11</c:f>
              <c:numCache>
                <c:formatCode>General</c:formatCode>
                <c:ptCount val="6"/>
                <c:pt idx="0">
                  <c:v>10</c:v>
                </c:pt>
                <c:pt idx="1">
                  <c:v>14</c:v>
                </c:pt>
                <c:pt idx="2">
                  <c:v>26</c:v>
                </c:pt>
                <c:pt idx="3">
                  <c:v>3</c:v>
                </c:pt>
                <c:pt idx="4">
                  <c:v>4</c:v>
                </c:pt>
                <c:pt idx="5">
                  <c:v>36</c:v>
                </c:pt>
              </c:numCache>
            </c:numRef>
          </c:val>
          <c:extLst>
            <c:ext xmlns:c16="http://schemas.microsoft.com/office/drawing/2014/chart" uri="{C3380CC4-5D6E-409C-BE32-E72D297353CC}">
              <c16:uniqueId val="{00000000-DF5C-40FA-9155-6D202CFCDAB0}"/>
            </c:ext>
          </c:extLst>
        </c:ser>
        <c:dLbls>
          <c:showLegendKey val="0"/>
          <c:showVal val="0"/>
          <c:showCatName val="0"/>
          <c:showSerName val="0"/>
          <c:showPercent val="0"/>
          <c:showBubbleSize val="0"/>
        </c:dLbls>
        <c:gapWidth val="115"/>
        <c:overlap val="-20"/>
        <c:axId val="123391039"/>
        <c:axId val="123391455"/>
        <c:extLst>
          <c:ext xmlns:c15="http://schemas.microsoft.com/office/drawing/2012/chart" uri="{02D57815-91ED-43cb-92C2-25804820EDAC}">
            <c15:filteredBarSeries>
              <c15:ser>
                <c:idx val="0"/>
                <c:order val="0"/>
                <c:spPr>
                  <a:gradFill rotWithShape="1">
                    <a:gsLst>
                      <a:gs pos="0">
                        <a:schemeClr val="accent5">
                          <a:tint val="54000"/>
                          <a:shade val="51000"/>
                          <a:satMod val="130000"/>
                        </a:schemeClr>
                      </a:gs>
                      <a:gs pos="80000">
                        <a:schemeClr val="accent5">
                          <a:tint val="54000"/>
                          <a:shade val="93000"/>
                          <a:satMod val="130000"/>
                        </a:schemeClr>
                      </a:gs>
                      <a:gs pos="100000">
                        <a:schemeClr val="accent5">
                          <a:tint val="54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extLst>
                      <c:ext uri="{02D57815-91ED-43cb-92C2-25804820EDAC}">
                        <c15:formulaRef>
                          <c15:sqref>motifn!$D$6:$D$11</c15:sqref>
                        </c15:formulaRef>
                      </c:ext>
                    </c:extLst>
                    <c:strCache>
                      <c:ptCount val="6"/>
                      <c:pt idx="0">
                        <c:v>experiences negatives anterieurs</c:v>
                      </c:pt>
                      <c:pt idx="1">
                        <c:v>la presences des autres maladies chroniques</c:v>
                      </c:pt>
                      <c:pt idx="2">
                        <c:v>manque d information fiable sur les plantes</c:v>
                      </c:pt>
                      <c:pt idx="3">
                        <c:v>Non recommandées par le médecin</c:v>
                      </c:pt>
                      <c:pt idx="4">
                        <c:v>Opposition familiale</c:v>
                      </c:pt>
                      <c:pt idx="5">
                        <c:v>peur des effets secondaires</c:v>
                      </c:pt>
                    </c:strCache>
                  </c:strRef>
                </c:cat>
                <c:val>
                  <c:numRef>
                    <c:extLst>
                      <c:ext uri="{02D57815-91ED-43cb-92C2-25804820EDAC}">
                        <c15:formulaRef>
                          <c15:sqref>motifn!$E$6:$E$11</c15:sqref>
                        </c15:formulaRef>
                      </c:ext>
                    </c:extLst>
                    <c:numCache>
                      <c:formatCode>General</c:formatCode>
                      <c:ptCount val="6"/>
                    </c:numCache>
                  </c:numRef>
                </c:val>
                <c:extLst>
                  <c:ext xmlns:c16="http://schemas.microsoft.com/office/drawing/2014/chart" uri="{C3380CC4-5D6E-409C-BE32-E72D297353CC}">
                    <c16:uniqueId val="{00000001-DF5C-40FA-9155-6D202CFCDAB0}"/>
                  </c:ext>
                </c:extLst>
              </c15:ser>
            </c15:filteredBarSeries>
            <c15:filteredBarSeries>
              <c15:ser>
                <c:idx val="1"/>
                <c:order val="1"/>
                <c:spPr>
                  <a:gradFill rotWithShape="1">
                    <a:gsLst>
                      <a:gs pos="0">
                        <a:schemeClr val="accent5">
                          <a:tint val="77000"/>
                          <a:shade val="51000"/>
                          <a:satMod val="130000"/>
                        </a:schemeClr>
                      </a:gs>
                      <a:gs pos="80000">
                        <a:schemeClr val="accent5">
                          <a:tint val="77000"/>
                          <a:shade val="93000"/>
                          <a:satMod val="130000"/>
                        </a:schemeClr>
                      </a:gs>
                      <a:gs pos="100000">
                        <a:schemeClr val="accent5">
                          <a:tint val="7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extLst xmlns:c15="http://schemas.microsoft.com/office/drawing/2012/chart">
                      <c:ext xmlns:c15="http://schemas.microsoft.com/office/drawing/2012/chart" uri="{02D57815-91ED-43cb-92C2-25804820EDAC}">
                        <c15:formulaRef>
                          <c15:sqref>motifn!$D$6:$D$11</c15:sqref>
                        </c15:formulaRef>
                      </c:ext>
                    </c:extLst>
                    <c:strCache>
                      <c:ptCount val="6"/>
                      <c:pt idx="0">
                        <c:v>experiences negatives anterieurs</c:v>
                      </c:pt>
                      <c:pt idx="1">
                        <c:v>la presences des autres maladies chroniques</c:v>
                      </c:pt>
                      <c:pt idx="2">
                        <c:v>manque d information fiable sur les plantes</c:v>
                      </c:pt>
                      <c:pt idx="3">
                        <c:v>Non recommandées par le médecin</c:v>
                      </c:pt>
                      <c:pt idx="4">
                        <c:v>Opposition familiale</c:v>
                      </c:pt>
                      <c:pt idx="5">
                        <c:v>peur des effets secondaires</c:v>
                      </c:pt>
                    </c:strCache>
                  </c:strRef>
                </c:cat>
                <c:val>
                  <c:numRef>
                    <c:extLst xmlns:c15="http://schemas.microsoft.com/office/drawing/2012/chart">
                      <c:ext xmlns:c15="http://schemas.microsoft.com/office/drawing/2012/chart" uri="{02D57815-91ED-43cb-92C2-25804820EDAC}">
                        <c15:formulaRef>
                          <c15:sqref>motifn!$F$6:$F$11</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2-DF5C-40FA-9155-6D202CFCDAB0}"/>
                  </c:ext>
                </c:extLst>
              </c15:ser>
            </c15:filteredBarSeries>
            <c15:filteredBarSeries>
              <c15:ser>
                <c:idx val="2"/>
                <c:order val="2"/>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extLst xmlns:c15="http://schemas.microsoft.com/office/drawing/2012/chart">
                      <c:ext xmlns:c15="http://schemas.microsoft.com/office/drawing/2012/chart" uri="{02D57815-91ED-43cb-92C2-25804820EDAC}">
                        <c15:formulaRef>
                          <c15:sqref>motifn!$D$6:$D$11</c15:sqref>
                        </c15:formulaRef>
                      </c:ext>
                    </c:extLst>
                    <c:strCache>
                      <c:ptCount val="6"/>
                      <c:pt idx="0">
                        <c:v>experiences negatives anterieurs</c:v>
                      </c:pt>
                      <c:pt idx="1">
                        <c:v>la presences des autres maladies chroniques</c:v>
                      </c:pt>
                      <c:pt idx="2">
                        <c:v>manque d information fiable sur les plantes</c:v>
                      </c:pt>
                      <c:pt idx="3">
                        <c:v>Non recommandées par le médecin</c:v>
                      </c:pt>
                      <c:pt idx="4">
                        <c:v>Opposition familiale</c:v>
                      </c:pt>
                      <c:pt idx="5">
                        <c:v>peur des effets secondaires</c:v>
                      </c:pt>
                    </c:strCache>
                  </c:strRef>
                </c:cat>
                <c:val>
                  <c:numRef>
                    <c:extLst xmlns:c15="http://schemas.microsoft.com/office/drawing/2012/chart">
                      <c:ext xmlns:c15="http://schemas.microsoft.com/office/drawing/2012/chart" uri="{02D57815-91ED-43cb-92C2-25804820EDAC}">
                        <c15:formulaRef>
                          <c15:sqref>motifn!$G$6:$G$11</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3-DF5C-40FA-9155-6D202CFCDAB0}"/>
                  </c:ext>
                </c:extLst>
              </c15:ser>
            </c15:filteredBarSeries>
            <c15:filteredBarSeries>
              <c15:ser>
                <c:idx val="3"/>
                <c:order val="3"/>
                <c:spPr>
                  <a:gradFill rotWithShape="1">
                    <a:gsLst>
                      <a:gs pos="0">
                        <a:schemeClr val="accent5">
                          <a:shade val="76000"/>
                          <a:shade val="51000"/>
                          <a:satMod val="130000"/>
                        </a:schemeClr>
                      </a:gs>
                      <a:gs pos="80000">
                        <a:schemeClr val="accent5">
                          <a:shade val="76000"/>
                          <a:shade val="93000"/>
                          <a:satMod val="130000"/>
                        </a:schemeClr>
                      </a:gs>
                      <a:gs pos="100000">
                        <a:schemeClr val="accent5">
                          <a:shade val="7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extLst xmlns:c15="http://schemas.microsoft.com/office/drawing/2012/chart">
                      <c:ext xmlns:c15="http://schemas.microsoft.com/office/drawing/2012/chart" uri="{02D57815-91ED-43cb-92C2-25804820EDAC}">
                        <c15:formulaRef>
                          <c15:sqref>motifn!$D$6:$D$11</c15:sqref>
                        </c15:formulaRef>
                      </c:ext>
                    </c:extLst>
                    <c:strCache>
                      <c:ptCount val="6"/>
                      <c:pt idx="0">
                        <c:v>experiences negatives anterieurs</c:v>
                      </c:pt>
                      <c:pt idx="1">
                        <c:v>la presences des autres maladies chroniques</c:v>
                      </c:pt>
                      <c:pt idx="2">
                        <c:v>manque d information fiable sur les plantes</c:v>
                      </c:pt>
                      <c:pt idx="3">
                        <c:v>Non recommandées par le médecin</c:v>
                      </c:pt>
                      <c:pt idx="4">
                        <c:v>Opposition familiale</c:v>
                      </c:pt>
                      <c:pt idx="5">
                        <c:v>peur des effets secondaires</c:v>
                      </c:pt>
                    </c:strCache>
                  </c:strRef>
                </c:cat>
                <c:val>
                  <c:numRef>
                    <c:extLst xmlns:c15="http://schemas.microsoft.com/office/drawing/2012/chart">
                      <c:ext xmlns:c15="http://schemas.microsoft.com/office/drawing/2012/chart" uri="{02D57815-91ED-43cb-92C2-25804820EDAC}">
                        <c15:formulaRef>
                          <c15:sqref>motifn!$H$6:$H$11</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4-DF5C-40FA-9155-6D202CFCDAB0}"/>
                  </c:ext>
                </c:extLst>
              </c15:ser>
            </c15:filteredBarSeries>
          </c:ext>
        </c:extLst>
      </c:barChart>
      <c:catAx>
        <c:axId val="123391039"/>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3391455"/>
        <c:crosses val="autoZero"/>
        <c:auto val="1"/>
        <c:lblAlgn val="ctr"/>
        <c:lblOffset val="100"/>
        <c:noMultiLvlLbl val="0"/>
      </c:catAx>
      <c:valAx>
        <c:axId val="12339145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fr-FR"/>
                  <a:t>patients </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33910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358705161854783E-2"/>
          <c:y val="7.8703703703703706E-2"/>
          <c:w val="0.89019685039370078"/>
          <c:h val="0.73577136191309422"/>
        </c:manualLayout>
      </c:layout>
      <c:barChart>
        <c:barDir val="col"/>
        <c:grouping val="clustered"/>
        <c:varyColors val="0"/>
        <c:ser>
          <c:idx val="0"/>
          <c:order val="0"/>
          <c:tx>
            <c:strRef>
              <c:f>motifo!$E$12</c:f>
              <c:strCache>
                <c:ptCount val="1"/>
                <c:pt idx="0">
                  <c:v>Expérience positive d’un proche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val>
            <c:numRef>
              <c:f>motifo!$F$12</c:f>
              <c:numCache>
                <c:formatCode>General</c:formatCode>
                <c:ptCount val="1"/>
                <c:pt idx="0">
                  <c:v>125</c:v>
                </c:pt>
              </c:numCache>
            </c:numRef>
          </c:val>
          <c:extLst>
            <c:ext xmlns:c16="http://schemas.microsoft.com/office/drawing/2014/chart" uri="{C3380CC4-5D6E-409C-BE32-E72D297353CC}">
              <c16:uniqueId val="{00000000-B5BE-465E-BDAC-43AC3530DE3B}"/>
            </c:ext>
          </c:extLst>
        </c:ser>
        <c:ser>
          <c:idx val="1"/>
          <c:order val="1"/>
          <c:tx>
            <c:strRef>
              <c:f>motifo!$E$13</c:f>
              <c:strCache>
                <c:ptCount val="1"/>
                <c:pt idx="0">
                  <c:v>facile a obtenir</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val>
            <c:numRef>
              <c:f>motifo!$F$13</c:f>
              <c:numCache>
                <c:formatCode>General</c:formatCode>
                <c:ptCount val="1"/>
                <c:pt idx="0">
                  <c:v>21</c:v>
                </c:pt>
              </c:numCache>
            </c:numRef>
          </c:val>
          <c:extLst>
            <c:ext xmlns:c16="http://schemas.microsoft.com/office/drawing/2014/chart" uri="{C3380CC4-5D6E-409C-BE32-E72D297353CC}">
              <c16:uniqueId val="{00000001-B5BE-465E-BDAC-43AC3530DE3B}"/>
            </c:ext>
          </c:extLst>
        </c:ser>
        <c:ser>
          <c:idx val="2"/>
          <c:order val="2"/>
          <c:tx>
            <c:strRef>
              <c:f>motifo!$E$14</c:f>
              <c:strCache>
                <c:ptCount val="1"/>
                <c:pt idx="0">
                  <c:v>Moins d’effets secondaires</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val>
            <c:numRef>
              <c:f>motifo!$F$14</c:f>
              <c:numCache>
                <c:formatCode>General</c:formatCode>
                <c:ptCount val="1"/>
                <c:pt idx="0">
                  <c:v>12</c:v>
                </c:pt>
              </c:numCache>
            </c:numRef>
          </c:val>
          <c:extLst>
            <c:ext xmlns:c16="http://schemas.microsoft.com/office/drawing/2014/chart" uri="{C3380CC4-5D6E-409C-BE32-E72D297353CC}">
              <c16:uniqueId val="{00000002-B5BE-465E-BDAC-43AC3530DE3B}"/>
            </c:ext>
          </c:extLst>
        </c:ser>
        <c:dLbls>
          <c:showLegendKey val="0"/>
          <c:showVal val="0"/>
          <c:showCatName val="0"/>
          <c:showSerName val="0"/>
          <c:showPercent val="0"/>
          <c:showBubbleSize val="0"/>
        </c:dLbls>
        <c:gapWidth val="100"/>
        <c:overlap val="-24"/>
        <c:axId val="2010828383"/>
        <c:axId val="2010827551"/>
      </c:barChart>
      <c:catAx>
        <c:axId val="2010828383"/>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010827551"/>
        <c:crosses val="autoZero"/>
        <c:auto val="1"/>
        <c:lblAlgn val="ctr"/>
        <c:lblOffset val="100"/>
        <c:noMultiLvlLbl val="0"/>
      </c:catAx>
      <c:valAx>
        <c:axId val="20108275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010828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Sheet2!$E$7</c:f>
              <c:strCache>
                <c:ptCount val="1"/>
                <c:pt idx="0">
                  <c:v>Effectif (n)</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Sheet2!$D$8:$D$11</c:f>
              <c:strCache>
                <c:ptCount val="4"/>
                <c:pt idx="0">
                  <c:v>1 plante</c:v>
                </c:pt>
                <c:pt idx="1">
                  <c:v>2 plantes</c:v>
                </c:pt>
                <c:pt idx="2">
                  <c:v>3 plantes</c:v>
                </c:pt>
                <c:pt idx="3">
                  <c:v>4 plantes</c:v>
                </c:pt>
              </c:strCache>
            </c:strRef>
          </c:cat>
          <c:val>
            <c:numRef>
              <c:f>Sheet2!$E$8:$E$11</c:f>
              <c:numCache>
                <c:formatCode>General</c:formatCode>
                <c:ptCount val="4"/>
                <c:pt idx="0">
                  <c:v>95</c:v>
                </c:pt>
                <c:pt idx="1">
                  <c:v>37</c:v>
                </c:pt>
                <c:pt idx="2">
                  <c:v>20</c:v>
                </c:pt>
                <c:pt idx="3">
                  <c:v>6</c:v>
                </c:pt>
              </c:numCache>
            </c:numRef>
          </c:val>
          <c:extLst>
            <c:ext xmlns:c16="http://schemas.microsoft.com/office/drawing/2014/chart" uri="{C3380CC4-5D6E-409C-BE32-E72D297353CC}">
              <c16:uniqueId val="{00000000-002C-4EFC-83A0-0620B10C6134}"/>
            </c:ext>
          </c:extLst>
        </c:ser>
        <c:dLbls>
          <c:showLegendKey val="0"/>
          <c:showVal val="0"/>
          <c:showCatName val="0"/>
          <c:showSerName val="0"/>
          <c:showPercent val="0"/>
          <c:showBubbleSize val="0"/>
        </c:dLbls>
        <c:gapWidth val="115"/>
        <c:overlap val="-20"/>
        <c:axId val="1408926287"/>
        <c:axId val="1408933359"/>
      </c:barChart>
      <c:catAx>
        <c:axId val="1408926287"/>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08933359"/>
        <c:crosses val="autoZero"/>
        <c:auto val="1"/>
        <c:lblAlgn val="ctr"/>
        <c:lblOffset val="100"/>
        <c:noMultiLvlLbl val="0"/>
      </c:catAx>
      <c:valAx>
        <c:axId val="1408933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4089262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692666044294857"/>
          <c:y val="5.0925925925925923E-2"/>
          <c:w val="0.86307333955705146"/>
          <c:h val="0.74350320793234181"/>
        </c:manualLayout>
      </c:layout>
      <c:barChart>
        <c:barDir val="col"/>
        <c:grouping val="clustered"/>
        <c:varyColors val="0"/>
        <c:ser>
          <c:idx val="1"/>
          <c:order val="1"/>
          <c:spPr>
            <a:gradFill rotWithShape="1">
              <a:gsLst>
                <a:gs pos="0">
                  <a:schemeClr val="accent3">
                    <a:shade val="76000"/>
                    <a:shade val="51000"/>
                    <a:satMod val="130000"/>
                  </a:schemeClr>
                </a:gs>
                <a:gs pos="80000">
                  <a:schemeClr val="accent3">
                    <a:shade val="76000"/>
                    <a:shade val="93000"/>
                    <a:satMod val="130000"/>
                  </a:schemeClr>
                </a:gs>
                <a:gs pos="100000">
                  <a:schemeClr val="accent3">
                    <a:shade val="7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Sheet30!$E$4:$E$9</c:f>
              <c:strCache>
                <c:ptCount val="6"/>
                <c:pt idx="0">
                  <c:v>&lt; 1 mois      </c:v>
                </c:pt>
                <c:pt idx="1">
                  <c:v>[1 mois ; 1 an[</c:v>
                </c:pt>
                <c:pt idx="2">
                  <c:v>[1 an ; 3 ans]</c:v>
                </c:pt>
                <c:pt idx="3">
                  <c:v>]3 ans ; 5 ans]</c:v>
                </c:pt>
                <c:pt idx="4">
                  <c:v>]5 ans ; 10 ans[</c:v>
                </c:pt>
                <c:pt idx="5">
                  <c:v>≥ 10 ans      </c:v>
                </c:pt>
              </c:strCache>
            </c:strRef>
          </c:cat>
          <c:val>
            <c:numRef>
              <c:f>Sheet30!$G$4:$G$9</c:f>
              <c:numCache>
                <c:formatCode>General</c:formatCode>
                <c:ptCount val="6"/>
                <c:pt idx="0">
                  <c:v>10</c:v>
                </c:pt>
                <c:pt idx="1">
                  <c:v>44</c:v>
                </c:pt>
                <c:pt idx="2">
                  <c:v>35</c:v>
                </c:pt>
                <c:pt idx="3">
                  <c:v>23</c:v>
                </c:pt>
                <c:pt idx="4">
                  <c:v>32</c:v>
                </c:pt>
                <c:pt idx="5">
                  <c:v>14</c:v>
                </c:pt>
              </c:numCache>
            </c:numRef>
          </c:val>
          <c:extLst>
            <c:ext xmlns:c16="http://schemas.microsoft.com/office/drawing/2014/chart" uri="{C3380CC4-5D6E-409C-BE32-E72D297353CC}">
              <c16:uniqueId val="{00000000-D838-4B80-99FC-B7A0285E243D}"/>
            </c:ext>
          </c:extLst>
        </c:ser>
        <c:dLbls>
          <c:showLegendKey val="0"/>
          <c:showVal val="0"/>
          <c:showCatName val="0"/>
          <c:showSerName val="0"/>
          <c:showPercent val="0"/>
          <c:showBubbleSize val="0"/>
        </c:dLbls>
        <c:gapWidth val="110"/>
        <c:overlap val="-49"/>
        <c:axId val="123389791"/>
        <c:axId val="123388543"/>
        <c:extLst>
          <c:ext xmlns:c15="http://schemas.microsoft.com/office/drawing/2012/chart" uri="{02D57815-91ED-43cb-92C2-25804820EDAC}">
            <c15:filteredBarSeries>
              <c15:ser>
                <c:idx val="0"/>
                <c:order val="0"/>
                <c:spPr>
                  <a:gradFill rotWithShape="1">
                    <a:gsLst>
                      <a:gs pos="0">
                        <a:schemeClr val="accent3">
                          <a:tint val="77000"/>
                          <a:shade val="51000"/>
                          <a:satMod val="130000"/>
                        </a:schemeClr>
                      </a:gs>
                      <a:gs pos="80000">
                        <a:schemeClr val="accent3">
                          <a:tint val="77000"/>
                          <a:shade val="93000"/>
                          <a:satMod val="130000"/>
                        </a:schemeClr>
                      </a:gs>
                      <a:gs pos="100000">
                        <a:schemeClr val="accent3">
                          <a:tint val="7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extLst>
                      <c:ext uri="{02D57815-91ED-43cb-92C2-25804820EDAC}">
                        <c15:formulaRef>
                          <c15:sqref>Sheet30!$E$4:$E$9</c15:sqref>
                        </c15:formulaRef>
                      </c:ext>
                    </c:extLst>
                    <c:strCache>
                      <c:ptCount val="6"/>
                      <c:pt idx="0">
                        <c:v>&lt; 1 mois      </c:v>
                      </c:pt>
                      <c:pt idx="1">
                        <c:v>[1 mois ; 1 an[</c:v>
                      </c:pt>
                      <c:pt idx="2">
                        <c:v>[1 an ; 3 ans]</c:v>
                      </c:pt>
                      <c:pt idx="3">
                        <c:v>]3 ans ; 5 ans]</c:v>
                      </c:pt>
                      <c:pt idx="4">
                        <c:v>]5 ans ; 10 ans[</c:v>
                      </c:pt>
                      <c:pt idx="5">
                        <c:v>≥ 10 ans      </c:v>
                      </c:pt>
                    </c:strCache>
                  </c:strRef>
                </c:cat>
                <c:val>
                  <c:numRef>
                    <c:extLst>
                      <c:ext uri="{02D57815-91ED-43cb-92C2-25804820EDAC}">
                        <c15:formulaRef>
                          <c15:sqref>Sheet30!$F$4:$F$9</c15:sqref>
                        </c15:formulaRef>
                      </c:ext>
                    </c:extLst>
                    <c:numCache>
                      <c:formatCode>General</c:formatCode>
                      <c:ptCount val="6"/>
                    </c:numCache>
                  </c:numRef>
                </c:val>
                <c:extLst>
                  <c:ext xmlns:c16="http://schemas.microsoft.com/office/drawing/2014/chart" uri="{C3380CC4-5D6E-409C-BE32-E72D297353CC}">
                    <c16:uniqueId val="{00000001-D838-4B80-99FC-B7A0285E243D}"/>
                  </c:ext>
                </c:extLst>
              </c15:ser>
            </c15:filteredBarSeries>
          </c:ext>
        </c:extLst>
      </c:barChart>
      <c:catAx>
        <c:axId val="123389791"/>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fr-FR"/>
                  <a:t>la durée  </a:t>
                </a:r>
              </a:p>
            </c:rich>
          </c:tx>
          <c:layout>
            <c:manualLayout>
              <c:xMode val="edge"/>
              <c:yMode val="edge"/>
              <c:x val="0.50518512423047057"/>
              <c:y val="0.883310002916302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3388543"/>
        <c:crosses val="autoZero"/>
        <c:auto val="1"/>
        <c:lblAlgn val="ctr"/>
        <c:lblOffset val="100"/>
        <c:noMultiLvlLbl val="0"/>
      </c:catAx>
      <c:valAx>
        <c:axId val="1233885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nombre de patient</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233897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2"/>
          <c:order val="2"/>
          <c:dPt>
            <c:idx val="0"/>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DEAD-4E34-AFF7-B2FCB87B0BEA}"/>
              </c:ext>
            </c:extLst>
          </c:dPt>
          <c:dPt>
            <c:idx val="1"/>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DEAD-4E34-AFF7-B2FCB87B0BEA}"/>
              </c:ext>
            </c:extLst>
          </c:dPt>
          <c:dPt>
            <c:idx val="2"/>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5-DEAD-4E34-AFF7-B2FCB87B0BE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FR"/>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Sheet32!$D$5:$D$7</c:f>
              <c:strCache>
                <c:ptCount val="3"/>
                <c:pt idx="0">
                  <c:v>Occasionnelle               </c:v>
                </c:pt>
                <c:pt idx="1">
                  <c:v>Plusieurs fois par semaine</c:v>
                </c:pt>
                <c:pt idx="2">
                  <c:v>Quotidienne                 </c:v>
                </c:pt>
              </c:strCache>
            </c:strRef>
          </c:cat>
          <c:val>
            <c:numRef>
              <c:f>Sheet32!$G$5:$G$7</c:f>
              <c:numCache>
                <c:formatCode>General</c:formatCode>
                <c:ptCount val="3"/>
                <c:pt idx="0">
                  <c:v>95</c:v>
                </c:pt>
                <c:pt idx="1">
                  <c:v>43</c:v>
                </c:pt>
                <c:pt idx="2">
                  <c:v>20</c:v>
                </c:pt>
              </c:numCache>
            </c:numRef>
          </c:val>
          <c:extLst>
            <c:ext xmlns:c16="http://schemas.microsoft.com/office/drawing/2014/chart" uri="{C3380CC4-5D6E-409C-BE32-E72D297353CC}">
              <c16:uniqueId val="{00000006-DEAD-4E34-AFF7-B2FCB87B0BEA}"/>
            </c:ext>
          </c:extLst>
        </c:ser>
        <c:dLbls>
          <c:showLegendKey val="0"/>
          <c:showVal val="0"/>
          <c:showCatName val="0"/>
          <c:showSerName val="0"/>
          <c:showPercent val="1"/>
          <c:showBubbleSize val="0"/>
          <c:showLeaderLines val="1"/>
        </c:dLbls>
        <c:firstSliceAng val="0"/>
        <c:holeSize val="75"/>
        <c:extLst>
          <c:ext xmlns:c15="http://schemas.microsoft.com/office/drawing/2012/chart" uri="{02D57815-91ED-43cb-92C2-25804820EDAC}">
            <c15:filteredPieSeries>
              <c15:ser>
                <c:idx val="0"/>
                <c:order val="0"/>
                <c:dPt>
                  <c:idx val="0"/>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8-DEAD-4E34-AFF7-B2FCB87B0BEA}"/>
                    </c:ext>
                  </c:extLst>
                </c:dPt>
                <c:dPt>
                  <c:idx val="1"/>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A-DEAD-4E34-AFF7-B2FCB87B0BEA}"/>
                    </c:ext>
                  </c:extLst>
                </c:dPt>
                <c:dPt>
                  <c:idx val="2"/>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C-DEAD-4E34-AFF7-B2FCB87B0BE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FR"/>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uri="{CE6537A1-D6FC-4f65-9D91-7224C49458BB}"/>
                  </c:extLst>
                </c:dLbls>
                <c:cat>
                  <c:strRef>
                    <c:extLst>
                      <c:ext uri="{02D57815-91ED-43cb-92C2-25804820EDAC}">
                        <c15:formulaRef>
                          <c15:sqref>Sheet32!$D$5:$D$7</c15:sqref>
                        </c15:formulaRef>
                      </c:ext>
                    </c:extLst>
                    <c:strCache>
                      <c:ptCount val="3"/>
                      <c:pt idx="0">
                        <c:v>Occasionnelle               </c:v>
                      </c:pt>
                      <c:pt idx="1">
                        <c:v>Plusieurs fois par semaine</c:v>
                      </c:pt>
                      <c:pt idx="2">
                        <c:v>Quotidienne                 </c:v>
                      </c:pt>
                    </c:strCache>
                  </c:strRef>
                </c:cat>
                <c:val>
                  <c:numRef>
                    <c:extLst>
                      <c:ext uri="{02D57815-91ED-43cb-92C2-25804820EDAC}">
                        <c15:formulaRef>
                          <c15:sqref>Sheet32!$E$5:$E$7</c15:sqref>
                        </c15:formulaRef>
                      </c:ext>
                    </c:extLst>
                    <c:numCache>
                      <c:formatCode>General</c:formatCode>
                      <c:ptCount val="3"/>
                    </c:numCache>
                  </c:numRef>
                </c:val>
                <c:extLst>
                  <c:ext xmlns:c16="http://schemas.microsoft.com/office/drawing/2014/chart" uri="{C3380CC4-5D6E-409C-BE32-E72D297353CC}">
                    <c16:uniqueId val="{0000000D-DEAD-4E34-AFF7-B2FCB87B0BEA}"/>
                  </c:ext>
                </c:extLst>
              </c15:ser>
            </c15:filteredPieSeries>
            <c15:filteredPieSeries>
              <c15:ser>
                <c:idx val="1"/>
                <c:order val="1"/>
                <c:dPt>
                  <c:idx val="0"/>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extLst xmlns:c15="http://schemas.microsoft.com/office/drawing/2012/chart">
                    <c:ext xmlns:c16="http://schemas.microsoft.com/office/drawing/2014/chart" uri="{C3380CC4-5D6E-409C-BE32-E72D297353CC}">
                      <c16:uniqueId val="{0000000F-DEAD-4E34-AFF7-B2FCB87B0BEA}"/>
                    </c:ext>
                  </c:extLst>
                </c:dPt>
                <c:dPt>
                  <c:idx val="1"/>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extLst xmlns:c15="http://schemas.microsoft.com/office/drawing/2012/chart">
                    <c:ext xmlns:c16="http://schemas.microsoft.com/office/drawing/2014/chart" uri="{C3380CC4-5D6E-409C-BE32-E72D297353CC}">
                      <c16:uniqueId val="{00000011-DEAD-4E34-AFF7-B2FCB87B0BEA}"/>
                    </c:ext>
                  </c:extLst>
                </c:dPt>
                <c:dPt>
                  <c:idx val="2"/>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xmlns:c15="http://schemas.microsoft.com/office/drawing/2012/chart">
                    <c:ext xmlns:c16="http://schemas.microsoft.com/office/drawing/2014/chart" uri="{C3380CC4-5D6E-409C-BE32-E72D297353CC}">
                      <c16:uniqueId val="{00000013-DEAD-4E34-AFF7-B2FCB87B0BE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fr-FR"/>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xmlns:c15="http://schemas.microsoft.com/office/drawing/2012/chart">
                    <c:ext xmlns:c15="http://schemas.microsoft.com/office/drawing/2012/chart" uri="{CE6537A1-D6FC-4f65-9D91-7224C49458BB}"/>
                  </c:extLst>
                </c:dLbls>
                <c:cat>
                  <c:strRef>
                    <c:extLst xmlns:c15="http://schemas.microsoft.com/office/drawing/2012/chart">
                      <c:ext xmlns:c15="http://schemas.microsoft.com/office/drawing/2012/chart" uri="{02D57815-91ED-43cb-92C2-25804820EDAC}">
                        <c15:formulaRef>
                          <c15:sqref>Sheet32!$D$5:$D$7</c15:sqref>
                        </c15:formulaRef>
                      </c:ext>
                    </c:extLst>
                    <c:strCache>
                      <c:ptCount val="3"/>
                      <c:pt idx="0">
                        <c:v>Occasionnelle               </c:v>
                      </c:pt>
                      <c:pt idx="1">
                        <c:v>Plusieurs fois par semaine</c:v>
                      </c:pt>
                      <c:pt idx="2">
                        <c:v>Quotidienne                 </c:v>
                      </c:pt>
                    </c:strCache>
                  </c:strRef>
                </c:cat>
                <c:val>
                  <c:numRef>
                    <c:extLst xmlns:c15="http://schemas.microsoft.com/office/drawing/2012/chart">
                      <c:ext xmlns:c15="http://schemas.microsoft.com/office/drawing/2012/chart" uri="{02D57815-91ED-43cb-92C2-25804820EDAC}">
                        <c15:formulaRef>
                          <c15:sqref>Sheet32!$F$5:$F$7</c15:sqref>
                        </c15:formulaRef>
                      </c:ext>
                    </c:extLst>
                    <c:numCache>
                      <c:formatCode>General</c:formatCode>
                      <c:ptCount val="3"/>
                    </c:numCache>
                  </c:numRef>
                </c:val>
                <c:extLst xmlns:c15="http://schemas.microsoft.com/office/drawing/2012/chart">
                  <c:ext xmlns:c16="http://schemas.microsoft.com/office/drawing/2014/chart" uri="{C3380CC4-5D6E-409C-BE32-E72D297353CC}">
                    <c16:uniqueId val="{00000014-DEAD-4E34-AFF7-B2FCB87B0BEA}"/>
                  </c:ext>
                </c:extLst>
              </c15:ser>
            </c15:filteredPieSeries>
          </c:ext>
        </c:extLst>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028499562554679"/>
          <c:y val="0.15060185185185185"/>
          <c:w val="0.39609689413823274"/>
          <c:h val="0.66016149023038784"/>
        </c:manualLayout>
      </c:layout>
      <c:doughnutChart>
        <c:varyColors val="1"/>
        <c:ser>
          <c:idx val="1"/>
          <c:order val="1"/>
          <c:dPt>
            <c:idx val="0"/>
            <c:bubble3D val="0"/>
            <c:spPr>
              <a:solidFill>
                <a:schemeClr val="accent6"/>
              </a:solidFill>
              <a:ln w="19050">
                <a:solidFill>
                  <a:schemeClr val="lt1"/>
                </a:solidFill>
              </a:ln>
              <a:effectLst/>
            </c:spPr>
            <c:extLst>
              <c:ext xmlns:c16="http://schemas.microsoft.com/office/drawing/2014/chart" uri="{C3380CC4-5D6E-409C-BE32-E72D297353CC}">
                <c16:uniqueId val="{00000001-4475-477E-89F3-F92B45790AF9}"/>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4475-477E-89F3-F92B45790AF9}"/>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4475-477E-89F3-F92B45790AF9}"/>
              </c:ext>
            </c:extLst>
          </c:dPt>
          <c:cat>
            <c:strRef>
              <c:f>Sheet34!$D$5:$D$7</c:f>
              <c:strCache>
                <c:ptCount val="3"/>
                <c:pt idx="0">
                  <c:v>Herboriste   </c:v>
                </c:pt>
                <c:pt idx="1">
                  <c:v>Cueillette   </c:v>
                </c:pt>
                <c:pt idx="2">
                  <c:v>pharmacien</c:v>
                </c:pt>
              </c:strCache>
            </c:strRef>
          </c:cat>
          <c:val>
            <c:numRef>
              <c:f>Sheet34!$F$5:$F$7</c:f>
              <c:numCache>
                <c:formatCode>General</c:formatCode>
                <c:ptCount val="3"/>
                <c:pt idx="0">
                  <c:v>84</c:v>
                </c:pt>
                <c:pt idx="1">
                  <c:v>73</c:v>
                </c:pt>
                <c:pt idx="2">
                  <c:v>1</c:v>
                </c:pt>
              </c:numCache>
            </c:numRef>
          </c:val>
          <c:extLst>
            <c:ext xmlns:c16="http://schemas.microsoft.com/office/drawing/2014/chart" uri="{C3380CC4-5D6E-409C-BE32-E72D297353CC}">
              <c16:uniqueId val="{00000006-4475-477E-89F3-F92B45790AF9}"/>
            </c:ext>
          </c:extLst>
        </c:ser>
        <c:dLbls>
          <c:showLegendKey val="0"/>
          <c:showVal val="0"/>
          <c:showCatName val="0"/>
          <c:showSerName val="0"/>
          <c:showPercent val="0"/>
          <c:showBubbleSize val="0"/>
          <c:showLeaderLines val="1"/>
        </c:dLbls>
        <c:firstSliceAng val="0"/>
        <c:holeSize val="75"/>
        <c:extLst>
          <c:ext xmlns:c15="http://schemas.microsoft.com/office/drawing/2012/chart" uri="{02D57815-91ED-43cb-92C2-25804820EDAC}">
            <c15:filteredPieSeries>
              <c15:ser>
                <c:idx val="0"/>
                <c:order val="0"/>
                <c:dPt>
                  <c:idx val="0"/>
                  <c:bubble3D val="0"/>
                  <c:spPr>
                    <a:solidFill>
                      <a:schemeClr val="accent6"/>
                    </a:solidFill>
                    <a:ln w="19050">
                      <a:solidFill>
                        <a:schemeClr val="lt1"/>
                      </a:solidFill>
                    </a:ln>
                    <a:effectLst/>
                  </c:spPr>
                  <c:extLst>
                    <c:ext xmlns:c16="http://schemas.microsoft.com/office/drawing/2014/chart" uri="{C3380CC4-5D6E-409C-BE32-E72D297353CC}">
                      <c16:uniqueId val="{00000008-4475-477E-89F3-F92B45790AF9}"/>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A-4475-477E-89F3-F92B45790AF9}"/>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C-4475-477E-89F3-F92B45790AF9}"/>
                    </c:ext>
                  </c:extLst>
                </c:dPt>
                <c:cat>
                  <c:strRef>
                    <c:extLst>
                      <c:ext uri="{02D57815-91ED-43cb-92C2-25804820EDAC}">
                        <c15:formulaRef>
                          <c15:sqref>Sheet34!$D$5:$D$7</c15:sqref>
                        </c15:formulaRef>
                      </c:ext>
                    </c:extLst>
                    <c:strCache>
                      <c:ptCount val="3"/>
                      <c:pt idx="0">
                        <c:v>Herboriste   </c:v>
                      </c:pt>
                      <c:pt idx="1">
                        <c:v>Cueillette   </c:v>
                      </c:pt>
                      <c:pt idx="2">
                        <c:v>pharmacien</c:v>
                      </c:pt>
                    </c:strCache>
                  </c:strRef>
                </c:cat>
                <c:val>
                  <c:numRef>
                    <c:extLst>
                      <c:ext uri="{02D57815-91ED-43cb-92C2-25804820EDAC}">
                        <c15:formulaRef>
                          <c15:sqref>Sheet34!$E$5:$E$7</c15:sqref>
                        </c15:formulaRef>
                      </c:ext>
                    </c:extLst>
                    <c:numCache>
                      <c:formatCode>General</c:formatCode>
                      <c:ptCount val="3"/>
                    </c:numCache>
                  </c:numRef>
                </c:val>
                <c:extLst>
                  <c:ext xmlns:c16="http://schemas.microsoft.com/office/drawing/2014/chart" uri="{C3380CC4-5D6E-409C-BE32-E72D297353CC}">
                    <c16:uniqueId val="{0000000D-4475-477E-89F3-F92B45790AF9}"/>
                  </c:ext>
                </c:extLst>
              </c15:ser>
            </c15:filteredPieSeries>
          </c:ext>
        </c:extLst>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422F-45D8-8862-53AE519C5EEC}"/>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422F-45D8-8862-53AE519C5EEC}"/>
              </c:ext>
            </c:extLst>
          </c:dPt>
          <c:cat>
            <c:strRef>
              <c:f>Sheet36!$D$4:$D$5</c:f>
              <c:strCache>
                <c:ptCount val="2"/>
                <c:pt idx="0">
                  <c:v>non</c:v>
                </c:pt>
                <c:pt idx="1">
                  <c:v>oui</c:v>
                </c:pt>
              </c:strCache>
            </c:strRef>
          </c:cat>
          <c:val>
            <c:numRef>
              <c:f>Sheet36!$E$4:$E$5</c:f>
              <c:numCache>
                <c:formatCode>General</c:formatCode>
                <c:ptCount val="2"/>
                <c:pt idx="0">
                  <c:v>19</c:v>
                </c:pt>
                <c:pt idx="1">
                  <c:v>139</c:v>
                </c:pt>
              </c:numCache>
            </c:numRef>
          </c:val>
          <c:extLst>
            <c:ext xmlns:c16="http://schemas.microsoft.com/office/drawing/2014/chart" uri="{C3380CC4-5D6E-409C-BE32-E72D297353CC}">
              <c16:uniqueId val="{00000004-422F-45D8-8862-53AE519C5EE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4E40-45E1-914E-BAC4743B0D23}"/>
              </c:ext>
            </c:extLst>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4E40-45E1-914E-BAC4743B0D23}"/>
              </c:ext>
            </c:extLst>
          </c:dPt>
          <c:cat>
            <c:strRef>
              <c:f>Sheet37!$D$4:$D$5</c:f>
              <c:strCache>
                <c:ptCount val="2"/>
                <c:pt idx="0">
                  <c:v>non</c:v>
                </c:pt>
                <c:pt idx="1">
                  <c:v>oui</c:v>
                </c:pt>
              </c:strCache>
            </c:strRef>
          </c:cat>
          <c:val>
            <c:numRef>
              <c:f>Sheet37!$E$4:$E$5</c:f>
              <c:numCache>
                <c:formatCode>General</c:formatCode>
                <c:ptCount val="2"/>
                <c:pt idx="0">
                  <c:v>148</c:v>
                </c:pt>
                <c:pt idx="1">
                  <c:v>10</c:v>
                </c:pt>
              </c:numCache>
            </c:numRef>
          </c:val>
          <c:extLst>
            <c:ext xmlns:c16="http://schemas.microsoft.com/office/drawing/2014/chart" uri="{C3380CC4-5D6E-409C-BE32-E72D297353CC}">
              <c16:uniqueId val="{00000004-4E40-45E1-914E-BAC4743B0D2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C462-4A14-AD4E-7C4E7BE0BD74}"/>
              </c:ext>
            </c:extLst>
          </c:dPt>
          <c:dPt>
            <c:idx val="1"/>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C462-4A14-AD4E-7C4E7BE0BD74}"/>
              </c:ext>
            </c:extLst>
          </c:dPt>
          <c:cat>
            <c:strRef>
              <c:f>Sheet38!$D$4:$D$5</c:f>
              <c:strCache>
                <c:ptCount val="2"/>
                <c:pt idx="0">
                  <c:v>efficace </c:v>
                </c:pt>
                <c:pt idx="1">
                  <c:v>inefficace</c:v>
                </c:pt>
              </c:strCache>
            </c:strRef>
          </c:cat>
          <c:val>
            <c:numRef>
              <c:f>Sheet38!$E$4:$E$5</c:f>
              <c:numCache>
                <c:formatCode>General</c:formatCode>
                <c:ptCount val="2"/>
                <c:pt idx="0">
                  <c:v>147</c:v>
                </c:pt>
                <c:pt idx="1">
                  <c:v>11</c:v>
                </c:pt>
              </c:numCache>
            </c:numRef>
          </c:val>
          <c:extLst>
            <c:ext xmlns:c16="http://schemas.microsoft.com/office/drawing/2014/chart" uri="{C3380CC4-5D6E-409C-BE32-E72D297353CC}">
              <c16:uniqueId val="{00000004-C462-4A14-AD4E-7C4E7BE0BD7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PROF2!$G$3</c:f>
              <c:strCache>
                <c:ptCount val="1"/>
                <c:pt idx="0">
                  <c:v>utilisateurs </c:v>
                </c:pt>
              </c:strCache>
            </c:strRef>
          </c:tx>
          <c:spPr>
            <a:solidFill>
              <a:schemeClr val="accent1"/>
            </a:solidFill>
            <a:ln>
              <a:noFill/>
            </a:ln>
            <a:effectLst/>
            <a:sp3d/>
          </c:spPr>
          <c:invertIfNegative val="0"/>
          <c:cat>
            <c:strRef>
              <c:f>PROF2!$F$4:$F$11</c:f>
              <c:strCache>
                <c:ptCount val="8"/>
                <c:pt idx="0">
                  <c:v>Administratif</c:v>
                </c:pt>
                <c:pt idx="1">
                  <c:v>Agent</c:v>
                </c:pt>
                <c:pt idx="2">
                  <c:v>Chômeur</c:v>
                </c:pt>
                <c:pt idx="3">
                  <c:v>Enseignant</c:v>
                </c:pt>
                <c:pt idx="4">
                  <c:v>Faf</c:v>
                </c:pt>
                <c:pt idx="5">
                  <c:v>militaire</c:v>
                </c:pt>
                <c:pt idx="6">
                  <c:v>Retraité</c:v>
                </c:pt>
                <c:pt idx="7">
                  <c:v>Travaux libres</c:v>
                </c:pt>
              </c:strCache>
            </c:strRef>
          </c:cat>
          <c:val>
            <c:numRef>
              <c:f>PROF2!$G$4:$G$11</c:f>
              <c:numCache>
                <c:formatCode>General</c:formatCode>
                <c:ptCount val="8"/>
                <c:pt idx="0">
                  <c:v>6</c:v>
                </c:pt>
                <c:pt idx="1">
                  <c:v>4</c:v>
                </c:pt>
                <c:pt idx="2">
                  <c:v>8</c:v>
                </c:pt>
                <c:pt idx="3">
                  <c:v>5</c:v>
                </c:pt>
                <c:pt idx="4">
                  <c:v>69</c:v>
                </c:pt>
                <c:pt idx="5">
                  <c:v>4</c:v>
                </c:pt>
                <c:pt idx="6">
                  <c:v>39</c:v>
                </c:pt>
                <c:pt idx="7">
                  <c:v>23</c:v>
                </c:pt>
              </c:numCache>
            </c:numRef>
          </c:val>
          <c:extLst>
            <c:ext xmlns:c16="http://schemas.microsoft.com/office/drawing/2014/chart" uri="{C3380CC4-5D6E-409C-BE32-E72D297353CC}">
              <c16:uniqueId val="{00000000-38A4-42D9-AF47-3B4B62CA0F39}"/>
            </c:ext>
          </c:extLst>
        </c:ser>
        <c:ser>
          <c:idx val="1"/>
          <c:order val="1"/>
          <c:tx>
            <c:strRef>
              <c:f>PROF2!$H$3</c:f>
              <c:strCache>
                <c:ptCount val="1"/>
                <c:pt idx="0">
                  <c:v>non utilisateurs</c:v>
                </c:pt>
              </c:strCache>
            </c:strRef>
          </c:tx>
          <c:spPr>
            <a:solidFill>
              <a:schemeClr val="accent2"/>
            </a:solidFill>
            <a:ln>
              <a:noFill/>
            </a:ln>
            <a:effectLst/>
            <a:sp3d/>
          </c:spPr>
          <c:invertIfNegative val="0"/>
          <c:cat>
            <c:strRef>
              <c:f>PROF2!$F$4:$F$11</c:f>
              <c:strCache>
                <c:ptCount val="8"/>
                <c:pt idx="0">
                  <c:v>Administratif</c:v>
                </c:pt>
                <c:pt idx="1">
                  <c:v>Agent</c:v>
                </c:pt>
                <c:pt idx="2">
                  <c:v>Chômeur</c:v>
                </c:pt>
                <c:pt idx="3">
                  <c:v>Enseignant</c:v>
                </c:pt>
                <c:pt idx="4">
                  <c:v>Faf</c:v>
                </c:pt>
                <c:pt idx="5">
                  <c:v>militaire</c:v>
                </c:pt>
                <c:pt idx="6">
                  <c:v>Retraité</c:v>
                </c:pt>
                <c:pt idx="7">
                  <c:v>Travaux libres</c:v>
                </c:pt>
              </c:strCache>
            </c:strRef>
          </c:cat>
          <c:val>
            <c:numRef>
              <c:f>PROF2!$H$4:$H$11</c:f>
              <c:numCache>
                <c:formatCode>General</c:formatCode>
                <c:ptCount val="8"/>
                <c:pt idx="0">
                  <c:v>3</c:v>
                </c:pt>
                <c:pt idx="1">
                  <c:v>3</c:v>
                </c:pt>
                <c:pt idx="2">
                  <c:v>3</c:v>
                </c:pt>
                <c:pt idx="3">
                  <c:v>2</c:v>
                </c:pt>
                <c:pt idx="4">
                  <c:v>38</c:v>
                </c:pt>
                <c:pt idx="5">
                  <c:v>1</c:v>
                </c:pt>
                <c:pt idx="6">
                  <c:v>21</c:v>
                </c:pt>
                <c:pt idx="7">
                  <c:v>22</c:v>
                </c:pt>
              </c:numCache>
            </c:numRef>
          </c:val>
          <c:extLst>
            <c:ext xmlns:c16="http://schemas.microsoft.com/office/drawing/2014/chart" uri="{C3380CC4-5D6E-409C-BE32-E72D297353CC}">
              <c16:uniqueId val="{00000001-38A4-42D9-AF47-3B4B62CA0F39}"/>
            </c:ext>
          </c:extLst>
        </c:ser>
        <c:dLbls>
          <c:showLegendKey val="0"/>
          <c:showVal val="0"/>
          <c:showCatName val="0"/>
          <c:showSerName val="0"/>
          <c:showPercent val="0"/>
          <c:showBubbleSize val="0"/>
        </c:dLbls>
        <c:gapWidth val="150"/>
        <c:shape val="box"/>
        <c:axId val="157017984"/>
        <c:axId val="157375872"/>
        <c:axId val="0"/>
      </c:bar3DChart>
      <c:catAx>
        <c:axId val="1570179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57375872"/>
        <c:crosses val="autoZero"/>
        <c:auto val="1"/>
        <c:lblAlgn val="ctr"/>
        <c:lblOffset val="100"/>
        <c:noMultiLvlLbl val="0"/>
      </c:catAx>
      <c:valAx>
        <c:axId val="157375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57017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SIT!$F$4</c:f>
              <c:strCache>
                <c:ptCount val="1"/>
                <c:pt idx="0">
                  <c:v>utilisateurs </c:v>
                </c:pt>
              </c:strCache>
            </c:strRef>
          </c:tx>
          <c:invertIfNegative val="0"/>
          <c:cat>
            <c:strRef>
              <c:f>SIT!$E$5:$E$8</c:f>
              <c:strCache>
                <c:ptCount val="4"/>
                <c:pt idx="0">
                  <c:v>Célibataire</c:v>
                </c:pt>
                <c:pt idx="1">
                  <c:v>Divorcé</c:v>
                </c:pt>
                <c:pt idx="2">
                  <c:v>Marié</c:v>
                </c:pt>
                <c:pt idx="3">
                  <c:v>Veuf</c:v>
                </c:pt>
              </c:strCache>
            </c:strRef>
          </c:cat>
          <c:val>
            <c:numRef>
              <c:f>SIT!$F$5:$F$8</c:f>
              <c:numCache>
                <c:formatCode>General</c:formatCode>
                <c:ptCount val="4"/>
                <c:pt idx="0">
                  <c:v>15</c:v>
                </c:pt>
                <c:pt idx="1">
                  <c:v>9</c:v>
                </c:pt>
                <c:pt idx="2">
                  <c:v>120</c:v>
                </c:pt>
                <c:pt idx="3">
                  <c:v>14</c:v>
                </c:pt>
              </c:numCache>
            </c:numRef>
          </c:val>
          <c:extLst>
            <c:ext xmlns:c16="http://schemas.microsoft.com/office/drawing/2014/chart" uri="{C3380CC4-5D6E-409C-BE32-E72D297353CC}">
              <c16:uniqueId val="{00000000-0C68-424C-94CC-CD89ABABF259}"/>
            </c:ext>
          </c:extLst>
        </c:ser>
        <c:ser>
          <c:idx val="1"/>
          <c:order val="1"/>
          <c:tx>
            <c:strRef>
              <c:f>SIT!$G$4</c:f>
              <c:strCache>
                <c:ptCount val="1"/>
                <c:pt idx="0">
                  <c:v>non utilisaters</c:v>
                </c:pt>
              </c:strCache>
            </c:strRef>
          </c:tx>
          <c:invertIfNegative val="0"/>
          <c:cat>
            <c:strRef>
              <c:f>SIT!$E$5:$E$8</c:f>
              <c:strCache>
                <c:ptCount val="4"/>
                <c:pt idx="0">
                  <c:v>Célibataire</c:v>
                </c:pt>
                <c:pt idx="1">
                  <c:v>Divorcé</c:v>
                </c:pt>
                <c:pt idx="2">
                  <c:v>Marié</c:v>
                </c:pt>
                <c:pt idx="3">
                  <c:v>Veuf</c:v>
                </c:pt>
              </c:strCache>
            </c:strRef>
          </c:cat>
          <c:val>
            <c:numRef>
              <c:f>SIT!$G$5:$G$8</c:f>
              <c:numCache>
                <c:formatCode>General</c:formatCode>
                <c:ptCount val="4"/>
                <c:pt idx="0">
                  <c:v>12</c:v>
                </c:pt>
                <c:pt idx="1">
                  <c:v>3</c:v>
                </c:pt>
                <c:pt idx="2">
                  <c:v>70</c:v>
                </c:pt>
                <c:pt idx="3">
                  <c:v>8</c:v>
                </c:pt>
              </c:numCache>
            </c:numRef>
          </c:val>
          <c:extLst>
            <c:ext xmlns:c16="http://schemas.microsoft.com/office/drawing/2014/chart" uri="{C3380CC4-5D6E-409C-BE32-E72D297353CC}">
              <c16:uniqueId val="{00000001-0C68-424C-94CC-CD89ABABF259}"/>
            </c:ext>
          </c:extLst>
        </c:ser>
        <c:dLbls>
          <c:showLegendKey val="0"/>
          <c:showVal val="0"/>
          <c:showCatName val="0"/>
          <c:showSerName val="0"/>
          <c:showPercent val="0"/>
          <c:showBubbleSize val="0"/>
        </c:dLbls>
        <c:gapWidth val="150"/>
        <c:shape val="box"/>
        <c:axId val="135448832"/>
        <c:axId val="135467008"/>
        <c:axId val="0"/>
      </c:bar3DChart>
      <c:catAx>
        <c:axId val="135448832"/>
        <c:scaling>
          <c:orientation val="minMax"/>
        </c:scaling>
        <c:delete val="0"/>
        <c:axPos val="b"/>
        <c:numFmt formatCode="General" sourceLinked="0"/>
        <c:majorTickMark val="out"/>
        <c:minorTickMark val="none"/>
        <c:tickLblPos val="nextTo"/>
        <c:txPr>
          <a:bodyPr/>
          <a:lstStyle/>
          <a:p>
            <a:pPr>
              <a:defRPr lang="en-US"/>
            </a:pPr>
            <a:endParaRPr lang="fr-FR"/>
          </a:p>
        </c:txPr>
        <c:crossAx val="135467008"/>
        <c:crosses val="autoZero"/>
        <c:auto val="1"/>
        <c:lblAlgn val="ctr"/>
        <c:lblOffset val="100"/>
        <c:noMultiLvlLbl val="0"/>
      </c:catAx>
      <c:valAx>
        <c:axId val="135467008"/>
        <c:scaling>
          <c:orientation val="minMax"/>
        </c:scaling>
        <c:delete val="0"/>
        <c:axPos val="l"/>
        <c:majorGridlines/>
        <c:numFmt formatCode="General" sourceLinked="1"/>
        <c:majorTickMark val="out"/>
        <c:minorTickMark val="none"/>
        <c:tickLblPos val="nextTo"/>
        <c:txPr>
          <a:bodyPr/>
          <a:lstStyle/>
          <a:p>
            <a:pPr>
              <a:defRPr lang="en-US"/>
            </a:pPr>
            <a:endParaRPr lang="fr-FR"/>
          </a:p>
        </c:txPr>
        <c:crossAx val="135448832"/>
        <c:crosses val="autoZero"/>
        <c:crossBetween val="between"/>
      </c:valAx>
    </c:plotArea>
    <c:legend>
      <c:legendPos val="r"/>
      <c:overlay val="0"/>
      <c:txPr>
        <a:bodyPr/>
        <a:lstStyle/>
        <a:p>
          <a:pPr>
            <a:defRPr lang="en-US"/>
          </a:pPr>
          <a:endParaRPr lang="fr-FR"/>
        </a:p>
      </c:txPr>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'NIV22'!$E$3</c:f>
              <c:strCache>
                <c:ptCount val="1"/>
                <c:pt idx="0">
                  <c:v>utilisateurs </c:v>
                </c:pt>
              </c:strCache>
            </c:strRef>
          </c:tx>
          <c:invertIfNegative val="0"/>
          <c:cat>
            <c:strRef>
              <c:f>'NIV22'!$D$4:$D$6</c:f>
              <c:strCache>
                <c:ptCount val="3"/>
                <c:pt idx="0">
                  <c:v>Bas</c:v>
                </c:pt>
                <c:pt idx="1">
                  <c:v>Bon</c:v>
                </c:pt>
                <c:pt idx="2">
                  <c:v>Moyen</c:v>
                </c:pt>
              </c:strCache>
            </c:strRef>
          </c:cat>
          <c:val>
            <c:numRef>
              <c:f>'NIV22'!$E$4:$E$6</c:f>
              <c:numCache>
                <c:formatCode>General</c:formatCode>
                <c:ptCount val="3"/>
                <c:pt idx="0">
                  <c:v>8</c:v>
                </c:pt>
                <c:pt idx="1">
                  <c:v>30</c:v>
                </c:pt>
                <c:pt idx="2">
                  <c:v>120</c:v>
                </c:pt>
              </c:numCache>
            </c:numRef>
          </c:val>
          <c:extLst>
            <c:ext xmlns:c16="http://schemas.microsoft.com/office/drawing/2014/chart" uri="{C3380CC4-5D6E-409C-BE32-E72D297353CC}">
              <c16:uniqueId val="{00000000-87C4-40FC-B885-DF58798A1EC9}"/>
            </c:ext>
          </c:extLst>
        </c:ser>
        <c:ser>
          <c:idx val="1"/>
          <c:order val="1"/>
          <c:tx>
            <c:strRef>
              <c:f>'NIV22'!$F$3</c:f>
              <c:strCache>
                <c:ptCount val="1"/>
                <c:pt idx="0">
                  <c:v>non utilisateurs</c:v>
                </c:pt>
              </c:strCache>
            </c:strRef>
          </c:tx>
          <c:invertIfNegative val="0"/>
          <c:cat>
            <c:strRef>
              <c:f>'NIV22'!$D$4:$D$6</c:f>
              <c:strCache>
                <c:ptCount val="3"/>
                <c:pt idx="0">
                  <c:v>Bas</c:v>
                </c:pt>
                <c:pt idx="1">
                  <c:v>Bon</c:v>
                </c:pt>
                <c:pt idx="2">
                  <c:v>Moyen</c:v>
                </c:pt>
              </c:strCache>
            </c:strRef>
          </c:cat>
          <c:val>
            <c:numRef>
              <c:f>'NIV22'!$F$4:$F$6</c:f>
              <c:numCache>
                <c:formatCode>General</c:formatCode>
                <c:ptCount val="3"/>
                <c:pt idx="0">
                  <c:v>5</c:v>
                </c:pt>
                <c:pt idx="1">
                  <c:v>19</c:v>
                </c:pt>
                <c:pt idx="2">
                  <c:v>69</c:v>
                </c:pt>
              </c:numCache>
            </c:numRef>
          </c:val>
          <c:extLst>
            <c:ext xmlns:c16="http://schemas.microsoft.com/office/drawing/2014/chart" uri="{C3380CC4-5D6E-409C-BE32-E72D297353CC}">
              <c16:uniqueId val="{00000001-87C4-40FC-B885-DF58798A1EC9}"/>
            </c:ext>
          </c:extLst>
        </c:ser>
        <c:dLbls>
          <c:showLegendKey val="0"/>
          <c:showVal val="0"/>
          <c:showCatName val="0"/>
          <c:showSerName val="0"/>
          <c:showPercent val="0"/>
          <c:showBubbleSize val="0"/>
        </c:dLbls>
        <c:gapWidth val="150"/>
        <c:shape val="box"/>
        <c:axId val="137625984"/>
        <c:axId val="137627520"/>
        <c:axId val="0"/>
      </c:bar3DChart>
      <c:catAx>
        <c:axId val="137625984"/>
        <c:scaling>
          <c:orientation val="minMax"/>
        </c:scaling>
        <c:delete val="0"/>
        <c:axPos val="b"/>
        <c:numFmt formatCode="General" sourceLinked="0"/>
        <c:majorTickMark val="out"/>
        <c:minorTickMark val="none"/>
        <c:tickLblPos val="nextTo"/>
        <c:txPr>
          <a:bodyPr/>
          <a:lstStyle/>
          <a:p>
            <a:pPr>
              <a:defRPr lang="en-US"/>
            </a:pPr>
            <a:endParaRPr lang="fr-FR"/>
          </a:p>
        </c:txPr>
        <c:crossAx val="137627520"/>
        <c:crosses val="autoZero"/>
        <c:auto val="1"/>
        <c:lblAlgn val="ctr"/>
        <c:lblOffset val="100"/>
        <c:noMultiLvlLbl val="0"/>
      </c:catAx>
      <c:valAx>
        <c:axId val="137627520"/>
        <c:scaling>
          <c:orientation val="minMax"/>
        </c:scaling>
        <c:delete val="0"/>
        <c:axPos val="l"/>
        <c:majorGridlines/>
        <c:numFmt formatCode="General" sourceLinked="1"/>
        <c:majorTickMark val="out"/>
        <c:minorTickMark val="none"/>
        <c:tickLblPos val="nextTo"/>
        <c:txPr>
          <a:bodyPr/>
          <a:lstStyle/>
          <a:p>
            <a:pPr>
              <a:defRPr lang="en-US"/>
            </a:pPr>
            <a:endParaRPr lang="fr-FR"/>
          </a:p>
        </c:txPr>
        <c:crossAx val="137625984"/>
        <c:crosses val="autoZero"/>
        <c:crossBetween val="between"/>
      </c:valAx>
    </c:plotArea>
    <c:legend>
      <c:legendPos val="r"/>
      <c:overlay val="0"/>
      <c:txPr>
        <a:bodyPr/>
        <a:lstStyle/>
        <a:p>
          <a:pPr>
            <a:defRPr lang="en-US"/>
          </a:pPr>
          <a:endParaRPr lang="fr-FR"/>
        </a:p>
      </c:txPr>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'NIV2'!$E$3</c:f>
              <c:strCache>
                <c:ptCount val="1"/>
                <c:pt idx="0">
                  <c:v>utilisateurs</c:v>
                </c:pt>
              </c:strCache>
            </c:strRef>
          </c:tx>
          <c:invertIfNegative val="0"/>
          <c:cat>
            <c:strRef>
              <c:f>'NIV2'!$D$4:$D$8</c:f>
              <c:strCache>
                <c:ptCount val="5"/>
                <c:pt idx="0">
                  <c:v>Analphabète</c:v>
                </c:pt>
                <c:pt idx="1">
                  <c:v>Lycée</c:v>
                </c:pt>
                <c:pt idx="2">
                  <c:v>Primaire</c:v>
                </c:pt>
                <c:pt idx="3">
                  <c:v>Secondaire</c:v>
                </c:pt>
                <c:pt idx="4">
                  <c:v>Universitaire</c:v>
                </c:pt>
              </c:strCache>
            </c:strRef>
          </c:cat>
          <c:val>
            <c:numRef>
              <c:f>'NIV2'!$E$4:$E$8</c:f>
              <c:numCache>
                <c:formatCode>General</c:formatCode>
                <c:ptCount val="5"/>
                <c:pt idx="0">
                  <c:v>46</c:v>
                </c:pt>
                <c:pt idx="1">
                  <c:v>22</c:v>
                </c:pt>
                <c:pt idx="2">
                  <c:v>50</c:v>
                </c:pt>
                <c:pt idx="3">
                  <c:v>31</c:v>
                </c:pt>
                <c:pt idx="4">
                  <c:v>9</c:v>
                </c:pt>
              </c:numCache>
            </c:numRef>
          </c:val>
          <c:extLst>
            <c:ext xmlns:c16="http://schemas.microsoft.com/office/drawing/2014/chart" uri="{C3380CC4-5D6E-409C-BE32-E72D297353CC}">
              <c16:uniqueId val="{00000000-42CF-4AE5-8A0E-9734E685B00F}"/>
            </c:ext>
          </c:extLst>
        </c:ser>
        <c:ser>
          <c:idx val="1"/>
          <c:order val="1"/>
          <c:tx>
            <c:strRef>
              <c:f>'NIV2'!$F$3</c:f>
              <c:strCache>
                <c:ptCount val="1"/>
                <c:pt idx="0">
                  <c:v>non utilisateurs</c:v>
                </c:pt>
              </c:strCache>
            </c:strRef>
          </c:tx>
          <c:invertIfNegative val="0"/>
          <c:cat>
            <c:strRef>
              <c:f>'NIV2'!$D$4:$D$8</c:f>
              <c:strCache>
                <c:ptCount val="5"/>
                <c:pt idx="0">
                  <c:v>Analphabète</c:v>
                </c:pt>
                <c:pt idx="1">
                  <c:v>Lycée</c:v>
                </c:pt>
                <c:pt idx="2">
                  <c:v>Primaire</c:v>
                </c:pt>
                <c:pt idx="3">
                  <c:v>Secondaire</c:v>
                </c:pt>
                <c:pt idx="4">
                  <c:v>Universitaire</c:v>
                </c:pt>
              </c:strCache>
            </c:strRef>
          </c:cat>
          <c:val>
            <c:numRef>
              <c:f>'NIV2'!$F$4:$F$8</c:f>
              <c:numCache>
                <c:formatCode>General</c:formatCode>
                <c:ptCount val="5"/>
                <c:pt idx="0">
                  <c:v>33</c:v>
                </c:pt>
                <c:pt idx="1">
                  <c:v>15</c:v>
                </c:pt>
                <c:pt idx="2">
                  <c:v>22</c:v>
                </c:pt>
                <c:pt idx="3">
                  <c:v>17</c:v>
                </c:pt>
                <c:pt idx="4">
                  <c:v>6</c:v>
                </c:pt>
              </c:numCache>
            </c:numRef>
          </c:val>
          <c:extLst>
            <c:ext xmlns:c16="http://schemas.microsoft.com/office/drawing/2014/chart" uri="{C3380CC4-5D6E-409C-BE32-E72D297353CC}">
              <c16:uniqueId val="{00000001-42CF-4AE5-8A0E-9734E685B00F}"/>
            </c:ext>
          </c:extLst>
        </c:ser>
        <c:dLbls>
          <c:showLegendKey val="0"/>
          <c:showVal val="0"/>
          <c:showCatName val="0"/>
          <c:showSerName val="0"/>
          <c:showPercent val="0"/>
          <c:showBubbleSize val="0"/>
        </c:dLbls>
        <c:gapWidth val="150"/>
        <c:shape val="box"/>
        <c:axId val="137677056"/>
        <c:axId val="137691136"/>
        <c:axId val="0"/>
      </c:bar3DChart>
      <c:catAx>
        <c:axId val="137677056"/>
        <c:scaling>
          <c:orientation val="minMax"/>
        </c:scaling>
        <c:delete val="0"/>
        <c:axPos val="b"/>
        <c:numFmt formatCode="General" sourceLinked="0"/>
        <c:majorTickMark val="out"/>
        <c:minorTickMark val="none"/>
        <c:tickLblPos val="nextTo"/>
        <c:txPr>
          <a:bodyPr/>
          <a:lstStyle/>
          <a:p>
            <a:pPr>
              <a:defRPr lang="en-US"/>
            </a:pPr>
            <a:endParaRPr lang="fr-FR"/>
          </a:p>
        </c:txPr>
        <c:crossAx val="137691136"/>
        <c:crosses val="autoZero"/>
        <c:auto val="1"/>
        <c:lblAlgn val="ctr"/>
        <c:lblOffset val="100"/>
        <c:noMultiLvlLbl val="0"/>
      </c:catAx>
      <c:valAx>
        <c:axId val="137691136"/>
        <c:scaling>
          <c:orientation val="minMax"/>
        </c:scaling>
        <c:delete val="0"/>
        <c:axPos val="l"/>
        <c:majorGridlines/>
        <c:numFmt formatCode="General" sourceLinked="1"/>
        <c:majorTickMark val="out"/>
        <c:minorTickMark val="none"/>
        <c:tickLblPos val="nextTo"/>
        <c:txPr>
          <a:bodyPr/>
          <a:lstStyle/>
          <a:p>
            <a:pPr>
              <a:defRPr lang="en-US"/>
            </a:pPr>
            <a:endParaRPr lang="fr-FR"/>
          </a:p>
        </c:txPr>
        <c:crossAx val="137677056"/>
        <c:crosses val="autoZero"/>
        <c:crossBetween val="between"/>
      </c:valAx>
    </c:plotArea>
    <c:legend>
      <c:legendPos val="r"/>
      <c:overlay val="0"/>
      <c:txPr>
        <a:bodyPr/>
        <a:lstStyle/>
        <a:p>
          <a:pPr>
            <a:defRPr lang="en-US"/>
          </a:pPr>
          <a:endParaRPr lang="fr-FR"/>
        </a:p>
      </c:txPr>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136482939632753E-2"/>
          <c:y val="3.7037037037037056E-2"/>
          <c:w val="0.89019685039370133"/>
          <c:h val="0.73577136191309489"/>
        </c:manualLayout>
      </c:layout>
      <c:bar3DChart>
        <c:barDir val="col"/>
        <c:grouping val="clustered"/>
        <c:varyColors val="0"/>
        <c:ser>
          <c:idx val="0"/>
          <c:order val="0"/>
          <c:tx>
            <c:strRef>
              <c:f>ZONE2!$F$4</c:f>
              <c:strCache>
                <c:ptCount val="1"/>
                <c:pt idx="0">
                  <c:v>Rurale</c:v>
                </c:pt>
              </c:strCache>
            </c:strRef>
          </c:tx>
          <c:spPr>
            <a:solidFill>
              <a:schemeClr val="accent1"/>
            </a:solidFill>
            <a:ln>
              <a:noFill/>
            </a:ln>
            <a:effectLst/>
            <a:sp3d/>
          </c:spPr>
          <c:invertIfNegative val="0"/>
          <c:cat>
            <c:strRef>
              <c:f>ZONE2!$G$3:$H$3</c:f>
              <c:strCache>
                <c:ptCount val="2"/>
                <c:pt idx="0">
                  <c:v>utilisateurs</c:v>
                </c:pt>
                <c:pt idx="1">
                  <c:v>non utilisateurs</c:v>
                </c:pt>
              </c:strCache>
            </c:strRef>
          </c:cat>
          <c:val>
            <c:numRef>
              <c:f>ZONE2!$G$4:$H$4</c:f>
              <c:numCache>
                <c:formatCode>General</c:formatCode>
                <c:ptCount val="2"/>
                <c:pt idx="0">
                  <c:v>7</c:v>
                </c:pt>
                <c:pt idx="1">
                  <c:v>4</c:v>
                </c:pt>
              </c:numCache>
            </c:numRef>
          </c:val>
          <c:extLst>
            <c:ext xmlns:c16="http://schemas.microsoft.com/office/drawing/2014/chart" uri="{C3380CC4-5D6E-409C-BE32-E72D297353CC}">
              <c16:uniqueId val="{00000000-935A-44A3-9724-75F6C665F7DB}"/>
            </c:ext>
          </c:extLst>
        </c:ser>
        <c:ser>
          <c:idx val="1"/>
          <c:order val="1"/>
          <c:tx>
            <c:strRef>
              <c:f>ZONE2!$F$5</c:f>
              <c:strCache>
                <c:ptCount val="1"/>
                <c:pt idx="0">
                  <c:v>Urbaine</c:v>
                </c:pt>
              </c:strCache>
            </c:strRef>
          </c:tx>
          <c:spPr>
            <a:solidFill>
              <a:schemeClr val="accent2"/>
            </a:solidFill>
            <a:ln>
              <a:noFill/>
            </a:ln>
            <a:effectLst/>
            <a:sp3d/>
          </c:spPr>
          <c:invertIfNegative val="0"/>
          <c:cat>
            <c:strRef>
              <c:f>ZONE2!$G$3:$H$3</c:f>
              <c:strCache>
                <c:ptCount val="2"/>
                <c:pt idx="0">
                  <c:v>utilisateurs</c:v>
                </c:pt>
                <c:pt idx="1">
                  <c:v>non utilisateurs</c:v>
                </c:pt>
              </c:strCache>
            </c:strRef>
          </c:cat>
          <c:val>
            <c:numRef>
              <c:f>ZONE2!$G$5:$H$5</c:f>
              <c:numCache>
                <c:formatCode>General</c:formatCode>
                <c:ptCount val="2"/>
                <c:pt idx="0">
                  <c:v>151</c:v>
                </c:pt>
                <c:pt idx="1">
                  <c:v>89</c:v>
                </c:pt>
              </c:numCache>
            </c:numRef>
          </c:val>
          <c:extLst>
            <c:ext xmlns:c16="http://schemas.microsoft.com/office/drawing/2014/chart" uri="{C3380CC4-5D6E-409C-BE32-E72D297353CC}">
              <c16:uniqueId val="{00000001-935A-44A3-9724-75F6C665F7DB}"/>
            </c:ext>
          </c:extLst>
        </c:ser>
        <c:dLbls>
          <c:showLegendKey val="0"/>
          <c:showVal val="0"/>
          <c:showCatName val="0"/>
          <c:showSerName val="0"/>
          <c:showPercent val="0"/>
          <c:showBubbleSize val="0"/>
        </c:dLbls>
        <c:gapWidth val="150"/>
        <c:shape val="box"/>
        <c:axId val="137830784"/>
        <c:axId val="137832320"/>
        <c:axId val="0"/>
      </c:bar3DChart>
      <c:catAx>
        <c:axId val="1378307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37832320"/>
        <c:crosses val="autoZero"/>
        <c:auto val="1"/>
        <c:lblAlgn val="ctr"/>
        <c:lblOffset val="100"/>
        <c:noMultiLvlLbl val="0"/>
      </c:catAx>
      <c:valAx>
        <c:axId val="137832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13783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Reversed" id="25">
  <a:schemeClr val="accent5"/>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Reversed" id="23">
  <a:schemeClr val="accent3"/>
</cs:colorStyle>
</file>

<file path=word/charts/colors9.xml><?xml version="1.0" encoding="utf-8"?>
<cs:colorStyle xmlns:cs="http://schemas.microsoft.com/office/drawing/2012/chartStyle" xmlns:a="http://schemas.openxmlformats.org/drawingml/2006/main" meth="withinLinearReversed" id="23">
  <a:schemeClr val="accent3"/>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E30C4-5C10-48FF-BB0B-31FF6CC4C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187</Pages>
  <Words>89861</Words>
  <Characters>494236</Characters>
  <Application>Microsoft Office Word</Application>
  <DocSecurity>0</DocSecurity>
  <Lines>4118</Lines>
  <Paragraphs>1165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582932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6</cp:revision>
  <cp:lastPrinted>2026-05-14T02:47:00Z</cp:lastPrinted>
  <dcterms:created xsi:type="dcterms:W3CDTF">2026-05-14T03:00:00Z</dcterms:created>
  <dcterms:modified xsi:type="dcterms:W3CDTF">2026-07-14T23:51:00Z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id="6VBx8p83"/&gt;&lt;style id="http://www.zotero.org/styles/nlm-citation-sequence" locale="fr-FR" hasBibliography="1" bibliographyStyleHasBeenSet="1"/&gt;&lt;prefs&gt;&lt;pref name="fieldType" value="Field"/&gt;&lt;/prefs&gt;&lt;</vt:lpwstr>
  </property>
  <property fmtid="{D5CDD505-2E9C-101B-9397-08002B2CF9AE}" pid="3" name="ZOTERO_PREF_2">
    <vt:lpwstr>/data&gt;</vt:lpwstr>
  </property>
</Properties>
</file>