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8EF" w:rsidRPr="000231CD" w:rsidRDefault="002878EF" w:rsidP="000231CD">
      <w:pPr>
        <w:bidi/>
        <w:spacing w:after="0"/>
        <w:jc w:val="both"/>
        <w:rPr>
          <w:rFonts w:ascii="Simplified Arabic" w:hAnsi="Simplified Arabic" w:cs="Simplified Arabic"/>
          <w:sz w:val="32"/>
          <w:szCs w:val="32"/>
          <w:rtl/>
        </w:rPr>
      </w:pPr>
      <w:r w:rsidRPr="002878EF">
        <w:rPr>
          <w:rFonts w:ascii="Simplified Arabic" w:hAnsi="Simplified Arabic" w:cs="Simplified Arabic"/>
        </w:rPr>
        <w:t xml:space="preserve"> </w:t>
      </w:r>
      <w:r w:rsidR="00D904C6">
        <w:rPr>
          <w:rFonts w:ascii="Simplified Arabic" w:hAnsi="Simplified Arabic" w:cs="Simplified Arabic" w:hint="cs"/>
          <w:rtl/>
        </w:rPr>
        <w:t xml:space="preserve">   </w:t>
      </w:r>
      <w:r w:rsidR="000231CD">
        <w:rPr>
          <w:rFonts w:ascii="Simplified Arabic" w:hAnsi="Simplified Arabic" w:cs="Simplified Arabic" w:hint="cs"/>
          <w:sz w:val="32"/>
          <w:szCs w:val="32"/>
          <w:rtl/>
        </w:rPr>
        <w:t>إ</w:t>
      </w:r>
      <w:r w:rsidRPr="000231CD">
        <w:rPr>
          <w:rFonts w:ascii="Simplified Arabic" w:hAnsi="Simplified Arabic" w:cs="Simplified Arabic"/>
          <w:sz w:val="32"/>
          <w:szCs w:val="32"/>
          <w:rtl/>
        </w:rPr>
        <w:t>ن موضوع ال</w:t>
      </w:r>
      <w:r w:rsidR="000231CD">
        <w:rPr>
          <w:rFonts w:ascii="Simplified Arabic" w:hAnsi="Simplified Arabic" w:cs="Simplified Arabic" w:hint="cs"/>
          <w:sz w:val="32"/>
          <w:szCs w:val="32"/>
          <w:rtl/>
        </w:rPr>
        <w:t>إ</w:t>
      </w:r>
      <w:r w:rsidRPr="000231CD">
        <w:rPr>
          <w:rFonts w:ascii="Simplified Arabic" w:hAnsi="Simplified Arabic" w:cs="Simplified Arabic"/>
          <w:sz w:val="32"/>
          <w:szCs w:val="32"/>
          <w:rtl/>
        </w:rPr>
        <w:t>لتزام من اهم المواضيع التي تطرق لها الفقهاء  عبر الازمان وكذا القوانين المعاصرة . ذلك انه يستند بوجه عام الى عنصرين اساسين هما الاشخاص  والمحل الامر الذي اثار جدلا وخلافا في الفقه</w:t>
      </w:r>
      <w:r w:rsidRPr="000231CD">
        <w:rPr>
          <w:rFonts w:ascii="Simplified Arabic" w:hAnsi="Simplified Arabic" w:cs="Simplified Arabic"/>
          <w:sz w:val="32"/>
          <w:szCs w:val="32"/>
        </w:rPr>
        <w:t>.</w:t>
      </w:r>
    </w:p>
    <w:p w:rsidR="002878EF" w:rsidRPr="000231CD" w:rsidRDefault="002878EF" w:rsidP="000231CD">
      <w:pPr>
        <w:bidi/>
        <w:spacing w:after="0"/>
        <w:jc w:val="both"/>
        <w:rPr>
          <w:rFonts w:ascii="Simplified Arabic" w:hAnsi="Simplified Arabic" w:cs="Simplified Arabic"/>
          <w:sz w:val="32"/>
          <w:szCs w:val="32"/>
          <w:rtl/>
        </w:rPr>
      </w:pPr>
      <w:r w:rsidRPr="000231CD">
        <w:rPr>
          <w:rFonts w:ascii="Simplified Arabic" w:hAnsi="Simplified Arabic" w:cs="Simplified Arabic"/>
          <w:sz w:val="32"/>
          <w:szCs w:val="32"/>
        </w:rPr>
        <w:t xml:space="preserve"> </w:t>
      </w:r>
      <w:r w:rsidR="002C63B2">
        <w:rPr>
          <w:rFonts w:ascii="Simplified Arabic" w:hAnsi="Simplified Arabic" w:cs="Simplified Arabic" w:hint="cs"/>
          <w:sz w:val="32"/>
          <w:szCs w:val="32"/>
          <w:rtl/>
        </w:rPr>
        <w:t xml:space="preserve"> </w:t>
      </w:r>
      <w:r w:rsidRPr="000231CD">
        <w:rPr>
          <w:rFonts w:ascii="Simplified Arabic" w:hAnsi="Simplified Arabic" w:cs="Simplified Arabic"/>
          <w:sz w:val="32"/>
          <w:szCs w:val="32"/>
          <w:rtl/>
        </w:rPr>
        <w:t>ولما كان موضوع البحث يتطرق الى انتقال الالتزام في القانون المدني الجزائري الذي هو من اهم واصعب المواضيع ذلك انه يهدف الى تحديد تحول الحق يبن الدائنين والمدينين فالأولى تعني حوالة الحق والثانية تعني حوالة الدين دون نشوء دين جديد عن ذلك</w:t>
      </w:r>
      <w:r w:rsidRPr="000231CD">
        <w:rPr>
          <w:rFonts w:ascii="Simplified Arabic" w:hAnsi="Simplified Arabic" w:cs="Simplified Arabic"/>
          <w:sz w:val="32"/>
          <w:szCs w:val="32"/>
        </w:rPr>
        <w:t>.</w:t>
      </w:r>
    </w:p>
    <w:p w:rsidR="002C63B2" w:rsidRDefault="002C63B2" w:rsidP="002C63B2">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878EF" w:rsidRPr="000231CD">
        <w:rPr>
          <w:rFonts w:ascii="Simplified Arabic" w:hAnsi="Simplified Arabic" w:cs="Simplified Arabic"/>
          <w:sz w:val="32"/>
          <w:szCs w:val="32"/>
          <w:rtl/>
        </w:rPr>
        <w:t xml:space="preserve"> كان لزاما التعرض الى مفهوم الالتزام في تصور المذهب الشخصي الذي يجد صداه في النظم القانونية اللاتينية وعلى رأسها القانون الفرنسي ذات النزعة الشخصية في نظرته للالتزام ثم التعرض الى الاثار القانونية المترتبة عن هذا التصور، ومن ثم مفهوم الالتزام في المذهب الموضوعي، حيث يعتبر القانون الالماني مهد النظرية الموضوعية في القانون الوضعي، ويترتب عن هذا المفهوم اثارا قانونية تختلف عن تلك المترتبة عن ا</w:t>
      </w:r>
      <w:r>
        <w:rPr>
          <w:rFonts w:ascii="Simplified Arabic" w:hAnsi="Simplified Arabic" w:cs="Simplified Arabic"/>
          <w:sz w:val="32"/>
          <w:szCs w:val="32"/>
          <w:rtl/>
        </w:rPr>
        <w:t>لمذهب الشخصي في مفهومه للالتزام</w:t>
      </w:r>
      <w:r>
        <w:rPr>
          <w:rFonts w:ascii="Simplified Arabic" w:hAnsi="Simplified Arabic" w:cs="Simplified Arabic" w:hint="cs"/>
          <w:sz w:val="32"/>
          <w:szCs w:val="32"/>
          <w:rtl/>
        </w:rPr>
        <w:t xml:space="preserve">. </w:t>
      </w:r>
    </w:p>
    <w:p w:rsidR="00DD61C3" w:rsidRPr="00DD61C3" w:rsidRDefault="00DD61C3" w:rsidP="00DD61C3">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اهمية الموضوع:</w:t>
      </w:r>
    </w:p>
    <w:p w:rsidR="002C63B2" w:rsidRDefault="00DD61C3" w:rsidP="002C63B2">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C63B2">
        <w:rPr>
          <w:rFonts w:ascii="Simplified Arabic" w:hAnsi="Simplified Arabic" w:cs="Simplified Arabic" w:hint="cs"/>
          <w:sz w:val="32"/>
          <w:szCs w:val="32"/>
          <w:rtl/>
        </w:rPr>
        <w:t xml:space="preserve"> باعتبار موضوع درستنا هو انتقال الالتزام في القانون المدني الجزائري الذي هو تحويل الرابطة القانونية التي تربط بين الدائن والمدين لأشخاص اخرين، تتجلى اهمية الموضوع في ان الانتقال هو حوالة فاذا انتقل او تحول من دائن الى دائن اخر سمي بحوالة الحق اما اذا تم تحويله من مدين الى مدين اخر سمي بحوالة الدين.</w:t>
      </w:r>
    </w:p>
    <w:p w:rsidR="002C63B2" w:rsidRDefault="00DD61C3" w:rsidP="002C63B2">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الاهداف المتوخاة من الدراسة</w:t>
      </w:r>
      <w:r w:rsidR="00CA4ECE">
        <w:rPr>
          <w:rFonts w:ascii="Simplified Arabic" w:hAnsi="Simplified Arabic" w:cs="Simplified Arabic" w:hint="cs"/>
          <w:b/>
          <w:bCs/>
          <w:sz w:val="32"/>
          <w:szCs w:val="32"/>
          <w:rtl/>
        </w:rPr>
        <w:t xml:space="preserve">: </w:t>
      </w:r>
    </w:p>
    <w:p w:rsidR="00DD61C3" w:rsidRDefault="004644EA" w:rsidP="00DD61C3">
      <w:pPr>
        <w:bidi/>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ـ</w:t>
      </w:r>
      <w:r w:rsidR="00DD61C3">
        <w:rPr>
          <w:rFonts w:ascii="Simplified Arabic" w:hAnsi="Simplified Arabic" w:cs="Simplified Arabic" w:hint="cs"/>
          <w:b/>
          <w:bCs/>
          <w:sz w:val="32"/>
          <w:szCs w:val="32"/>
          <w:rtl/>
        </w:rPr>
        <w:t xml:space="preserve"> </w:t>
      </w:r>
      <w:r w:rsidR="00EE72AC">
        <w:rPr>
          <w:rFonts w:ascii="Simplified Arabic" w:hAnsi="Simplified Arabic" w:cs="Simplified Arabic" w:hint="cs"/>
          <w:sz w:val="32"/>
          <w:szCs w:val="32"/>
          <w:rtl/>
        </w:rPr>
        <w:t>بيان مفهوم انتقال الالتزام</w:t>
      </w:r>
      <w:r w:rsidR="00851EFF">
        <w:rPr>
          <w:rFonts w:ascii="Simplified Arabic" w:hAnsi="Simplified Arabic" w:cs="Simplified Arabic" w:hint="cs"/>
          <w:sz w:val="32"/>
          <w:szCs w:val="32"/>
          <w:rtl/>
        </w:rPr>
        <w:t xml:space="preserve"> عند المذاهب الفقهية</w:t>
      </w:r>
    </w:p>
    <w:p w:rsidR="00851EFF" w:rsidRDefault="00851EFF" w:rsidP="00851EFF">
      <w:pPr>
        <w:bidi/>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ـ</w:t>
      </w:r>
      <w:r w:rsidR="00EE72AC">
        <w:rPr>
          <w:rFonts w:ascii="Simplified Arabic" w:hAnsi="Simplified Arabic" w:cs="Simplified Arabic" w:hint="cs"/>
          <w:sz w:val="32"/>
          <w:szCs w:val="32"/>
          <w:rtl/>
        </w:rPr>
        <w:t xml:space="preserve"> </w:t>
      </w:r>
    </w:p>
    <w:p w:rsidR="00241F24" w:rsidRDefault="00241F24" w:rsidP="00851EFF">
      <w:pPr>
        <w:bidi/>
        <w:spacing w:after="0"/>
        <w:jc w:val="both"/>
        <w:rPr>
          <w:rFonts w:ascii="Simplified Arabic" w:hAnsi="Simplified Arabic" w:cs="Simplified Arabic"/>
          <w:b/>
          <w:bCs/>
          <w:sz w:val="32"/>
          <w:szCs w:val="32"/>
          <w:rtl/>
        </w:rPr>
      </w:pPr>
    </w:p>
    <w:p w:rsidR="00241F24" w:rsidRDefault="00241F24" w:rsidP="00241F24">
      <w:pPr>
        <w:bidi/>
        <w:spacing w:after="0"/>
        <w:jc w:val="both"/>
        <w:rPr>
          <w:rFonts w:ascii="Simplified Arabic" w:hAnsi="Simplified Arabic" w:cs="Simplified Arabic"/>
          <w:b/>
          <w:bCs/>
          <w:sz w:val="32"/>
          <w:szCs w:val="32"/>
          <w:rtl/>
        </w:rPr>
      </w:pPr>
    </w:p>
    <w:p w:rsidR="00241F24" w:rsidRDefault="00241F24" w:rsidP="00241F24">
      <w:pPr>
        <w:bidi/>
        <w:spacing w:after="0"/>
        <w:jc w:val="both"/>
        <w:rPr>
          <w:rFonts w:ascii="Simplified Arabic" w:hAnsi="Simplified Arabic" w:cs="Simplified Arabic"/>
          <w:b/>
          <w:bCs/>
          <w:sz w:val="32"/>
          <w:szCs w:val="32"/>
          <w:rtl/>
        </w:rPr>
      </w:pPr>
    </w:p>
    <w:p w:rsidR="00CA4ECE" w:rsidRDefault="00CA4ECE" w:rsidP="00241F24">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اسباب اختيار الموضوع:</w:t>
      </w:r>
    </w:p>
    <w:p w:rsidR="00CA4ECE" w:rsidRDefault="00CA4ECE" w:rsidP="00CA4ECE">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تعود اسباب اختيار هذا الموضوع أي انتقال الالتزام( حوالة الحق و حوالة الدين) اولا الى الرغبة الشخصية في دراسة هذا الموضوع وثانيا الى اهمية هذا الموضوع </w:t>
      </w:r>
      <w:r w:rsidR="00241F24">
        <w:rPr>
          <w:rFonts w:ascii="Simplified Arabic" w:hAnsi="Simplified Arabic" w:cs="Simplified Arabic" w:hint="cs"/>
          <w:sz w:val="32"/>
          <w:szCs w:val="32"/>
          <w:rtl/>
        </w:rPr>
        <w:t>في مجال القانون ذلك انه لم يتم التطرق اليه كثيرا او تفصيلا من جانب الفقهاء وكذا شرحه في القانون المدني الجزائري.</w:t>
      </w:r>
    </w:p>
    <w:p w:rsidR="00241F24" w:rsidRDefault="00241F24" w:rsidP="00241F24">
      <w:pPr>
        <w:bidi/>
        <w:spacing w:after="0"/>
        <w:jc w:val="both"/>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صعوبات</w:t>
      </w:r>
      <w:proofErr w:type="gramEnd"/>
      <w:r>
        <w:rPr>
          <w:rFonts w:ascii="Simplified Arabic" w:hAnsi="Simplified Arabic" w:cs="Simplified Arabic" w:hint="cs"/>
          <w:b/>
          <w:bCs/>
          <w:sz w:val="32"/>
          <w:szCs w:val="32"/>
          <w:rtl/>
        </w:rPr>
        <w:t xml:space="preserve"> الدراسة:</w:t>
      </w:r>
    </w:p>
    <w:p w:rsidR="00241F24" w:rsidRDefault="00FC49E6" w:rsidP="00241F24">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تتمثل </w:t>
      </w:r>
      <w:r w:rsidR="00F0385B">
        <w:rPr>
          <w:rFonts w:ascii="Simplified Arabic" w:hAnsi="Simplified Arabic" w:cs="Simplified Arabic" w:hint="cs"/>
          <w:sz w:val="32"/>
          <w:szCs w:val="32"/>
          <w:rtl/>
        </w:rPr>
        <w:t>الصعوبات التي واجهتنا في هذا الموضوع ان هذا الموضوع من اصعب مواضيع القانون وكذا عدم وجود مراجع تتناول انتقال الالتزام عند الفقهاء وخاصة في المذهبين الشخصي و الموضوعي مما يسهل على الباحث التعمق في دراسة المذهبين في مجال الالتزامات.</w:t>
      </w:r>
    </w:p>
    <w:p w:rsidR="00F0385B" w:rsidRDefault="00113E82" w:rsidP="00F0385B">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وكذا قلة المراجع التي تتناول اغراض الحوال في المذهبين الشخصي والموضوعي.</w:t>
      </w:r>
    </w:p>
    <w:p w:rsidR="00113E82" w:rsidRDefault="00113E82" w:rsidP="00113E82">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اشكالية الدراسة:</w:t>
      </w:r>
    </w:p>
    <w:p w:rsidR="00BD2AB2" w:rsidRPr="00BD2AB2" w:rsidRDefault="00113E82" w:rsidP="0033476F">
      <w:pPr>
        <w:bidi/>
        <w:spacing w:after="0"/>
        <w:jc w:val="both"/>
        <w:rPr>
          <w:rFonts w:ascii="Simplified Arabic" w:hAnsi="Simplified Arabic" w:cs="Simplified Arabic"/>
          <w:sz w:val="32"/>
          <w:szCs w:val="32"/>
          <w:rtl/>
        </w:rPr>
      </w:pPr>
      <w:r w:rsidRPr="00113E82">
        <w:rPr>
          <w:rFonts w:ascii="Simplified Arabic" w:hAnsi="Simplified Arabic" w:cs="Simplified Arabic" w:hint="cs"/>
          <w:sz w:val="32"/>
          <w:szCs w:val="32"/>
          <w:rtl/>
        </w:rPr>
        <w:t xml:space="preserve">انتقال الالتزام </w:t>
      </w:r>
      <w:r>
        <w:rPr>
          <w:rFonts w:ascii="Simplified Arabic" w:hAnsi="Simplified Arabic" w:cs="Simplified Arabic" w:hint="cs"/>
          <w:sz w:val="32"/>
          <w:szCs w:val="32"/>
          <w:rtl/>
        </w:rPr>
        <w:t xml:space="preserve">من اهم وابرز المواضيع </w:t>
      </w:r>
      <w:r w:rsidR="00BD2AB2">
        <w:rPr>
          <w:rFonts w:ascii="Simplified Arabic" w:hAnsi="Simplified Arabic" w:cs="Simplified Arabic" w:hint="cs"/>
          <w:sz w:val="32"/>
          <w:szCs w:val="32"/>
          <w:rtl/>
        </w:rPr>
        <w:t xml:space="preserve">في القانون المدني الجزائري، وعلى هذا فان التساؤل المثار في هذا الموضوع هو: </w:t>
      </w:r>
    </w:p>
    <w:p w:rsidR="00BD2AB2" w:rsidRPr="00BD2AB2" w:rsidRDefault="00BD2AB2" w:rsidP="00BD2AB2">
      <w:pPr>
        <w:bidi/>
        <w:spacing w:after="0"/>
        <w:contextualSpacing/>
        <w:jc w:val="both"/>
        <w:rPr>
          <w:rFonts w:ascii="Simplified Arabic" w:eastAsia="Calibri" w:hAnsi="Simplified Arabic" w:cs="Simplified Arabic"/>
          <w:b/>
          <w:bCs/>
          <w:sz w:val="32"/>
          <w:szCs w:val="32"/>
          <w:lang w:bidi="ar-DZ"/>
        </w:rPr>
      </w:pPr>
      <w:proofErr w:type="gramStart"/>
      <w:r>
        <w:rPr>
          <w:rFonts w:ascii="Simplified Arabic" w:eastAsia="Calibri" w:hAnsi="Simplified Arabic" w:cs="Simplified Arabic" w:hint="cs"/>
          <w:b/>
          <w:bCs/>
          <w:sz w:val="32"/>
          <w:szCs w:val="32"/>
          <w:rtl/>
          <w:lang w:bidi="ar-DZ"/>
        </w:rPr>
        <w:t>المنهج</w:t>
      </w:r>
      <w:proofErr w:type="gramEnd"/>
      <w:r>
        <w:rPr>
          <w:rFonts w:ascii="Simplified Arabic" w:eastAsia="Calibri" w:hAnsi="Simplified Arabic" w:cs="Simplified Arabic" w:hint="cs"/>
          <w:b/>
          <w:bCs/>
          <w:sz w:val="32"/>
          <w:szCs w:val="32"/>
          <w:rtl/>
          <w:lang w:bidi="ar-DZ"/>
        </w:rPr>
        <w:t xml:space="preserve"> المتبع:</w:t>
      </w:r>
    </w:p>
    <w:p w:rsidR="000231CD" w:rsidRDefault="00BD2AB2" w:rsidP="000231CD">
      <w:pPr>
        <w:bidi/>
        <w:spacing w:after="0"/>
        <w:contextualSpacing/>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sidR="000231CD" w:rsidRPr="000231CD">
        <w:rPr>
          <w:rFonts w:ascii="Simplified Arabic" w:eastAsia="Calibri" w:hAnsi="Simplified Arabic" w:cs="Simplified Arabic" w:hint="cs"/>
          <w:sz w:val="32"/>
          <w:szCs w:val="32"/>
          <w:rtl/>
          <w:lang w:bidi="ar-DZ"/>
        </w:rPr>
        <w:t>تطلبت منا دراسة هذا الموضوع المنهج الوصفي لتبيان مفهوم إنتقال الإلتزام ، والمنهج التحليلي في تحليل النصوص القانونية المتعلقة بموضوع إنتقال الإلتزام ضمن القانون المدني الجزائري ، بحيث تم تقسيم الدراسة إلى فصلين : الفصل الأول تطرقنا إلى فكرة إنتقال الإلتزام حيث تناولنا مفهوم إنتقال الإلتزام بالنسبة للفقهاء وكذا أغراض الحوالة في المذهبين الشخصي والموضوعي ، أما في الفصل الثاني تناولنا أحكام الحوالة والتي تطرقنا فيها إلى احكام حوالة الحق واحكام حوالة الدين .</w:t>
      </w:r>
    </w:p>
    <w:p w:rsidR="0033476F" w:rsidRDefault="0033476F" w:rsidP="0033476F">
      <w:pPr>
        <w:bidi/>
        <w:spacing w:after="0"/>
        <w:contextualSpacing/>
        <w:jc w:val="both"/>
        <w:rPr>
          <w:rFonts w:ascii="Simplified Arabic" w:eastAsia="Calibri" w:hAnsi="Simplified Arabic" w:cs="Simplified Arabic"/>
          <w:sz w:val="32"/>
          <w:szCs w:val="32"/>
          <w:rtl/>
          <w:lang w:bidi="ar-DZ"/>
        </w:rPr>
      </w:pPr>
    </w:p>
    <w:p w:rsidR="0033476F" w:rsidRDefault="0033476F" w:rsidP="0033476F">
      <w:pPr>
        <w:bidi/>
        <w:spacing w:after="0"/>
        <w:contextualSpacing/>
        <w:jc w:val="both"/>
        <w:rPr>
          <w:rFonts w:ascii="Simplified Arabic" w:eastAsia="Calibri" w:hAnsi="Simplified Arabic" w:cs="Simplified Arabic"/>
          <w:sz w:val="32"/>
          <w:szCs w:val="32"/>
          <w:rtl/>
          <w:lang w:bidi="ar-DZ"/>
        </w:rPr>
      </w:pPr>
    </w:p>
    <w:p w:rsidR="00BD2AB2" w:rsidRDefault="00BD2AB2" w:rsidP="00BD2AB2">
      <w:pPr>
        <w:bidi/>
        <w:spacing w:after="0"/>
        <w:contextualSpacing/>
        <w:jc w:val="both"/>
        <w:rPr>
          <w:rFonts w:ascii="Simplified Arabic" w:eastAsia="Calibri" w:hAnsi="Simplified Arabic" w:cs="Simplified Arabic"/>
          <w:b/>
          <w:bCs/>
          <w:sz w:val="32"/>
          <w:szCs w:val="32"/>
          <w:rtl/>
          <w:lang w:bidi="ar-DZ"/>
        </w:rPr>
      </w:pPr>
      <w:proofErr w:type="gramStart"/>
      <w:r>
        <w:rPr>
          <w:rFonts w:ascii="Simplified Arabic" w:eastAsia="Calibri" w:hAnsi="Simplified Arabic" w:cs="Simplified Arabic" w:hint="cs"/>
          <w:b/>
          <w:bCs/>
          <w:sz w:val="32"/>
          <w:szCs w:val="32"/>
          <w:rtl/>
          <w:lang w:bidi="ar-DZ"/>
        </w:rPr>
        <w:lastRenderedPageBreak/>
        <w:t>الدراسات</w:t>
      </w:r>
      <w:proofErr w:type="gramEnd"/>
      <w:r>
        <w:rPr>
          <w:rFonts w:ascii="Simplified Arabic" w:eastAsia="Calibri" w:hAnsi="Simplified Arabic" w:cs="Simplified Arabic" w:hint="cs"/>
          <w:b/>
          <w:bCs/>
          <w:sz w:val="32"/>
          <w:szCs w:val="32"/>
          <w:rtl/>
          <w:lang w:bidi="ar-DZ"/>
        </w:rPr>
        <w:t xml:space="preserve"> السابقة:</w:t>
      </w:r>
    </w:p>
    <w:p w:rsidR="00BD2AB2" w:rsidRDefault="00BD2AB2" w:rsidP="00BD2AB2">
      <w:pPr>
        <w:bidi/>
        <w:spacing w:after="0"/>
        <w:contextualSpacing/>
        <w:jc w:val="both"/>
        <w:rPr>
          <w:rFonts w:ascii="Simplified Arabic" w:eastAsia="Calibri" w:hAnsi="Simplified Arabic" w:cs="Simplified Arabic"/>
          <w:sz w:val="32"/>
          <w:szCs w:val="32"/>
          <w:rtl/>
          <w:lang w:bidi="ar-DZ"/>
        </w:rPr>
      </w:pPr>
      <w:r>
        <w:rPr>
          <w:rFonts w:ascii="Simplified Arabic" w:eastAsia="Calibri" w:hAnsi="Simplified Arabic" w:cs="Simplified Arabic" w:hint="cs"/>
          <w:b/>
          <w:bCs/>
          <w:sz w:val="32"/>
          <w:szCs w:val="32"/>
          <w:rtl/>
          <w:lang w:bidi="ar-DZ"/>
        </w:rPr>
        <w:t xml:space="preserve">ــ </w:t>
      </w:r>
      <w:r>
        <w:rPr>
          <w:rFonts w:ascii="Simplified Arabic" w:eastAsia="Calibri" w:hAnsi="Simplified Arabic" w:cs="Simplified Arabic" w:hint="cs"/>
          <w:sz w:val="32"/>
          <w:szCs w:val="32"/>
          <w:rtl/>
          <w:lang w:bidi="ar-DZ"/>
        </w:rPr>
        <w:t>دراسة ل:</w:t>
      </w:r>
      <w:r w:rsidR="00DD14B7">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عزوز عبد الحميد، بعنوان مدى تأثر المشرع الجزائري بالمذهبين الشخصي والموضوعي في مجال الالتزامات</w:t>
      </w:r>
      <w:r w:rsidR="0084347D">
        <w:rPr>
          <w:rFonts w:ascii="Simplified Arabic" w:eastAsia="Calibri" w:hAnsi="Simplified Arabic" w:cs="Simplified Arabic" w:hint="cs"/>
          <w:sz w:val="32"/>
          <w:szCs w:val="32"/>
          <w:rtl/>
          <w:lang w:bidi="ar-DZ"/>
        </w:rPr>
        <w:t xml:space="preserve">، مذكرة ماجستير، قانون خاص، فرع عقود ومسؤولية، جامعة الجزائر كلية الحقوق ابن عكنون، والذي خص فيها المذهب الشخصي والموضوعي </w:t>
      </w:r>
      <w:r w:rsidR="00B041A6">
        <w:rPr>
          <w:rFonts w:ascii="Simplified Arabic" w:eastAsia="Calibri" w:hAnsi="Simplified Arabic" w:cs="Simplified Arabic" w:hint="cs"/>
          <w:sz w:val="32"/>
          <w:szCs w:val="32"/>
          <w:rtl/>
          <w:lang w:bidi="ar-DZ"/>
        </w:rPr>
        <w:t xml:space="preserve">في مجال الالتزامات </w:t>
      </w:r>
      <w:r w:rsidR="002B2A82">
        <w:rPr>
          <w:rFonts w:ascii="Simplified Arabic" w:eastAsia="Calibri" w:hAnsi="Simplified Arabic" w:cs="Simplified Arabic" w:hint="cs"/>
          <w:sz w:val="32"/>
          <w:szCs w:val="32"/>
          <w:rtl/>
          <w:lang w:bidi="ar-DZ"/>
        </w:rPr>
        <w:t>فتناول فيها:</w:t>
      </w:r>
      <w:r w:rsidR="00A748F1">
        <w:rPr>
          <w:rFonts w:ascii="Simplified Arabic" w:eastAsia="Calibri" w:hAnsi="Simplified Arabic" w:cs="Simplified Arabic" w:hint="cs"/>
          <w:sz w:val="32"/>
          <w:szCs w:val="32"/>
          <w:rtl/>
          <w:lang w:bidi="ar-DZ"/>
        </w:rPr>
        <w:t xml:space="preserve"> </w:t>
      </w:r>
      <w:r w:rsidR="00B041A6">
        <w:rPr>
          <w:rFonts w:ascii="Simplified Arabic" w:eastAsia="Calibri" w:hAnsi="Simplified Arabic" w:cs="Simplified Arabic" w:hint="cs"/>
          <w:sz w:val="32"/>
          <w:szCs w:val="32"/>
          <w:rtl/>
          <w:lang w:bidi="ar-DZ"/>
        </w:rPr>
        <w:t>مفهوم الالتزام في المذهب الشخصي، وكذلك تطبيقات المذهب الشخصي في القانون المدني الجزائري</w:t>
      </w:r>
      <w:r w:rsidR="00DD14B7">
        <w:rPr>
          <w:rFonts w:ascii="Simplified Arabic" w:eastAsia="Calibri" w:hAnsi="Simplified Arabic" w:cs="Simplified Arabic" w:hint="cs"/>
          <w:sz w:val="32"/>
          <w:szCs w:val="32"/>
          <w:rtl/>
          <w:lang w:bidi="ar-DZ"/>
        </w:rPr>
        <w:t>، وتطرق الى مفهوم الالتزام في المذهب الموضوعي وكذلك الى تطبيقات المذهب الموضوعي في القانون المدني الجزائري، واشار الى حوالة الحق وحوالة الدين بالنسبة لكل مذهب.</w:t>
      </w:r>
    </w:p>
    <w:p w:rsidR="007C794A" w:rsidRDefault="00FC5FCF" w:rsidP="007C794A">
      <w:pPr>
        <w:bidi/>
        <w:spacing w:after="0"/>
        <w:contextualSpacing/>
        <w:jc w:val="both"/>
        <w:rPr>
          <w:rFonts w:ascii="Simplified Arabic" w:hAnsi="Simplified Arabic" w:cs="Simplified Arabic"/>
          <w:sz w:val="28"/>
          <w:szCs w:val="28"/>
          <w:rtl/>
        </w:rPr>
      </w:pPr>
      <w:r>
        <w:rPr>
          <w:rFonts w:ascii="Simplified Arabic" w:eastAsia="Calibri" w:hAnsi="Simplified Arabic" w:cs="Simplified Arabic" w:hint="cs"/>
          <w:b/>
          <w:bCs/>
          <w:sz w:val="32"/>
          <w:szCs w:val="32"/>
          <w:rtl/>
          <w:lang w:bidi="ar-DZ"/>
        </w:rPr>
        <w:t xml:space="preserve">ــ  </w:t>
      </w:r>
      <w:r>
        <w:rPr>
          <w:rFonts w:ascii="Simplified Arabic" w:eastAsia="Calibri" w:hAnsi="Simplified Arabic" w:cs="Simplified Arabic" w:hint="cs"/>
          <w:sz w:val="32"/>
          <w:szCs w:val="32"/>
          <w:rtl/>
          <w:lang w:bidi="ar-DZ"/>
        </w:rPr>
        <w:t xml:space="preserve">دراسة ل: </w:t>
      </w:r>
      <w:r>
        <w:rPr>
          <w:rFonts w:ascii="Simplified Arabic" w:hAnsi="Simplified Arabic" w:cs="Simplified Arabic"/>
          <w:sz w:val="28"/>
          <w:szCs w:val="28"/>
          <w:rtl/>
        </w:rPr>
        <w:t>جواني هاجر</w:t>
      </w:r>
      <w:r>
        <w:rPr>
          <w:rFonts w:ascii="Simplified Arabic" w:hAnsi="Simplified Arabic" w:cs="Simplified Arabic" w:hint="cs"/>
          <w:sz w:val="28"/>
          <w:szCs w:val="28"/>
          <w:rtl/>
        </w:rPr>
        <w:t xml:space="preserve">، بعنوان </w:t>
      </w:r>
      <w:r>
        <w:rPr>
          <w:rFonts w:ascii="Simplified Arabic" w:hAnsi="Simplified Arabic" w:cs="Simplified Arabic"/>
          <w:sz w:val="28"/>
          <w:szCs w:val="28"/>
          <w:rtl/>
        </w:rPr>
        <w:t>حوالة الحق في القانون المدني</w:t>
      </w:r>
      <w:r>
        <w:rPr>
          <w:rFonts w:ascii="Simplified Arabic" w:hAnsi="Simplified Arabic" w:cs="Simplified Arabic" w:hint="cs"/>
          <w:sz w:val="28"/>
          <w:szCs w:val="28"/>
          <w:rtl/>
        </w:rPr>
        <w:t xml:space="preserve">، </w:t>
      </w:r>
      <w:r w:rsidRPr="00DF3678">
        <w:rPr>
          <w:rFonts w:ascii="Simplified Arabic" w:hAnsi="Simplified Arabic" w:cs="Simplified Arabic"/>
          <w:sz w:val="28"/>
          <w:szCs w:val="28"/>
          <w:rtl/>
        </w:rPr>
        <w:t>مذكرة مكملة لنيل شهادة الماستر في الحقوق تخصص قانون اعمال جامعة العربي ب</w:t>
      </w:r>
      <w:r>
        <w:rPr>
          <w:rFonts w:ascii="Simplified Arabic" w:hAnsi="Simplified Arabic" w:cs="Simplified Arabic"/>
          <w:sz w:val="28"/>
          <w:szCs w:val="28"/>
          <w:rtl/>
        </w:rPr>
        <w:t>ن مهيدي ام البوا</w:t>
      </w:r>
      <w:r>
        <w:rPr>
          <w:rFonts w:ascii="Simplified Arabic" w:hAnsi="Simplified Arabic" w:cs="Simplified Arabic" w:hint="cs"/>
          <w:sz w:val="28"/>
          <w:szCs w:val="28"/>
          <w:rtl/>
        </w:rPr>
        <w:t>قي</w:t>
      </w:r>
      <w:r w:rsidR="001270C9">
        <w:rPr>
          <w:rFonts w:ascii="Simplified Arabic" w:hAnsi="Simplified Arabic" w:cs="Simplified Arabic" w:hint="cs"/>
          <w:sz w:val="28"/>
          <w:szCs w:val="28"/>
          <w:rtl/>
        </w:rPr>
        <w:t xml:space="preserve">، الذي خصت فيه حوالة الحق، فتناولت: ماهية عقد حوالة الحق، وتطرقت الى مفهوم عقد الحوالة وشروط حوالة الحق، </w:t>
      </w:r>
      <w:r w:rsidR="00FE131E">
        <w:rPr>
          <w:rFonts w:ascii="Simplified Arabic" w:hAnsi="Simplified Arabic" w:cs="Simplified Arabic" w:hint="cs"/>
          <w:sz w:val="28"/>
          <w:szCs w:val="28"/>
          <w:rtl/>
        </w:rPr>
        <w:t xml:space="preserve">والى اثار حوالة الحق، فتناولت فيه علاقة المحال له </w:t>
      </w:r>
      <w:proofErr w:type="spellStart"/>
      <w:r w:rsidR="00FE131E">
        <w:rPr>
          <w:rFonts w:ascii="Simplified Arabic" w:hAnsi="Simplified Arabic" w:cs="Simplified Arabic" w:hint="cs"/>
          <w:sz w:val="28"/>
          <w:szCs w:val="28"/>
          <w:rtl/>
        </w:rPr>
        <w:t>بالمحيل</w:t>
      </w:r>
      <w:proofErr w:type="spellEnd"/>
      <w:r w:rsidR="00FE131E">
        <w:rPr>
          <w:rFonts w:ascii="Simplified Arabic" w:hAnsi="Simplified Arabic" w:cs="Simplified Arabic" w:hint="cs"/>
          <w:sz w:val="28"/>
          <w:szCs w:val="28"/>
          <w:rtl/>
        </w:rPr>
        <w:t xml:space="preserve"> وعلاقة المحال له بالمحال عليه والى علاقة </w:t>
      </w:r>
      <w:proofErr w:type="spellStart"/>
      <w:r w:rsidR="00FE131E">
        <w:rPr>
          <w:rFonts w:ascii="Simplified Arabic" w:hAnsi="Simplified Arabic" w:cs="Simplified Arabic" w:hint="cs"/>
          <w:sz w:val="28"/>
          <w:szCs w:val="28"/>
          <w:rtl/>
        </w:rPr>
        <w:t>المحيل</w:t>
      </w:r>
      <w:proofErr w:type="spellEnd"/>
      <w:r w:rsidR="00FE131E">
        <w:rPr>
          <w:rFonts w:ascii="Simplified Arabic" w:hAnsi="Simplified Arabic" w:cs="Simplified Arabic" w:hint="cs"/>
          <w:sz w:val="28"/>
          <w:szCs w:val="28"/>
          <w:rtl/>
        </w:rPr>
        <w:t xml:space="preserve"> بالمحال عليه وعلاقة المحال له بالغير.</w:t>
      </w:r>
    </w:p>
    <w:p w:rsidR="008330FD" w:rsidRPr="00995008" w:rsidRDefault="008330FD" w:rsidP="00995008">
      <w:pPr>
        <w:bidi/>
        <w:jc w:val="both"/>
        <w:rPr>
          <w:rFonts w:ascii="Simplified Arabic" w:eastAsia="Calibri" w:hAnsi="Simplified Arabic" w:cs="Simplified Arabic"/>
          <w:sz w:val="28"/>
          <w:szCs w:val="28"/>
          <w:rtl/>
        </w:rPr>
      </w:pPr>
      <w:r w:rsidRPr="008330FD">
        <w:rPr>
          <w:rFonts w:ascii="Simplified Arabic" w:hAnsi="Simplified Arabic" w:cs="Simplified Arabic" w:hint="cs"/>
          <w:b/>
          <w:bCs/>
          <w:sz w:val="28"/>
          <w:szCs w:val="28"/>
          <w:rtl/>
        </w:rPr>
        <w:t xml:space="preserve">ــ </w:t>
      </w:r>
      <w:r w:rsidRPr="008330FD">
        <w:rPr>
          <w:rFonts w:ascii="Simplified Arabic" w:hAnsi="Simplified Arabic" w:cs="Simplified Arabic" w:hint="cs"/>
          <w:sz w:val="28"/>
          <w:szCs w:val="28"/>
          <w:rtl/>
        </w:rPr>
        <w:t xml:space="preserve">دراسة ل: </w:t>
      </w:r>
      <w:r w:rsidRPr="008330FD">
        <w:rPr>
          <w:rFonts w:ascii="Simplified Arabic" w:eastAsia="Calibri" w:hAnsi="Simplified Arabic" w:cs="Simplified Arabic"/>
          <w:sz w:val="28"/>
          <w:szCs w:val="28"/>
          <w:rtl/>
        </w:rPr>
        <w:t xml:space="preserve">يوسف </w:t>
      </w:r>
      <w:proofErr w:type="spellStart"/>
      <w:r w:rsidRPr="008330FD">
        <w:rPr>
          <w:rFonts w:ascii="Simplified Arabic" w:eastAsia="Calibri" w:hAnsi="Simplified Arabic" w:cs="Simplified Arabic"/>
          <w:sz w:val="28"/>
          <w:szCs w:val="28"/>
          <w:rtl/>
        </w:rPr>
        <w:t>بوشاشي</w:t>
      </w:r>
      <w:proofErr w:type="spellEnd"/>
      <w:r w:rsidRPr="008330FD">
        <w:rPr>
          <w:rFonts w:ascii="Simplified Arabic" w:eastAsia="Calibri" w:hAnsi="Simplified Arabic" w:cs="Simplified Arabic"/>
          <w:sz w:val="28"/>
          <w:szCs w:val="28"/>
          <w:rtl/>
        </w:rPr>
        <w:t>، حوالة الحق في القانون ال</w:t>
      </w:r>
      <w:r w:rsidR="00995008">
        <w:rPr>
          <w:rFonts w:ascii="Simplified Arabic" w:eastAsia="Calibri" w:hAnsi="Simplified Arabic" w:cs="Simplified Arabic"/>
          <w:sz w:val="28"/>
          <w:szCs w:val="28"/>
          <w:rtl/>
        </w:rPr>
        <w:t xml:space="preserve">مدني الجزائري ـ رسالة ماجستير </w:t>
      </w:r>
      <w:r w:rsidR="00995008">
        <w:rPr>
          <w:rFonts w:ascii="Simplified Arabic" w:eastAsia="Calibri" w:hAnsi="Simplified Arabic" w:cs="Simplified Arabic" w:hint="cs"/>
          <w:sz w:val="28"/>
          <w:szCs w:val="28"/>
          <w:rtl/>
        </w:rPr>
        <w:t xml:space="preserve">، الدكتور علي سليمان، </w:t>
      </w:r>
      <w:r w:rsidRPr="008330FD">
        <w:rPr>
          <w:rFonts w:ascii="Simplified Arabic" w:eastAsia="Calibri" w:hAnsi="Simplified Arabic" w:cs="Simplified Arabic"/>
          <w:sz w:val="28"/>
          <w:szCs w:val="28"/>
          <w:rtl/>
        </w:rPr>
        <w:t xml:space="preserve">معهد الحقوق </w:t>
      </w:r>
      <w:r w:rsidR="00995008">
        <w:rPr>
          <w:rFonts w:ascii="Simplified Arabic" w:eastAsia="Calibri" w:hAnsi="Simplified Arabic" w:cs="Simplified Arabic" w:hint="cs"/>
          <w:sz w:val="28"/>
          <w:szCs w:val="28"/>
          <w:rtl/>
        </w:rPr>
        <w:t xml:space="preserve">والعلوم الادارية </w:t>
      </w:r>
      <w:r w:rsidRPr="008330FD">
        <w:rPr>
          <w:rFonts w:ascii="Simplified Arabic" w:eastAsia="Calibri" w:hAnsi="Simplified Arabic" w:cs="Simplified Arabic"/>
          <w:sz w:val="28"/>
          <w:szCs w:val="28"/>
          <w:rtl/>
        </w:rPr>
        <w:t>ابن عكنون الجزائر</w:t>
      </w:r>
      <w:r w:rsidR="00995008">
        <w:rPr>
          <w:rFonts w:ascii="Simplified Arabic" w:eastAsia="Calibri" w:hAnsi="Simplified Arabic" w:cs="Simplified Arabic" w:hint="cs"/>
          <w:sz w:val="28"/>
          <w:szCs w:val="28"/>
          <w:rtl/>
        </w:rPr>
        <w:t>.</w:t>
      </w:r>
    </w:p>
    <w:p w:rsidR="00DD14B7" w:rsidRDefault="00DD14B7" w:rsidP="00DD14B7">
      <w:pPr>
        <w:bidi/>
        <w:spacing w:after="0"/>
        <w:contextualSpacing/>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خطة الدراسة:</w:t>
      </w:r>
    </w:p>
    <w:p w:rsidR="00BD2AB2" w:rsidRPr="009469FC" w:rsidRDefault="00DD14B7" w:rsidP="009469FC">
      <w:pPr>
        <w:bidi/>
        <w:spacing w:after="0"/>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b/>
          <w:bCs/>
          <w:sz w:val="32"/>
          <w:szCs w:val="32"/>
          <w:rtl/>
          <w:lang w:bidi="ar-DZ"/>
        </w:rPr>
        <w:t xml:space="preserve"> </w:t>
      </w:r>
      <w:r>
        <w:rPr>
          <w:rFonts w:ascii="Simplified Arabic" w:eastAsia="Calibri" w:hAnsi="Simplified Arabic" w:cs="Simplified Arabic" w:hint="cs"/>
          <w:sz w:val="32"/>
          <w:szCs w:val="32"/>
          <w:rtl/>
          <w:lang w:bidi="ar-DZ"/>
        </w:rPr>
        <w:t xml:space="preserve">قسمنا دراستنا </w:t>
      </w:r>
      <w:r w:rsidR="009469FC">
        <w:rPr>
          <w:rFonts w:ascii="Simplified Arabic" w:eastAsia="Calibri" w:hAnsi="Simplified Arabic" w:cs="Simplified Arabic" w:hint="cs"/>
          <w:sz w:val="32"/>
          <w:szCs w:val="32"/>
          <w:rtl/>
          <w:lang w:bidi="ar-DZ"/>
        </w:rPr>
        <w:t xml:space="preserve">الى مقدمة وفصلين وخاتمة كما يلي: </w:t>
      </w:r>
    </w:p>
    <w:p w:rsidR="000231CD" w:rsidRDefault="000231CD" w:rsidP="000231CD">
      <w:pPr>
        <w:bidi/>
        <w:spacing w:after="0"/>
        <w:contextualSpacing/>
        <w:jc w:val="both"/>
        <w:rPr>
          <w:rFonts w:ascii="Simplified Arabic" w:eastAsia="Calibri" w:hAnsi="Simplified Arabic" w:cs="Simplified Arabic"/>
          <w:sz w:val="32"/>
          <w:szCs w:val="32"/>
          <w:rtl/>
          <w:lang w:bidi="ar-DZ"/>
        </w:rPr>
      </w:pPr>
      <w:r w:rsidRPr="000231CD">
        <w:rPr>
          <w:rFonts w:ascii="Simplified Arabic" w:eastAsia="Calibri" w:hAnsi="Simplified Arabic" w:cs="Simplified Arabic" w:hint="cs"/>
          <w:sz w:val="32"/>
          <w:szCs w:val="32"/>
          <w:rtl/>
          <w:lang w:bidi="ar-DZ"/>
        </w:rPr>
        <w:t xml:space="preserve"> الفصل الأول</w:t>
      </w:r>
      <w:r w:rsidR="009469FC">
        <w:rPr>
          <w:rFonts w:ascii="Simplified Arabic" w:eastAsia="Calibri" w:hAnsi="Simplified Arabic" w:cs="Simplified Arabic" w:hint="cs"/>
          <w:sz w:val="32"/>
          <w:szCs w:val="32"/>
          <w:rtl/>
          <w:lang w:bidi="ar-DZ"/>
        </w:rPr>
        <w:t>:</w:t>
      </w:r>
      <w:r w:rsidRPr="000231CD">
        <w:rPr>
          <w:rFonts w:ascii="Simplified Arabic" w:eastAsia="Calibri" w:hAnsi="Simplified Arabic" w:cs="Simplified Arabic" w:hint="cs"/>
          <w:sz w:val="32"/>
          <w:szCs w:val="32"/>
          <w:rtl/>
          <w:lang w:bidi="ar-DZ"/>
        </w:rPr>
        <w:t xml:space="preserve"> فكرة </w:t>
      </w:r>
      <w:r w:rsidR="00813D21" w:rsidRPr="000231CD">
        <w:rPr>
          <w:rFonts w:ascii="Simplified Arabic" w:eastAsia="Calibri" w:hAnsi="Simplified Arabic" w:cs="Simplified Arabic" w:hint="cs"/>
          <w:sz w:val="32"/>
          <w:szCs w:val="32"/>
          <w:rtl/>
          <w:lang w:bidi="ar-DZ"/>
        </w:rPr>
        <w:t>انتقال</w:t>
      </w:r>
      <w:bookmarkStart w:id="0" w:name="_GoBack"/>
      <w:bookmarkEnd w:id="0"/>
      <w:r w:rsidRPr="000231CD">
        <w:rPr>
          <w:rFonts w:ascii="Simplified Arabic" w:eastAsia="Calibri" w:hAnsi="Simplified Arabic" w:cs="Simplified Arabic" w:hint="cs"/>
          <w:sz w:val="32"/>
          <w:szCs w:val="32"/>
          <w:rtl/>
          <w:lang w:bidi="ar-DZ"/>
        </w:rPr>
        <w:t xml:space="preserve"> </w:t>
      </w:r>
      <w:r w:rsidR="00813D21">
        <w:rPr>
          <w:rFonts w:ascii="Simplified Arabic" w:eastAsia="Calibri" w:hAnsi="Simplified Arabic" w:cs="Simplified Arabic" w:hint="cs"/>
          <w:sz w:val="32"/>
          <w:szCs w:val="32"/>
          <w:rtl/>
          <w:lang w:bidi="ar-DZ"/>
        </w:rPr>
        <w:t>الالتزام</w:t>
      </w:r>
      <w:r w:rsidR="009469FC">
        <w:rPr>
          <w:rFonts w:ascii="Simplified Arabic" w:eastAsia="Calibri" w:hAnsi="Simplified Arabic" w:cs="Simplified Arabic" w:hint="cs"/>
          <w:sz w:val="32"/>
          <w:szCs w:val="32"/>
          <w:rtl/>
          <w:lang w:bidi="ar-DZ"/>
        </w:rPr>
        <w:t>، حاولنا من خل</w:t>
      </w:r>
      <w:r w:rsidR="007014FF">
        <w:rPr>
          <w:rFonts w:ascii="Simplified Arabic" w:eastAsia="Calibri" w:hAnsi="Simplified Arabic" w:cs="Simplified Arabic" w:hint="cs"/>
          <w:sz w:val="32"/>
          <w:szCs w:val="32"/>
          <w:rtl/>
          <w:lang w:bidi="ar-DZ"/>
        </w:rPr>
        <w:t xml:space="preserve">اله ان نتطرق الى: اراء الفقهاء في </w:t>
      </w:r>
      <w:r w:rsidR="009469FC">
        <w:rPr>
          <w:rFonts w:ascii="Simplified Arabic" w:eastAsia="Calibri" w:hAnsi="Simplified Arabic" w:cs="Simplified Arabic" w:hint="cs"/>
          <w:sz w:val="32"/>
          <w:szCs w:val="32"/>
          <w:rtl/>
          <w:lang w:bidi="ar-DZ"/>
        </w:rPr>
        <w:t>مبحث اول</w:t>
      </w:r>
      <w:r w:rsidR="007014FF">
        <w:rPr>
          <w:rFonts w:ascii="Simplified Arabic" w:eastAsia="Calibri" w:hAnsi="Simplified Arabic" w:cs="Simplified Arabic" w:hint="cs"/>
          <w:sz w:val="32"/>
          <w:szCs w:val="32"/>
          <w:rtl/>
          <w:lang w:bidi="ar-DZ"/>
        </w:rPr>
        <w:t>، والى اغراض واركان الحوالة</w:t>
      </w:r>
      <w:r w:rsidR="00E657F9">
        <w:rPr>
          <w:rFonts w:ascii="Simplified Arabic" w:eastAsia="Calibri" w:hAnsi="Simplified Arabic" w:cs="Simplified Arabic" w:hint="cs"/>
          <w:sz w:val="32"/>
          <w:szCs w:val="32"/>
          <w:rtl/>
          <w:lang w:bidi="ar-DZ"/>
        </w:rPr>
        <w:t xml:space="preserve"> مبحث ثاني</w:t>
      </w:r>
      <w:r w:rsidR="007014FF">
        <w:rPr>
          <w:rFonts w:ascii="Simplified Arabic" w:eastAsia="Calibri" w:hAnsi="Simplified Arabic" w:cs="Simplified Arabic" w:hint="cs"/>
          <w:sz w:val="32"/>
          <w:szCs w:val="32"/>
          <w:rtl/>
          <w:lang w:bidi="ar-DZ"/>
        </w:rPr>
        <w:t>.</w:t>
      </w:r>
    </w:p>
    <w:p w:rsidR="007014FF" w:rsidRPr="000231CD" w:rsidRDefault="007014FF" w:rsidP="007014FF">
      <w:pPr>
        <w:bidi/>
        <w:spacing w:after="0"/>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 xml:space="preserve">الفصل الثاني: احكام الحوالة، حاولنا من خلاله </w:t>
      </w:r>
      <w:r w:rsidR="00E657F9">
        <w:rPr>
          <w:rFonts w:ascii="Simplified Arabic" w:eastAsia="Calibri" w:hAnsi="Simplified Arabic" w:cs="Simplified Arabic" w:hint="cs"/>
          <w:sz w:val="32"/>
          <w:szCs w:val="32"/>
          <w:rtl/>
          <w:lang w:bidi="ar-DZ"/>
        </w:rPr>
        <w:t xml:space="preserve">ان نتطرق الى: احكام حواة الحق في مبحث اول، </w:t>
      </w:r>
      <w:r w:rsidR="00652972">
        <w:rPr>
          <w:rFonts w:ascii="Simplified Arabic" w:eastAsia="Calibri" w:hAnsi="Simplified Arabic" w:cs="Simplified Arabic" w:hint="cs"/>
          <w:sz w:val="32"/>
          <w:szCs w:val="32"/>
          <w:rtl/>
          <w:lang w:bidi="ar-DZ"/>
        </w:rPr>
        <w:t>والى احكام حوالة الدين في مبحث ثاني.</w:t>
      </w:r>
    </w:p>
    <w:p w:rsidR="000231CD" w:rsidRPr="007014FF" w:rsidRDefault="000231CD" w:rsidP="000231CD">
      <w:pPr>
        <w:bidi/>
        <w:spacing w:after="0"/>
        <w:jc w:val="both"/>
        <w:rPr>
          <w:rFonts w:ascii="Simplified Arabic" w:hAnsi="Simplified Arabic" w:cs="Simplified Arabic"/>
          <w:sz w:val="32"/>
          <w:szCs w:val="32"/>
        </w:rPr>
      </w:pPr>
    </w:p>
    <w:sectPr w:rsidR="000231CD" w:rsidRPr="007014FF" w:rsidSect="002878EF">
      <w:headerReference w:type="default" r:id="rId8"/>
      <w:footerReference w:type="default" r:id="rId9"/>
      <w:pgSz w:w="11906" w:h="16838"/>
      <w:pgMar w:top="851" w:right="1701"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43DF" w:rsidRDefault="006D43DF" w:rsidP="002878EF">
      <w:pPr>
        <w:spacing w:after="0" w:line="240" w:lineRule="auto"/>
      </w:pPr>
      <w:r>
        <w:separator/>
      </w:r>
    </w:p>
  </w:endnote>
  <w:endnote w:type="continuationSeparator" w:id="0">
    <w:p w:rsidR="006D43DF" w:rsidRDefault="006D43DF" w:rsidP="002878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6971080"/>
      <w:docPartObj>
        <w:docPartGallery w:val="Page Numbers (Bottom of Page)"/>
        <w:docPartUnique/>
      </w:docPartObj>
    </w:sdtPr>
    <w:sdtEndPr/>
    <w:sdtContent>
      <w:p w:rsidR="00D904C6" w:rsidRDefault="00D904C6">
        <w:pPr>
          <w:pStyle w:val="Pieddepage"/>
        </w:pPr>
        <w:r>
          <w:rPr>
            <w:noProof/>
            <w:lang w:eastAsia="fr-FR"/>
          </w:rPr>
          <mc:AlternateContent>
            <mc:Choice Requires="wps">
              <w:drawing>
                <wp:anchor distT="0" distB="0" distL="114300" distR="114300" simplePos="0" relativeHeight="251660288" behindDoc="0" locked="0" layoutInCell="1" allowOverlap="1" wp14:editId="2C306D82">
                  <wp:simplePos x="0" y="0"/>
                  <wp:positionH relativeFrom="margin">
                    <wp:align>center</wp:align>
                  </wp:positionH>
                  <wp:positionV relativeFrom="bottomMargin">
                    <wp:align>center</wp:align>
                  </wp:positionV>
                  <wp:extent cx="551815" cy="238760"/>
                  <wp:effectExtent l="19050" t="19050" r="23495" b="18415"/>
                  <wp:wrapNone/>
                  <wp:docPr id="556"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D904C6" w:rsidRDefault="00D904C6">
                              <w:pPr>
                                <w:jc w:val="center"/>
                              </w:pPr>
                              <w:r>
                                <w:fldChar w:fldCharType="begin"/>
                              </w:r>
                              <w:r>
                                <w:instrText xml:space="preserve"> PAGE    \* MERGEFORMAT </w:instrText>
                              </w:r>
                              <w:r>
                                <w:fldChar w:fldCharType="separate"/>
                              </w:r>
                              <w:r w:rsidR="00813D21">
                                <w:rPr>
                                  <w:noProof/>
                                </w:rPr>
                                <w:t>3</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2"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" filled="t" strokecolor="gray" strokeweight="2.25pt">
                  <v:textbox inset=",0,,0">
                    <w:txbxContent>
                      <w:p w:rsidR="00D904C6" w:rsidRDefault="00D904C6">
                        <w:pPr>
                          <w:jc w:val="center"/>
                        </w:pPr>
                        <w:r>
                          <w:fldChar w:fldCharType="begin"/>
                        </w:r>
                        <w:r>
                          <w:instrText xml:space="preserve"> PAGE    \* MERGEFORMAT </w:instrText>
                        </w:r>
                        <w:r>
                          <w:fldChar w:fldCharType="separate"/>
                        </w:r>
                        <w:r w:rsidR="00813D21">
                          <w:rPr>
                            <w:noProof/>
                          </w:rPr>
                          <w:t>3</w:t>
                        </w:r>
                        <w:r>
                          <w:rPr>
                            <w:noProof/>
                          </w:rP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59264" behindDoc="0" locked="0" layoutInCell="1" allowOverlap="1" wp14:editId="5ACE0205">
                  <wp:simplePos x="0" y="0"/>
                  <wp:positionH relativeFrom="margin">
                    <wp:align>center</wp:align>
                  </wp:positionH>
                  <wp:positionV relativeFrom="bottomMargin">
                    <wp:align>center</wp:align>
                  </wp:positionV>
                  <wp:extent cx="5518150" cy="0"/>
                  <wp:effectExtent l="9525" t="9525" r="6350" b="9525"/>
                  <wp:wrapNone/>
                  <wp:docPr id="557"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AutoShape 21"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43DF" w:rsidRDefault="006D43DF" w:rsidP="002878EF">
      <w:pPr>
        <w:spacing w:after="0" w:line="240" w:lineRule="auto"/>
      </w:pPr>
      <w:r>
        <w:separator/>
      </w:r>
    </w:p>
  </w:footnote>
  <w:footnote w:type="continuationSeparator" w:id="0">
    <w:p w:rsidR="006D43DF" w:rsidRDefault="006D43DF" w:rsidP="002878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Titre"/>
      <w:id w:val="77738743"/>
      <w:placeholder>
        <w:docPart w:val="DA3FD0DDBC614160A9A342295B860C33"/>
      </w:placeholder>
      <w:dataBinding w:prefixMappings="xmlns:ns0='http://schemas.openxmlformats.org/package/2006/metadata/core-properties' xmlns:ns1='http://purl.org/dc/elements/1.1/'" w:xpath="/ns0:coreProperties[1]/ns1:title[1]" w:storeItemID="{6C3C8BC8-F283-45AE-878A-BAB7291924A1}"/>
      <w:text/>
    </w:sdtPr>
    <w:sdtEndPr/>
    <w:sdtContent>
      <w:p w:rsidR="002878EF" w:rsidRPr="002878EF" w:rsidRDefault="00D92852" w:rsidP="002878EF">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Pr>
            <w:rFonts w:asciiTheme="majorHAnsi" w:eastAsiaTheme="majorEastAsia" w:hAnsiTheme="majorHAnsi" w:cstheme="majorBidi"/>
            <w:b/>
            <w:bCs/>
            <w:sz w:val="32"/>
            <w:szCs w:val="32"/>
            <w:rtl/>
          </w:rPr>
          <w:t>مــــــــقدمــــــــــــة</w:t>
        </w:r>
      </w:p>
    </w:sdtContent>
  </w:sdt>
  <w:p w:rsidR="002878EF" w:rsidRDefault="002878EF">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645ECF"/>
    <w:multiLevelType w:val="hybridMultilevel"/>
    <w:tmpl w:val="38F6871C"/>
    <w:lvl w:ilvl="0" w:tplc="B678B1DE">
      <w:numFmt w:val="bullet"/>
      <w:lvlText w:val="-"/>
      <w:lvlJc w:val="left"/>
      <w:pPr>
        <w:ind w:left="720"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7EDA42F4"/>
    <w:multiLevelType w:val="hybridMultilevel"/>
    <w:tmpl w:val="AEBC10E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6BB"/>
    <w:rsid w:val="000231CD"/>
    <w:rsid w:val="000D2F98"/>
    <w:rsid w:val="00113E82"/>
    <w:rsid w:val="001270C9"/>
    <w:rsid w:val="00241F24"/>
    <w:rsid w:val="002878EF"/>
    <w:rsid w:val="002B2A82"/>
    <w:rsid w:val="002C63B2"/>
    <w:rsid w:val="0033476F"/>
    <w:rsid w:val="003976AD"/>
    <w:rsid w:val="004644EA"/>
    <w:rsid w:val="005466BB"/>
    <w:rsid w:val="00652972"/>
    <w:rsid w:val="006D43DF"/>
    <w:rsid w:val="007014FF"/>
    <w:rsid w:val="00772C67"/>
    <w:rsid w:val="007C794A"/>
    <w:rsid w:val="00813D21"/>
    <w:rsid w:val="008330FD"/>
    <w:rsid w:val="0084347D"/>
    <w:rsid w:val="00851EFF"/>
    <w:rsid w:val="009469FC"/>
    <w:rsid w:val="00995008"/>
    <w:rsid w:val="009D0D49"/>
    <w:rsid w:val="00A748F1"/>
    <w:rsid w:val="00AB4376"/>
    <w:rsid w:val="00B041A6"/>
    <w:rsid w:val="00BB0542"/>
    <w:rsid w:val="00BD2AB2"/>
    <w:rsid w:val="00C34813"/>
    <w:rsid w:val="00CA4ECE"/>
    <w:rsid w:val="00CF1B81"/>
    <w:rsid w:val="00D904C6"/>
    <w:rsid w:val="00D92852"/>
    <w:rsid w:val="00DD14B7"/>
    <w:rsid w:val="00DD61C3"/>
    <w:rsid w:val="00E657F9"/>
    <w:rsid w:val="00EE72AC"/>
    <w:rsid w:val="00F0385B"/>
    <w:rsid w:val="00FC49E6"/>
    <w:rsid w:val="00FC5FCF"/>
    <w:rsid w:val="00FE131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878EF"/>
    <w:pPr>
      <w:tabs>
        <w:tab w:val="center" w:pos="4536"/>
        <w:tab w:val="right" w:pos="9072"/>
      </w:tabs>
      <w:spacing w:after="0" w:line="240" w:lineRule="auto"/>
    </w:pPr>
  </w:style>
  <w:style w:type="character" w:customStyle="1" w:styleId="En-tteCar">
    <w:name w:val="En-tête Car"/>
    <w:basedOn w:val="Policepardfaut"/>
    <w:link w:val="En-tte"/>
    <w:uiPriority w:val="99"/>
    <w:rsid w:val="002878EF"/>
  </w:style>
  <w:style w:type="paragraph" w:styleId="Pieddepage">
    <w:name w:val="footer"/>
    <w:basedOn w:val="Normal"/>
    <w:link w:val="PieddepageCar"/>
    <w:uiPriority w:val="99"/>
    <w:unhideWhenUsed/>
    <w:rsid w:val="002878E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878EF"/>
  </w:style>
  <w:style w:type="paragraph" w:styleId="Textedebulles">
    <w:name w:val="Balloon Text"/>
    <w:basedOn w:val="Normal"/>
    <w:link w:val="TextedebullesCar"/>
    <w:uiPriority w:val="99"/>
    <w:semiHidden/>
    <w:unhideWhenUsed/>
    <w:rsid w:val="002878E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878EF"/>
    <w:rPr>
      <w:rFonts w:ascii="Tahoma" w:hAnsi="Tahoma" w:cs="Tahoma"/>
      <w:sz w:val="16"/>
      <w:szCs w:val="16"/>
    </w:rPr>
  </w:style>
  <w:style w:type="paragraph" w:styleId="Paragraphedeliste">
    <w:name w:val="List Paragraph"/>
    <w:basedOn w:val="Normal"/>
    <w:uiPriority w:val="34"/>
    <w:qFormat/>
    <w:rsid w:val="008330F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878EF"/>
    <w:pPr>
      <w:tabs>
        <w:tab w:val="center" w:pos="4536"/>
        <w:tab w:val="right" w:pos="9072"/>
      </w:tabs>
      <w:spacing w:after="0" w:line="240" w:lineRule="auto"/>
    </w:pPr>
  </w:style>
  <w:style w:type="character" w:customStyle="1" w:styleId="En-tteCar">
    <w:name w:val="En-tête Car"/>
    <w:basedOn w:val="Policepardfaut"/>
    <w:link w:val="En-tte"/>
    <w:uiPriority w:val="99"/>
    <w:rsid w:val="002878EF"/>
  </w:style>
  <w:style w:type="paragraph" w:styleId="Pieddepage">
    <w:name w:val="footer"/>
    <w:basedOn w:val="Normal"/>
    <w:link w:val="PieddepageCar"/>
    <w:uiPriority w:val="99"/>
    <w:unhideWhenUsed/>
    <w:rsid w:val="002878E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878EF"/>
  </w:style>
  <w:style w:type="paragraph" w:styleId="Textedebulles">
    <w:name w:val="Balloon Text"/>
    <w:basedOn w:val="Normal"/>
    <w:link w:val="TextedebullesCar"/>
    <w:uiPriority w:val="99"/>
    <w:semiHidden/>
    <w:unhideWhenUsed/>
    <w:rsid w:val="002878E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878EF"/>
    <w:rPr>
      <w:rFonts w:ascii="Tahoma" w:hAnsi="Tahoma" w:cs="Tahoma"/>
      <w:sz w:val="16"/>
      <w:szCs w:val="16"/>
    </w:rPr>
  </w:style>
  <w:style w:type="paragraph" w:styleId="Paragraphedeliste">
    <w:name w:val="List Paragraph"/>
    <w:basedOn w:val="Normal"/>
    <w:uiPriority w:val="34"/>
    <w:qFormat/>
    <w:rsid w:val="008330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A3FD0DDBC614160A9A342295B860C33"/>
        <w:category>
          <w:name w:val="Général"/>
          <w:gallery w:val="placeholder"/>
        </w:category>
        <w:types>
          <w:type w:val="bbPlcHdr"/>
        </w:types>
        <w:behaviors>
          <w:behavior w:val="content"/>
        </w:behaviors>
        <w:guid w:val="{00242A5B-756C-4933-B161-A6F85D0004D4}"/>
      </w:docPartPr>
      <w:docPartBody>
        <w:p w:rsidR="004F13C0" w:rsidRDefault="00F71DD7" w:rsidP="00F71DD7">
          <w:pPr>
            <w:pStyle w:val="DA3FD0DDBC614160A9A342295B860C33"/>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DD7"/>
    <w:rsid w:val="004F13C0"/>
    <w:rsid w:val="00734429"/>
    <w:rsid w:val="00F71DD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A3FD0DDBC614160A9A342295B860C33">
    <w:name w:val="DA3FD0DDBC614160A9A342295B860C33"/>
    <w:rsid w:val="00F71DD7"/>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A3FD0DDBC614160A9A342295B860C33">
    <w:name w:val="DA3FD0DDBC614160A9A342295B860C33"/>
    <w:rsid w:val="00F71DD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151</TotalTime>
  <Pages>3</Pages>
  <Words>596</Words>
  <Characters>3278</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مــــــــقدمــــــــــــة</vt:lpstr>
    </vt:vector>
  </TitlesOfParts>
  <Company/>
  <LinksUpToDate>false</LinksUpToDate>
  <CharactersWithSpaces>3867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مــــــــقدمــــــــــــة</dc:title>
  <dc:creator>Nour-cyber</dc:creator>
  <cp:lastModifiedBy>PowerOn</cp:lastModifiedBy>
  <cp:revision>31</cp:revision>
  <cp:lastPrinted>2019-06-14T05:52:00Z</cp:lastPrinted>
  <dcterms:created xsi:type="dcterms:W3CDTF">2019-06-12T19:26:00Z</dcterms:created>
  <dcterms:modified xsi:type="dcterms:W3CDTF">2019-07-07T17:31:00Z</dcterms:modified>
</cp:coreProperties>
</file>