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A7A509" w14:textId="5AC6FA32" w:rsidR="0060536C" w:rsidRPr="0060536C" w:rsidRDefault="00A11685" w:rsidP="0060536C">
      <w:pPr>
        <w:spacing w:line="276" w:lineRule="auto"/>
        <w:jc w:val="right"/>
        <w:rPr>
          <w:rFonts w:ascii="Times New Roman" w:eastAsia="Times New Roman" w:hAnsi="Times New Roman" w:cs="Times New Roman"/>
          <w:b/>
          <w:bCs/>
          <w:color w:val="303030"/>
          <w:kern w:val="0"/>
          <w:sz w:val="40"/>
          <w:szCs w:val="40"/>
          <w:rtl/>
          <w:lang w:eastAsia="fr-FR" w:bidi="ar-DZ"/>
          <w14:ligatures w14:val="none"/>
        </w:rPr>
      </w:pPr>
      <w:r w:rsidRPr="00A11685">
        <w:rPr>
          <w:rFonts w:ascii="Times New Roman" w:eastAsia="Times New Roman" w:hAnsi="Times New Roman" w:cs="Times New Roman" w:hint="cs"/>
          <w:b/>
          <w:bCs/>
          <w:color w:val="303030"/>
          <w:kern w:val="0"/>
          <w:sz w:val="36"/>
          <w:szCs w:val="36"/>
          <w:rtl/>
          <w:lang w:eastAsia="fr-FR" w:bidi="ar-DZ"/>
          <w14:ligatures w14:val="none"/>
        </w:rPr>
        <w:t xml:space="preserve"> </w:t>
      </w:r>
      <w:r w:rsidR="002033A5" w:rsidRPr="0060536C">
        <w:rPr>
          <w:rFonts w:ascii="Times New Roman" w:eastAsia="Times New Roman" w:hAnsi="Times New Roman" w:cs="Times New Roman"/>
          <w:b/>
          <w:bCs/>
          <w:color w:val="303030"/>
          <w:kern w:val="0"/>
          <w:sz w:val="40"/>
          <w:szCs w:val="40"/>
          <w:rtl/>
          <w:lang w:eastAsia="fr-FR" w:bidi="ar-DZ"/>
          <w14:ligatures w14:val="none"/>
        </w:rPr>
        <w:noBreakHyphen/>
      </w:r>
      <w:r w:rsidRPr="0060536C">
        <w:rPr>
          <w:rFonts w:ascii="Times New Roman" w:eastAsia="Times New Roman" w:hAnsi="Times New Roman" w:cs="Times New Roman" w:hint="cs"/>
          <w:b/>
          <w:bCs/>
          <w:color w:val="303030"/>
          <w:kern w:val="0"/>
          <w:sz w:val="40"/>
          <w:szCs w:val="40"/>
          <w:rtl/>
          <w:lang w:eastAsia="fr-FR" w:bidi="ar-DZ"/>
          <w14:ligatures w14:val="none"/>
        </w:rPr>
        <w:t xml:space="preserve"> </w:t>
      </w:r>
      <w:r w:rsidR="0060536C" w:rsidRPr="0060536C">
        <w:rPr>
          <w:rFonts w:ascii="Times New Roman" w:eastAsia="Times New Roman" w:hAnsi="Times New Roman" w:cs="Times New Roman" w:hint="cs"/>
          <w:b/>
          <w:bCs/>
          <w:color w:val="303030"/>
          <w:kern w:val="0"/>
          <w:sz w:val="40"/>
          <w:szCs w:val="40"/>
          <w:rtl/>
          <w:lang w:eastAsia="fr-FR" w:bidi="ar-DZ"/>
          <w14:ligatures w14:val="none"/>
        </w:rPr>
        <w:t>ملخص مذكرة تخرج الجانب النظري تحت عنوان رقمية العقوبة والجانب التطبيقي تحت عنوان أكاديمية المتميز.</w:t>
      </w:r>
    </w:p>
    <w:p w14:paraId="3377EF06" w14:textId="565F0DF7" w:rsidR="002033A5" w:rsidRPr="0060536C" w:rsidRDefault="002033A5" w:rsidP="0060536C">
      <w:pPr>
        <w:spacing w:line="276" w:lineRule="auto"/>
        <w:jc w:val="right"/>
        <w:rPr>
          <w:rFonts w:ascii="Times New Roman" w:eastAsia="Times New Roman" w:hAnsi="Times New Roman" w:cs="Times New Roman"/>
          <w:b/>
          <w:bCs/>
          <w:color w:val="303030"/>
          <w:kern w:val="0"/>
          <w:sz w:val="36"/>
          <w:szCs w:val="36"/>
          <w:rtl/>
          <w:lang w:eastAsia="fr-FR" w:bidi="ar-DZ"/>
          <w14:ligatures w14:val="none"/>
        </w:rPr>
      </w:pPr>
      <w:r w:rsidRPr="0060536C">
        <w:rPr>
          <w:rFonts w:ascii="Times New Roman" w:eastAsia="Times New Roman" w:hAnsi="Times New Roman" w:cs="Times New Roman" w:hint="cs"/>
          <w:b/>
          <w:bCs/>
          <w:color w:val="303030"/>
          <w:kern w:val="0"/>
          <w:sz w:val="36"/>
          <w:szCs w:val="36"/>
          <w:rtl/>
          <w:lang w:eastAsia="fr-FR" w:bidi="ar-DZ"/>
          <w14:ligatures w14:val="none"/>
        </w:rPr>
        <w:t>ملخص نحو رقمية العقوبة:</w:t>
      </w:r>
    </w:p>
    <w:p w14:paraId="04AA83EA" w14:textId="1E6B5FF5" w:rsidR="002033A5" w:rsidRPr="002033A5" w:rsidRDefault="00A11685" w:rsidP="0060536C">
      <w:pPr>
        <w:spacing w:line="276" w:lineRule="auto"/>
        <w:jc w:val="right"/>
        <w:rPr>
          <w:rFonts w:ascii="Times New Roman" w:eastAsia="Times New Roman" w:hAnsi="Times New Roman" w:cs="Times New Roman"/>
          <w:b/>
          <w:bCs/>
          <w:color w:val="303030"/>
          <w:kern w:val="0"/>
          <w:sz w:val="36"/>
          <w:szCs w:val="36"/>
          <w:lang w:eastAsia="fr-FR" w:bidi="ar-DZ"/>
          <w14:ligatures w14:val="none"/>
        </w:rPr>
      </w:pPr>
      <w:r w:rsidRPr="00A11685">
        <w:rPr>
          <w:rFonts w:ascii="Times New Roman" w:eastAsia="Times New Roman" w:hAnsi="Times New Roman" w:cs="Times New Roman" w:hint="cs"/>
          <w:b/>
          <w:bCs/>
          <w:color w:val="303030"/>
          <w:kern w:val="0"/>
          <w:sz w:val="36"/>
          <w:szCs w:val="36"/>
          <w:rtl/>
          <w:lang w:eastAsia="fr-FR" w:bidi="ar-DZ"/>
          <w14:ligatures w14:val="none"/>
        </w:rPr>
        <w:t xml:space="preserve"> </w:t>
      </w:r>
      <w:r w:rsidR="002033A5">
        <w:rPr>
          <w:rFonts w:ascii="Times New Roman" w:eastAsia="Times New Roman" w:hAnsi="Times New Roman" w:cs="Times New Roman" w:hint="cs"/>
          <w:b/>
          <w:bCs/>
          <w:color w:val="303030"/>
          <w:kern w:val="0"/>
          <w:sz w:val="36"/>
          <w:szCs w:val="36"/>
          <w:rtl/>
          <w:lang w:eastAsia="fr-FR" w:bidi="ar-DZ"/>
          <w14:ligatures w14:val="none"/>
        </w:rPr>
        <w:t xml:space="preserve">      </w:t>
      </w:r>
      <w:r w:rsidR="002033A5" w:rsidRPr="002033A5">
        <w:rPr>
          <w:rFonts w:ascii="Times New Roman" w:eastAsia="Times New Roman" w:hAnsi="Times New Roman" w:cs="Times New Roman"/>
          <w:b/>
          <w:bCs/>
          <w:color w:val="303030"/>
          <w:kern w:val="0"/>
          <w:sz w:val="36"/>
          <w:szCs w:val="36"/>
          <w:rtl/>
          <w:lang w:eastAsia="fr-FR" w:bidi="ar-DZ"/>
          <w14:ligatures w14:val="none"/>
        </w:rPr>
        <w:t>تتمحور هذه الدراسة حول نظام المراقبة الإلكترونية (السوار الإلكتروني) كآلية تكنولوجية مستحدثة اعتمدها المشرع الجزائري ضمن السياسة العقابية الحديثة؛ تهدف إلى إيجاد بدائل مرنة وعصرية للعقوبات السالبة للحرية قصيرة المدة، لمعالجة الآثار السلبية للسجون التقليدية وفي مقدمتها معضلة الاكتظاظ وعزل المحكوم عليه. وتكمن الإشكالية الجوهرية للبحث في مدى فاعلية هذا النظام القانوني والإجرائي في تحقيق التوازن بين متطلبات الرقابة والردع، وغايات إعادة الإدماج الاجتماعي للمحكوم عليهم</w:t>
      </w:r>
      <w:r w:rsidR="002033A5">
        <w:rPr>
          <w:rFonts w:ascii="Times New Roman" w:eastAsia="Times New Roman" w:hAnsi="Times New Roman" w:cs="Times New Roman" w:hint="cs"/>
          <w:b/>
          <w:bCs/>
          <w:color w:val="303030"/>
          <w:kern w:val="0"/>
          <w:sz w:val="36"/>
          <w:szCs w:val="36"/>
          <w:rtl/>
          <w:lang w:eastAsia="fr-FR" w:bidi="ar-DZ"/>
          <w14:ligatures w14:val="none"/>
        </w:rPr>
        <w:t>.</w:t>
      </w:r>
    </w:p>
    <w:p w14:paraId="1C9365E7" w14:textId="77777777" w:rsidR="002033A5" w:rsidRPr="002033A5" w:rsidRDefault="002033A5" w:rsidP="0060536C">
      <w:pPr>
        <w:spacing w:line="276" w:lineRule="auto"/>
        <w:rPr>
          <w:rFonts w:ascii="Times New Roman" w:eastAsia="Times New Roman" w:hAnsi="Times New Roman" w:cs="Times New Roman"/>
          <w:b/>
          <w:bCs/>
          <w:color w:val="303030"/>
          <w:kern w:val="0"/>
          <w:sz w:val="36"/>
          <w:szCs w:val="36"/>
          <w:lang w:eastAsia="fr-FR" w:bidi="ar-DZ"/>
          <w14:ligatures w14:val="none"/>
        </w:rPr>
      </w:pPr>
    </w:p>
    <w:p w14:paraId="5DB903BE" w14:textId="4DD9810E" w:rsidR="002033A5" w:rsidRPr="002033A5" w:rsidRDefault="002033A5" w:rsidP="0060536C">
      <w:pPr>
        <w:spacing w:line="276" w:lineRule="auto"/>
        <w:jc w:val="right"/>
        <w:rPr>
          <w:rFonts w:ascii="Times New Roman" w:eastAsia="Times New Roman" w:hAnsi="Times New Roman" w:cs="Times New Roman"/>
          <w:b/>
          <w:bCs/>
          <w:color w:val="303030"/>
          <w:kern w:val="0"/>
          <w:sz w:val="36"/>
          <w:szCs w:val="36"/>
          <w:lang w:eastAsia="fr-FR" w:bidi="ar-DZ"/>
          <w14:ligatures w14:val="none"/>
        </w:rPr>
      </w:pPr>
      <w:r>
        <w:rPr>
          <w:rFonts w:ascii="Times New Roman" w:eastAsia="Times New Roman" w:hAnsi="Times New Roman" w:cs="Times New Roman" w:hint="cs"/>
          <w:b/>
          <w:bCs/>
          <w:color w:val="303030"/>
          <w:kern w:val="0"/>
          <w:sz w:val="36"/>
          <w:szCs w:val="36"/>
          <w:rtl/>
          <w:lang w:eastAsia="fr-FR" w:bidi="ar-DZ"/>
          <w14:ligatures w14:val="none"/>
        </w:rPr>
        <w:t xml:space="preserve">       </w:t>
      </w:r>
      <w:r w:rsidRPr="002033A5">
        <w:rPr>
          <w:rFonts w:ascii="Times New Roman" w:eastAsia="Times New Roman" w:hAnsi="Times New Roman" w:cs="Times New Roman"/>
          <w:b/>
          <w:bCs/>
          <w:color w:val="303030"/>
          <w:kern w:val="0"/>
          <w:sz w:val="36"/>
          <w:szCs w:val="36"/>
          <w:rtl/>
          <w:lang w:eastAsia="fr-FR" w:bidi="ar-DZ"/>
          <w14:ligatures w14:val="none"/>
        </w:rPr>
        <w:t>وقد خلصت الدراسة، عبر تتبع الجذور التاريخية للنظام بدءاً من نشأته في الأنظمة المقارنة وصولاً إلى تبنيه في الجزائر، إلى أن المراقبة الإلكترونية تتميز بطبيعة قانونية مزدوجة ومرنة بحسب المرحلة الإجرائية؛ إذ يمكن اعتبارها آلية من آليات التحقيق القضائي وتدبيراً تحفظياً يقع ضمن صلاحيات "قاضي التحقيق" كبديل مرن للحبس المؤقت في مرحلة ما قبل المحاكمة (وفقاً للمادة 198 من قانون الإجراءات الجزائية)، في حين تنقلب إلى "عقوبة بديلة" أو وسيلة مستحدثة للتنفيذ العقابي تقع ضمن صلاحيات "قاضي الحكم" بعد صدور حكم قضائي نهائي بالإدانة، وهو ما يمنح المنظومة القضائية خيارات أوسع لتفريد العقاب بما يتماشى مع شخصية الجاني</w:t>
      </w:r>
      <w:r>
        <w:rPr>
          <w:rFonts w:ascii="Times New Roman" w:eastAsia="Times New Roman" w:hAnsi="Times New Roman" w:cs="Times New Roman" w:hint="cs"/>
          <w:b/>
          <w:bCs/>
          <w:color w:val="303030"/>
          <w:kern w:val="0"/>
          <w:sz w:val="36"/>
          <w:szCs w:val="36"/>
          <w:rtl/>
          <w:lang w:eastAsia="fr-FR" w:bidi="ar-DZ"/>
          <w14:ligatures w14:val="none"/>
        </w:rPr>
        <w:t xml:space="preserve"> .</w:t>
      </w:r>
    </w:p>
    <w:p w14:paraId="1DD16C0A" w14:textId="77777777" w:rsidR="002033A5" w:rsidRPr="002033A5" w:rsidRDefault="002033A5" w:rsidP="0060536C">
      <w:pPr>
        <w:spacing w:line="276" w:lineRule="auto"/>
        <w:jc w:val="right"/>
        <w:rPr>
          <w:rFonts w:ascii="Times New Roman" w:eastAsia="Times New Roman" w:hAnsi="Times New Roman" w:cs="Times New Roman"/>
          <w:b/>
          <w:bCs/>
          <w:color w:val="303030"/>
          <w:kern w:val="0"/>
          <w:sz w:val="36"/>
          <w:szCs w:val="36"/>
          <w:lang w:eastAsia="fr-FR" w:bidi="ar-DZ"/>
          <w14:ligatures w14:val="none"/>
        </w:rPr>
      </w:pPr>
    </w:p>
    <w:p w14:paraId="062A7136" w14:textId="63F370F0" w:rsidR="002033A5" w:rsidRPr="002033A5" w:rsidRDefault="002033A5" w:rsidP="0060536C">
      <w:pPr>
        <w:bidi/>
        <w:spacing w:line="276" w:lineRule="auto"/>
        <w:rPr>
          <w:rFonts w:ascii="Times New Roman" w:eastAsia="Times New Roman" w:hAnsi="Times New Roman" w:cs="Times New Roman"/>
          <w:b/>
          <w:bCs/>
          <w:color w:val="303030"/>
          <w:kern w:val="0"/>
          <w:sz w:val="36"/>
          <w:szCs w:val="36"/>
          <w:lang w:eastAsia="fr-FR" w:bidi="ar-DZ"/>
          <w14:ligatures w14:val="none"/>
        </w:rPr>
      </w:pPr>
      <w:r>
        <w:rPr>
          <w:rFonts w:ascii="Times New Roman" w:eastAsia="Times New Roman" w:hAnsi="Times New Roman" w:cs="Times New Roman" w:hint="cs"/>
          <w:b/>
          <w:bCs/>
          <w:color w:val="303030"/>
          <w:kern w:val="0"/>
          <w:sz w:val="36"/>
          <w:szCs w:val="36"/>
          <w:rtl/>
          <w:lang w:eastAsia="fr-FR" w:bidi="ar-DZ"/>
          <w14:ligatures w14:val="none"/>
        </w:rPr>
        <w:t xml:space="preserve">      </w:t>
      </w:r>
      <w:r w:rsidRPr="002033A5">
        <w:rPr>
          <w:rFonts w:ascii="Times New Roman" w:eastAsia="Times New Roman" w:hAnsi="Times New Roman" w:cs="Times New Roman"/>
          <w:b/>
          <w:bCs/>
          <w:color w:val="303030"/>
          <w:kern w:val="0"/>
          <w:sz w:val="36"/>
          <w:szCs w:val="36"/>
          <w:rtl/>
          <w:lang w:eastAsia="fr-FR" w:bidi="ar-DZ"/>
          <w14:ligatures w14:val="none"/>
        </w:rPr>
        <w:t>كما حلل البحث الشروط الصارمة التي وضعها المشرع الجزائري لتطبيق السوار الإلكتروني وفقاً للتعديل الجديد 24-06، حيث حصر نطاقها في مواد الجنح والمخالفات (مثل الجريمة المعلوماتية والسرقة البسيطة) بشرط ألا تتجاوز العقوبة المقررة للجريمة قانوناً خمس سنوات، وألا تتجاوز العقوبة المنطوق بها ثلاث سنوات، مع اشتراط رضا المحكوم عليه الصريح وتوفر سكن ثابت ومعلوم</w:t>
      </w:r>
      <w:r w:rsidRPr="002033A5">
        <w:rPr>
          <w:rFonts w:ascii="Times New Roman" w:eastAsia="Times New Roman" w:hAnsi="Times New Roman" w:cs="Times New Roman"/>
          <w:b/>
          <w:bCs/>
          <w:color w:val="303030"/>
          <w:kern w:val="0"/>
          <w:sz w:val="36"/>
          <w:szCs w:val="36"/>
          <w:lang w:eastAsia="fr-FR" w:bidi="ar-DZ"/>
          <w14:ligatures w14:val="none"/>
        </w:rPr>
        <w:t>.</w:t>
      </w:r>
    </w:p>
    <w:p w14:paraId="2545D339" w14:textId="77777777" w:rsidR="002033A5" w:rsidRPr="002033A5" w:rsidRDefault="002033A5" w:rsidP="0060536C">
      <w:pPr>
        <w:spacing w:line="276" w:lineRule="auto"/>
        <w:rPr>
          <w:rFonts w:ascii="Times New Roman" w:eastAsia="Times New Roman" w:hAnsi="Times New Roman" w:cs="Times New Roman"/>
          <w:b/>
          <w:bCs/>
          <w:color w:val="303030"/>
          <w:kern w:val="0"/>
          <w:sz w:val="36"/>
          <w:szCs w:val="36"/>
          <w:lang w:eastAsia="fr-FR" w:bidi="ar-DZ"/>
          <w14:ligatures w14:val="none"/>
        </w:rPr>
      </w:pPr>
    </w:p>
    <w:p w14:paraId="3445C18C" w14:textId="77777777" w:rsidR="002033A5" w:rsidRDefault="002033A5" w:rsidP="0060536C">
      <w:pPr>
        <w:bidi/>
        <w:spacing w:line="276" w:lineRule="auto"/>
        <w:jc w:val="both"/>
        <w:rPr>
          <w:rFonts w:ascii="Times New Roman" w:eastAsia="Times New Roman" w:hAnsi="Times New Roman" w:cs="Times New Roman"/>
          <w:b/>
          <w:bCs/>
          <w:color w:val="303030"/>
          <w:kern w:val="0"/>
          <w:sz w:val="36"/>
          <w:szCs w:val="36"/>
          <w:rtl/>
          <w:lang w:eastAsia="fr-FR" w:bidi="ar-DZ"/>
          <w14:ligatures w14:val="none"/>
        </w:rPr>
      </w:pPr>
      <w:r>
        <w:rPr>
          <w:rFonts w:ascii="Times New Roman" w:eastAsia="Times New Roman" w:hAnsi="Times New Roman" w:cs="Times New Roman" w:hint="cs"/>
          <w:b/>
          <w:bCs/>
          <w:color w:val="303030"/>
          <w:kern w:val="0"/>
          <w:sz w:val="36"/>
          <w:szCs w:val="36"/>
          <w:rtl/>
          <w:lang w:eastAsia="fr-FR" w:bidi="ar-DZ"/>
          <w14:ligatures w14:val="none"/>
        </w:rPr>
        <w:t xml:space="preserve">     </w:t>
      </w:r>
      <w:r w:rsidRPr="002033A5">
        <w:rPr>
          <w:rFonts w:ascii="Times New Roman" w:eastAsia="Times New Roman" w:hAnsi="Times New Roman" w:cs="Times New Roman"/>
          <w:b/>
          <w:bCs/>
          <w:color w:val="303030"/>
          <w:kern w:val="0"/>
          <w:sz w:val="36"/>
          <w:szCs w:val="36"/>
          <w:rtl/>
          <w:lang w:eastAsia="fr-FR" w:bidi="ar-DZ"/>
          <w14:ligatures w14:val="none"/>
        </w:rPr>
        <w:t>وفي المقابل، أبرزت الدراسة منظومة الضمانات الدستورية والقانونية المحيطة بالشخص المستفيد؛ مثل ضمانة الحق في الكرامة والحرمة الجسدية، وحماية الخصوصية وحرمة المسكن عبر حظر وظائف التنصت أو التصوير واقتصار الجهاز على التتبع الجغرافي</w:t>
      </w:r>
      <w:r w:rsidRPr="002033A5">
        <w:rPr>
          <w:rFonts w:ascii="Times New Roman" w:eastAsia="Times New Roman" w:hAnsi="Times New Roman" w:cs="Times New Roman"/>
          <w:b/>
          <w:bCs/>
          <w:color w:val="303030"/>
          <w:kern w:val="0"/>
          <w:sz w:val="36"/>
          <w:szCs w:val="36"/>
          <w:lang w:eastAsia="fr-FR" w:bidi="ar-DZ"/>
          <w14:ligatures w14:val="none"/>
        </w:rPr>
        <w:t xml:space="preserve"> (GPS)</w:t>
      </w:r>
      <w:r w:rsidRPr="002033A5">
        <w:rPr>
          <w:rFonts w:ascii="Times New Roman" w:eastAsia="Times New Roman" w:hAnsi="Times New Roman" w:cs="Times New Roman"/>
          <w:b/>
          <w:bCs/>
          <w:color w:val="303030"/>
          <w:kern w:val="0"/>
          <w:sz w:val="36"/>
          <w:szCs w:val="36"/>
          <w:rtl/>
          <w:lang w:eastAsia="fr-FR" w:bidi="ar-DZ"/>
          <w14:ligatures w14:val="none"/>
        </w:rPr>
        <w:t>، فضلاً عن تمكين المستفيد من ممارسة حياته الطبيعية في العمل والتعليم، ومنحه الحق في الطعن قضائياً أمام لجنة تكييف العقوبات. وقد اعتمدت المذكرة على المنهج الوصفي التحليلي مع الاستئناس بالمنهج المقارن، مستعرضةً بعض العقبات الميدانية كحداثة المنظومة التشريعية الجزائرية وقلة المراجع الإجرائية المحلية والإحصائيات الرسمية</w:t>
      </w:r>
      <w:r w:rsidRPr="002033A5">
        <w:rPr>
          <w:rFonts w:ascii="Times New Roman" w:eastAsia="Times New Roman" w:hAnsi="Times New Roman" w:cs="Times New Roman"/>
          <w:b/>
          <w:bCs/>
          <w:color w:val="303030"/>
          <w:kern w:val="0"/>
          <w:sz w:val="36"/>
          <w:szCs w:val="36"/>
          <w:lang w:eastAsia="fr-FR" w:bidi="ar-DZ"/>
          <w14:ligatures w14:val="none"/>
        </w:rPr>
        <w:t>.</w:t>
      </w:r>
    </w:p>
    <w:p w14:paraId="1DA716C5" w14:textId="77777777" w:rsidR="0060536C" w:rsidRDefault="0060536C" w:rsidP="0060536C">
      <w:pPr>
        <w:bidi/>
        <w:spacing w:line="276" w:lineRule="auto"/>
        <w:jc w:val="both"/>
        <w:rPr>
          <w:rFonts w:ascii="Times New Roman" w:eastAsia="Times New Roman" w:hAnsi="Times New Roman" w:cs="Times New Roman"/>
          <w:b/>
          <w:bCs/>
          <w:color w:val="303030"/>
          <w:kern w:val="0"/>
          <w:sz w:val="36"/>
          <w:szCs w:val="36"/>
          <w:rtl/>
          <w:lang w:eastAsia="fr-FR" w:bidi="ar-DZ"/>
          <w14:ligatures w14:val="none"/>
        </w:rPr>
      </w:pPr>
    </w:p>
    <w:p w14:paraId="346714A1" w14:textId="2E215756" w:rsidR="002033A5" w:rsidRDefault="002033A5" w:rsidP="0060536C">
      <w:pPr>
        <w:bidi/>
        <w:spacing w:line="276" w:lineRule="auto"/>
        <w:jc w:val="right"/>
        <w:rPr>
          <w:rFonts w:ascii="Times New Roman" w:eastAsia="Times New Roman" w:hAnsi="Times New Roman" w:cs="Times New Roman"/>
          <w:b/>
          <w:bCs/>
          <w:color w:val="303030"/>
          <w:kern w:val="0"/>
          <w:sz w:val="36"/>
          <w:szCs w:val="36"/>
          <w:rtl/>
          <w:lang w:eastAsia="fr-FR" w:bidi="ar-DZ"/>
          <w14:ligatures w14:val="none"/>
        </w:rPr>
      </w:pPr>
      <w:r w:rsidRPr="0060536C">
        <w:rPr>
          <w:rFonts w:ascii="Times New Roman" w:eastAsia="Times New Roman" w:hAnsi="Times New Roman" w:cs="Times New Roman" w:hint="cs"/>
          <w:b/>
          <w:bCs/>
          <w:color w:val="303030"/>
          <w:kern w:val="0"/>
          <w:sz w:val="36"/>
          <w:szCs w:val="36"/>
          <w:rtl/>
          <w:lang w:eastAsia="fr-FR" w:bidi="ar-DZ"/>
          <w14:ligatures w14:val="none"/>
        </w:rPr>
        <w:t xml:space="preserve"> </w:t>
      </w:r>
      <w:r w:rsidRPr="0060536C">
        <w:rPr>
          <w:rFonts w:ascii="Times New Roman" w:eastAsia="Times New Roman" w:hAnsi="Times New Roman" w:cs="Times New Roman" w:hint="cs"/>
          <w:b/>
          <w:bCs/>
          <w:color w:val="303030"/>
          <w:kern w:val="0"/>
          <w:sz w:val="36"/>
          <w:szCs w:val="36"/>
          <w:rtl/>
          <w:lang w:eastAsia="fr-FR" w:bidi="ar-DZ"/>
          <w14:ligatures w14:val="none"/>
        </w:rPr>
        <w:t>:</w:t>
      </w:r>
      <w:r w:rsidRPr="0060536C">
        <w:rPr>
          <w:rFonts w:ascii="Times New Roman" w:eastAsia="Times New Roman" w:hAnsi="Times New Roman" w:cs="Times New Roman"/>
          <w:b/>
          <w:bCs/>
          <w:color w:val="303030"/>
          <w:kern w:val="0"/>
          <w:sz w:val="36"/>
          <w:szCs w:val="36"/>
          <w:lang w:eastAsia="fr-FR" w:bidi="ar-DZ"/>
          <w14:ligatures w14:val="none"/>
        </w:rPr>
        <w:t xml:space="preserve"> English Abstract</w:t>
      </w:r>
    </w:p>
    <w:p w14:paraId="2D9C5AA9" w14:textId="77777777" w:rsidR="002033A5" w:rsidRPr="0060536C" w:rsidRDefault="002033A5" w:rsidP="002033A5">
      <w:pPr>
        <w:spacing w:line="276" w:lineRule="auto"/>
        <w:rPr>
          <w:rFonts w:ascii="Times New Roman" w:eastAsia="Times New Roman" w:hAnsi="Times New Roman" w:cs="Times New Roman"/>
          <w:b/>
          <w:bCs/>
          <w:color w:val="303030"/>
          <w:kern w:val="0"/>
          <w:sz w:val="36"/>
          <w:szCs w:val="36"/>
          <w:lang w:eastAsia="fr-FR" w:bidi="ar-DZ"/>
          <w14:ligatures w14:val="none"/>
        </w:rPr>
      </w:pPr>
      <w:r w:rsidRPr="0060536C">
        <w:rPr>
          <w:rFonts w:ascii="Times New Roman" w:eastAsia="Times New Roman" w:hAnsi="Times New Roman" w:cs="Times New Roman"/>
          <w:b/>
          <w:bCs/>
          <w:color w:val="303030"/>
          <w:kern w:val="0"/>
          <w:sz w:val="36"/>
          <w:szCs w:val="36"/>
          <w:lang w:eastAsia="fr-FR" w:bidi="ar-DZ"/>
          <w14:ligatures w14:val="none"/>
        </w:rPr>
        <w:t>This study centers on the electronic monitoring system (the electronic bracelet) as an innovative technological mechanism adopted by the Algerian legislator within modern penal policy. It aims to establish flexible and contemporary alternatives to short-term custodial sentences, thereby addressing the negative impacts of traditional incarceration, foremost among which are prison overcrowding and the isolation of convicted individuals. The core problem of this research lies in evaluating the effectiveness of this legal and procedural system in achieving a balance between the requirements of surveillance and deterrence on one hand, and the objectives of social reintegration for the convicted on the other.</w:t>
      </w:r>
    </w:p>
    <w:p w14:paraId="624ED245" w14:textId="77777777" w:rsidR="002033A5" w:rsidRPr="0060536C" w:rsidRDefault="002033A5" w:rsidP="002033A5">
      <w:pPr>
        <w:spacing w:line="276" w:lineRule="auto"/>
        <w:rPr>
          <w:rFonts w:ascii="Times New Roman" w:eastAsia="Times New Roman" w:hAnsi="Times New Roman" w:cs="Times New Roman"/>
          <w:b/>
          <w:bCs/>
          <w:color w:val="303030"/>
          <w:kern w:val="0"/>
          <w:sz w:val="36"/>
          <w:szCs w:val="36"/>
          <w:lang w:eastAsia="fr-FR" w:bidi="ar-DZ"/>
          <w14:ligatures w14:val="none"/>
        </w:rPr>
      </w:pPr>
    </w:p>
    <w:p w14:paraId="04E588D9" w14:textId="77777777" w:rsidR="002033A5" w:rsidRPr="0060536C" w:rsidRDefault="002033A5" w:rsidP="002033A5">
      <w:pPr>
        <w:spacing w:line="276" w:lineRule="auto"/>
        <w:rPr>
          <w:rFonts w:ascii="Times New Roman" w:eastAsia="Times New Roman" w:hAnsi="Times New Roman" w:cs="Times New Roman"/>
          <w:b/>
          <w:bCs/>
          <w:color w:val="303030"/>
          <w:kern w:val="0"/>
          <w:sz w:val="36"/>
          <w:szCs w:val="36"/>
          <w:lang w:eastAsia="fr-FR" w:bidi="ar-DZ"/>
          <w14:ligatures w14:val="none"/>
        </w:rPr>
      </w:pPr>
      <w:r w:rsidRPr="0060536C">
        <w:rPr>
          <w:rFonts w:ascii="Times New Roman" w:eastAsia="Times New Roman" w:hAnsi="Times New Roman" w:cs="Times New Roman"/>
          <w:b/>
          <w:bCs/>
          <w:color w:val="303030"/>
          <w:kern w:val="0"/>
          <w:sz w:val="36"/>
          <w:szCs w:val="36"/>
          <w:lang w:eastAsia="fr-FR" w:bidi="ar-DZ"/>
          <w14:ligatures w14:val="none"/>
        </w:rPr>
        <w:lastRenderedPageBreak/>
        <w:t xml:space="preserve">Through tracing the historical roots of the system, from its inception in comparative jurisdictions to its adoption in Algeria, the study concludes that electronic monitoring possesses a dual and flexible legal nature depending on the procedural stage. It can be considered a mechanism of judicial investigation and a precautionary measure falling under the jurisdiction of the "Investigating Judge" (Juge </w:t>
      </w:r>
      <w:proofErr w:type="spellStart"/>
      <w:r w:rsidRPr="0060536C">
        <w:rPr>
          <w:rFonts w:ascii="Times New Roman" w:eastAsia="Times New Roman" w:hAnsi="Times New Roman" w:cs="Times New Roman"/>
          <w:b/>
          <w:bCs/>
          <w:color w:val="303030"/>
          <w:kern w:val="0"/>
          <w:sz w:val="36"/>
          <w:szCs w:val="36"/>
          <w:lang w:eastAsia="fr-FR" w:bidi="ar-DZ"/>
          <w14:ligatures w14:val="none"/>
        </w:rPr>
        <w:t>d'instruction</w:t>
      </w:r>
      <w:proofErr w:type="spellEnd"/>
      <w:r w:rsidRPr="0060536C">
        <w:rPr>
          <w:rFonts w:ascii="Times New Roman" w:eastAsia="Times New Roman" w:hAnsi="Times New Roman" w:cs="Times New Roman"/>
          <w:b/>
          <w:bCs/>
          <w:color w:val="303030"/>
          <w:kern w:val="0"/>
          <w:sz w:val="36"/>
          <w:szCs w:val="36"/>
          <w:lang w:eastAsia="fr-FR" w:bidi="ar-DZ"/>
          <w14:ligatures w14:val="none"/>
        </w:rPr>
        <w:t>) as a flexible alternative to pre-trial detention (in accordance with Article 198 of the Code of Criminal Procedure). Conversely, it transitions into an "alternative penalty" or an innovative means of penal execution falling under the jurisdiction of the "Trial Judge" following a final judicial conviction, thereby granting the judicial system broader options for the individualization of punishment in alignment with the offender's personality.</w:t>
      </w:r>
    </w:p>
    <w:p w14:paraId="74BF8FE5" w14:textId="77777777" w:rsidR="002033A5" w:rsidRPr="0060536C" w:rsidRDefault="002033A5" w:rsidP="002033A5">
      <w:pPr>
        <w:spacing w:line="276" w:lineRule="auto"/>
        <w:rPr>
          <w:rFonts w:ascii="Times New Roman" w:eastAsia="Times New Roman" w:hAnsi="Times New Roman" w:cs="Times New Roman"/>
          <w:b/>
          <w:bCs/>
          <w:color w:val="303030"/>
          <w:kern w:val="0"/>
          <w:sz w:val="36"/>
          <w:szCs w:val="36"/>
          <w:lang w:eastAsia="fr-FR" w:bidi="ar-DZ"/>
          <w14:ligatures w14:val="none"/>
        </w:rPr>
      </w:pPr>
    </w:p>
    <w:p w14:paraId="740044B1" w14:textId="77777777" w:rsidR="002033A5" w:rsidRPr="0060536C" w:rsidRDefault="002033A5" w:rsidP="002033A5">
      <w:pPr>
        <w:spacing w:line="276" w:lineRule="auto"/>
        <w:rPr>
          <w:rFonts w:ascii="Times New Roman" w:eastAsia="Times New Roman" w:hAnsi="Times New Roman" w:cs="Times New Roman"/>
          <w:b/>
          <w:bCs/>
          <w:color w:val="303030"/>
          <w:kern w:val="0"/>
          <w:sz w:val="36"/>
          <w:szCs w:val="36"/>
          <w:lang w:eastAsia="fr-FR" w:bidi="ar-DZ"/>
          <w14:ligatures w14:val="none"/>
        </w:rPr>
      </w:pPr>
      <w:r w:rsidRPr="0060536C">
        <w:rPr>
          <w:rFonts w:ascii="Times New Roman" w:eastAsia="Times New Roman" w:hAnsi="Times New Roman" w:cs="Times New Roman"/>
          <w:b/>
          <w:bCs/>
          <w:color w:val="303030"/>
          <w:kern w:val="0"/>
          <w:sz w:val="36"/>
          <w:szCs w:val="36"/>
          <w:lang w:eastAsia="fr-FR" w:bidi="ar-DZ"/>
          <w14:ligatures w14:val="none"/>
        </w:rPr>
        <w:t>Furthermore, the research analyzes the stringent conditions established by the Algerian legislator for the application of the electronic bracelet pursuant to the new amendment 24-06. The scope of its application is restricted to misdemeanors and infractions (such as cybercrime and simple theft), provided that the legally prescribed penalty for the offense does not exceed five years of imprisonment, and the pronounced sentence does not exceed three years, while strictly requiring the explicit consent of the convicted individual and the availability of a fixed and known residence.</w:t>
      </w:r>
    </w:p>
    <w:p w14:paraId="495827EC" w14:textId="77777777" w:rsidR="002033A5" w:rsidRPr="0060536C" w:rsidRDefault="002033A5" w:rsidP="002033A5">
      <w:pPr>
        <w:spacing w:line="276" w:lineRule="auto"/>
        <w:rPr>
          <w:rFonts w:ascii="Times New Roman" w:eastAsia="Times New Roman" w:hAnsi="Times New Roman" w:cs="Times New Roman"/>
          <w:b/>
          <w:bCs/>
          <w:color w:val="303030"/>
          <w:kern w:val="0"/>
          <w:sz w:val="36"/>
          <w:szCs w:val="36"/>
          <w:lang w:eastAsia="fr-FR" w:bidi="ar-DZ"/>
          <w14:ligatures w14:val="none"/>
        </w:rPr>
      </w:pPr>
    </w:p>
    <w:p w14:paraId="1EEC92FA" w14:textId="560058AF" w:rsidR="002033A5" w:rsidRPr="0060536C" w:rsidRDefault="002033A5" w:rsidP="002033A5">
      <w:pPr>
        <w:spacing w:line="276" w:lineRule="auto"/>
        <w:rPr>
          <w:rFonts w:ascii="Times New Roman" w:eastAsia="Times New Roman" w:hAnsi="Times New Roman" w:cs="Times New Roman"/>
          <w:b/>
          <w:bCs/>
          <w:color w:val="303030"/>
          <w:kern w:val="0"/>
          <w:sz w:val="36"/>
          <w:szCs w:val="36"/>
          <w:rtl/>
          <w:lang w:eastAsia="fr-FR" w:bidi="ar-DZ"/>
          <w14:ligatures w14:val="none"/>
        </w:rPr>
      </w:pPr>
      <w:r w:rsidRPr="0060536C">
        <w:rPr>
          <w:rFonts w:ascii="Times New Roman" w:eastAsia="Times New Roman" w:hAnsi="Times New Roman" w:cs="Times New Roman"/>
          <w:b/>
          <w:bCs/>
          <w:color w:val="303030"/>
          <w:kern w:val="0"/>
          <w:sz w:val="36"/>
          <w:szCs w:val="36"/>
          <w:lang w:eastAsia="fr-FR" w:bidi="ar-DZ"/>
          <w14:ligatures w14:val="none"/>
        </w:rPr>
        <w:lastRenderedPageBreak/>
        <w:t>In contrast, the study highlights the framework of constitutional and legal guarantees surrounding the beneficiary, which balance the effectiveness of punishment with the preservation of fundamental rights. These include the guarantee of the right to dignity and physical integrity, the protection of privacy, and the sanctity of the domicile by prohibiting wiretapping or photographic functions and limiting the device strictly to geographic tracking (GPS). Additionally, it enables the beneficiary to practice their normal life in employment and education, while granting them the right to judicially appeal a refusal before the Sanction Classification Committee. This dissertation relies on the descriptive-analytical approach complemented by a comparative approach, reviewing certain field obstacles, notably the novelty of the Algerian legislative framework in this domain, the scarcity of local specialized procedural literature, and the difficulty of obtaining official statistical data.</w:t>
      </w:r>
    </w:p>
    <w:p w14:paraId="5A119226" w14:textId="718F3B8D" w:rsidR="00A11685" w:rsidRPr="00A11685" w:rsidRDefault="00A11685" w:rsidP="00A11685">
      <w:pPr>
        <w:spacing w:line="276" w:lineRule="auto"/>
        <w:jc w:val="right"/>
        <w:rPr>
          <w:rFonts w:ascii="Times New Roman" w:eastAsia="Times New Roman" w:hAnsi="Times New Roman" w:cs="Times New Roman"/>
          <w:b/>
          <w:bCs/>
          <w:color w:val="303030"/>
          <w:kern w:val="0"/>
          <w:sz w:val="36"/>
          <w:szCs w:val="36"/>
          <w:rtl/>
          <w:lang w:eastAsia="fr-FR" w:bidi="ar-DZ"/>
          <w14:ligatures w14:val="none"/>
        </w:rPr>
      </w:pPr>
      <w:r w:rsidRPr="00A11685">
        <w:rPr>
          <w:rFonts w:ascii="Times New Roman" w:eastAsia="Times New Roman" w:hAnsi="Times New Roman" w:cs="Times New Roman" w:hint="cs"/>
          <w:b/>
          <w:bCs/>
          <w:color w:val="303030"/>
          <w:kern w:val="0"/>
          <w:sz w:val="36"/>
          <w:szCs w:val="36"/>
          <w:rtl/>
          <w:lang w:eastAsia="fr-FR" w:bidi="ar-DZ"/>
          <w14:ligatures w14:val="none"/>
        </w:rPr>
        <w:t xml:space="preserve">    ملخص الدراسة الاقتصادية </w:t>
      </w:r>
      <w:proofErr w:type="spellStart"/>
      <w:r w:rsidRPr="00A11685">
        <w:rPr>
          <w:rFonts w:ascii="Times New Roman" w:eastAsia="Times New Roman" w:hAnsi="Times New Roman" w:cs="Times New Roman" w:hint="cs"/>
          <w:b/>
          <w:bCs/>
          <w:color w:val="303030"/>
          <w:kern w:val="0"/>
          <w:sz w:val="36"/>
          <w:szCs w:val="36"/>
          <w:rtl/>
          <w:lang w:eastAsia="fr-FR" w:bidi="ar-DZ"/>
          <w14:ligatures w14:val="none"/>
        </w:rPr>
        <w:t>لأكادمية</w:t>
      </w:r>
      <w:proofErr w:type="spellEnd"/>
      <w:r w:rsidRPr="00A11685">
        <w:rPr>
          <w:rFonts w:ascii="Times New Roman" w:eastAsia="Times New Roman" w:hAnsi="Times New Roman" w:cs="Times New Roman" w:hint="cs"/>
          <w:b/>
          <w:bCs/>
          <w:color w:val="303030"/>
          <w:kern w:val="0"/>
          <w:sz w:val="36"/>
          <w:szCs w:val="36"/>
          <w:rtl/>
          <w:lang w:eastAsia="fr-FR" w:bidi="ar-DZ"/>
          <w14:ligatures w14:val="none"/>
        </w:rPr>
        <w:t xml:space="preserve"> المتميز:</w:t>
      </w:r>
    </w:p>
    <w:p w14:paraId="48234FC7" w14:textId="67DB4B51" w:rsidR="008672C3" w:rsidRPr="002033A5" w:rsidRDefault="00A11685" w:rsidP="00A11685">
      <w:pPr>
        <w:spacing w:line="276" w:lineRule="auto"/>
        <w:jc w:val="right"/>
        <w:rPr>
          <w:rFonts w:ascii="Times New Roman" w:eastAsia="Times New Roman" w:hAnsi="Times New Roman" w:cs="Times New Roman"/>
          <w:b/>
          <w:bCs/>
          <w:color w:val="303030"/>
          <w:kern w:val="0"/>
          <w:sz w:val="36"/>
          <w:szCs w:val="36"/>
          <w:rtl/>
          <w:lang w:eastAsia="fr-FR" w:bidi="ar-DZ"/>
          <w14:ligatures w14:val="none"/>
        </w:rPr>
      </w:pPr>
      <w:r w:rsidRPr="002033A5">
        <w:rPr>
          <w:rFonts w:ascii="Times New Roman" w:eastAsia="Times New Roman" w:hAnsi="Times New Roman" w:cs="Times New Roman" w:hint="cs"/>
          <w:b/>
          <w:bCs/>
          <w:color w:val="303030"/>
          <w:kern w:val="0"/>
          <w:sz w:val="36"/>
          <w:szCs w:val="36"/>
          <w:rtl/>
          <w:lang w:eastAsia="fr-FR" w:bidi="ar-DZ"/>
          <w14:ligatures w14:val="none"/>
        </w:rPr>
        <w:t xml:space="preserve"> </w:t>
      </w:r>
      <w:r w:rsidR="002033A5">
        <w:rPr>
          <w:rFonts w:ascii="Times New Roman" w:eastAsia="Times New Roman" w:hAnsi="Times New Roman" w:cs="Times New Roman" w:hint="cs"/>
          <w:b/>
          <w:bCs/>
          <w:color w:val="303030"/>
          <w:kern w:val="0"/>
          <w:sz w:val="36"/>
          <w:szCs w:val="36"/>
          <w:rtl/>
          <w:lang w:eastAsia="fr-FR" w:bidi="ar-DZ"/>
          <w14:ligatures w14:val="none"/>
        </w:rPr>
        <w:t xml:space="preserve">      </w:t>
      </w:r>
      <w:r w:rsidRPr="002033A5">
        <w:rPr>
          <w:rFonts w:ascii="Times New Roman" w:eastAsia="Times New Roman" w:hAnsi="Times New Roman" w:cs="Times New Roman"/>
          <w:b/>
          <w:bCs/>
          <w:color w:val="303030"/>
          <w:kern w:val="0"/>
          <w:sz w:val="36"/>
          <w:szCs w:val="36"/>
          <w:rtl/>
          <w:lang w:eastAsia="fr-FR" w:bidi="ar-DZ"/>
          <w14:ligatures w14:val="none"/>
        </w:rPr>
        <w:t xml:space="preserve">تعد أكاديمية المتميز مؤسسة اقتصادية مصغرة رائدة، ناشئة ضمن إطار القرار الوزاري 1275، ومتخصصة في قطاع التعليم الخاص والتكوين القانوني المسرّع على مستوى ولاية الأغواط، حيث تهدف بصفة أساسية إلى تمكين تلاميذ الأطوار التعليمية الثلاثة من تحقيق نتائج مدرسية عالية ومتميزة من خلال تقديم دروس دعم بيداغوجي شاملة تستهدف التفوق المعرفي، إلى جانب سعيها الجوهري لسد الفجوة القائمة بين الجانبين النظري والتطبيقي في مجال الحقوق عبر ابتكارات بيداغوجية فريدة من نوعها تتضمن إطلاق "قاعة محاكاة للمحاكمات الصورية" و"عيادة قانونية افتراضية". وتستهدف المؤسسة في رؤيتها شرائح مجتمعية متنوعة تشمل تلاميذ المدارس، وطلبة الحقوق </w:t>
      </w:r>
      <w:r w:rsidRPr="002033A5">
        <w:rPr>
          <w:rFonts w:ascii="Times New Roman" w:eastAsia="Times New Roman" w:hAnsi="Times New Roman" w:cs="Times New Roman"/>
          <w:b/>
          <w:bCs/>
          <w:color w:val="303030"/>
          <w:kern w:val="0"/>
          <w:sz w:val="36"/>
          <w:szCs w:val="36"/>
          <w:rtl/>
          <w:lang w:eastAsia="fr-FR" w:bidi="ar-DZ"/>
          <w14:ligatures w14:val="none"/>
        </w:rPr>
        <w:lastRenderedPageBreak/>
        <w:t xml:space="preserve">الساعيين لرفع كفاءتهم العلمية، والخريجين الراغبين في التحضير الجاد لمسابقات القضاء والمحاماة، وصولاً إلى عامة المجتمع بهدف نشر الثقافة القانونية الوقائية، معززةً هذا الوصول عبر منصة رقمية تفاعلية تقدم استشارات ذكية وتعليماً موجهاً وبثاً مباشراً للمحاضرات يخدم الزبائن داخل الولاية وخارجها. وتستند الأكاديمية في تشغيلها إلى كفاءات بشرية متخصصة ومؤهلة؛ إذ يدار هذا المشروع الطموح من طرف حنيش شهرزاد </w:t>
      </w:r>
      <w:proofErr w:type="spellStart"/>
      <w:r w:rsidRPr="002033A5">
        <w:rPr>
          <w:rFonts w:ascii="Times New Roman" w:eastAsia="Times New Roman" w:hAnsi="Times New Roman" w:cs="Times New Roman"/>
          <w:b/>
          <w:bCs/>
          <w:color w:val="303030"/>
          <w:kern w:val="0"/>
          <w:sz w:val="36"/>
          <w:szCs w:val="36"/>
          <w:rtl/>
          <w:lang w:eastAsia="fr-FR" w:bidi="ar-DZ"/>
          <w14:ligatures w14:val="none"/>
        </w:rPr>
        <w:t>وزروالة</w:t>
      </w:r>
      <w:proofErr w:type="spellEnd"/>
      <w:r w:rsidRPr="002033A5">
        <w:rPr>
          <w:rFonts w:ascii="Times New Roman" w:eastAsia="Times New Roman" w:hAnsi="Times New Roman" w:cs="Times New Roman"/>
          <w:b/>
          <w:bCs/>
          <w:color w:val="303030"/>
          <w:kern w:val="0"/>
          <w:sz w:val="36"/>
          <w:szCs w:val="36"/>
          <w:rtl/>
          <w:lang w:eastAsia="fr-FR" w:bidi="ar-DZ"/>
          <w14:ligatures w14:val="none"/>
        </w:rPr>
        <w:t xml:space="preserve"> محمد يوسف المتمكنين في التشريعات الإدارية والجنائية، وبمعاونة طاقم تدريسي متميز يضم ممارسين ميدانيين من قضاة ومحامين وأساتذة جامعيين لضمان أعلى مستويات الجودة التطبيقية. أما من الناحية المالية، فيبلغ حجم الاستثمار الإجمالي للمشروع 2,700,000 دج، وسط توقعات واعدة بتحقيق رقم أعمال يصل إلى 6,500,000 دج وصافي دخل قدره 1,766,000 دج خلال السنة الأولى من النشاط، لتتجلى بذلك القيمة الاستراتيجية الكبرى للمشروع في قدرته العالية على الجمع بين الربحية الاقتصادية والمسؤولية الاجتماعية، مساهماً بفعالية في امتصاص بطالة الخريجين ودعم السياسة الجنائية الاستباقية للدولة من خلال تأسيس جيل واعٍ ومثقف قانونياً يساهم بشكل مباشر في الحد من الجريمة والتقليل من النزاعات </w:t>
      </w:r>
      <w:r w:rsidRPr="0060536C">
        <w:rPr>
          <w:rFonts w:ascii="Times New Roman" w:eastAsia="Times New Roman" w:hAnsi="Times New Roman" w:cs="Times New Roman"/>
          <w:color w:val="303030"/>
          <w:kern w:val="0"/>
          <w:sz w:val="36"/>
          <w:szCs w:val="36"/>
          <w:rtl/>
          <w:lang w:eastAsia="fr-FR" w:bidi="ar-DZ"/>
          <w14:ligatures w14:val="none"/>
        </w:rPr>
        <w:t>القضائية</w:t>
      </w:r>
      <w:r w:rsidRPr="002033A5">
        <w:rPr>
          <w:rFonts w:ascii="Times New Roman" w:eastAsia="Times New Roman" w:hAnsi="Times New Roman" w:cs="Times New Roman" w:hint="cs"/>
          <w:b/>
          <w:bCs/>
          <w:color w:val="303030"/>
          <w:kern w:val="0"/>
          <w:sz w:val="36"/>
          <w:szCs w:val="36"/>
          <w:rtl/>
          <w:lang w:eastAsia="fr-FR" w:bidi="ar-DZ"/>
          <w14:ligatures w14:val="none"/>
        </w:rPr>
        <w:t>.</w:t>
      </w:r>
    </w:p>
    <w:p w14:paraId="33CC140B" w14:textId="4A3114BC" w:rsidR="0018645C" w:rsidRDefault="0018645C" w:rsidP="0018645C">
      <w:pPr>
        <w:bidi/>
        <w:spacing w:line="276" w:lineRule="auto"/>
        <w:jc w:val="right"/>
        <w:rPr>
          <w:rFonts w:ascii="Simplified Arabic" w:hAnsi="Simplified Arabic" w:cs="Simplified Arabic"/>
          <w:color w:val="000000"/>
          <w:sz w:val="28"/>
          <w:szCs w:val="28"/>
          <w:rtl/>
        </w:rPr>
      </w:pPr>
      <w:r>
        <w:rPr>
          <w:rFonts w:ascii="Simplified Arabic" w:hAnsi="Simplified Arabic" w:cs="Simplified Arabic" w:hint="cs"/>
          <w:b/>
          <w:bCs/>
          <w:color w:val="000000"/>
          <w:sz w:val="28"/>
          <w:szCs w:val="28"/>
          <w:rtl/>
        </w:rPr>
        <w:t>:</w:t>
      </w:r>
      <w:r w:rsidRPr="0018645C">
        <w:rPr>
          <w:rFonts w:ascii="Simplified Arabic" w:hAnsi="Simplified Arabic" w:cs="Simplified Arabic"/>
          <w:b/>
          <w:bCs/>
          <w:color w:val="000000"/>
          <w:sz w:val="28"/>
          <w:szCs w:val="28"/>
          <w:lang w:val="en-US"/>
        </w:rPr>
        <w:t xml:space="preserve"> </w:t>
      </w:r>
      <w:r w:rsidRPr="0018645C">
        <w:rPr>
          <w:rFonts w:ascii="Simplified Arabic" w:hAnsi="Simplified Arabic" w:cs="Simplified Arabic"/>
          <w:b/>
          <w:bCs/>
          <w:color w:val="000000"/>
          <w:sz w:val="28"/>
          <w:szCs w:val="28"/>
          <w:lang w:val="en-US"/>
        </w:rPr>
        <w:t>English Abstract</w:t>
      </w:r>
    </w:p>
    <w:p w14:paraId="19418751" w14:textId="712780BC" w:rsidR="00A11685" w:rsidRPr="0018645C" w:rsidRDefault="0018645C" w:rsidP="00A11685">
      <w:pPr>
        <w:spacing w:line="276" w:lineRule="auto"/>
        <w:jc w:val="right"/>
        <w:rPr>
          <w:rFonts w:ascii="Simplified Arabic Fixed" w:hAnsi="Simplified Arabic Fixed" w:cs="Simplified Arabic Fixed" w:hint="cs"/>
          <w:sz w:val="32"/>
          <w:szCs w:val="32"/>
          <w:lang w:val="en-US" w:bidi="ar-DZ"/>
        </w:rPr>
      </w:pPr>
      <w:r w:rsidRPr="0018645C">
        <w:rPr>
          <w:rFonts w:ascii="Simplified Arabic" w:hAnsi="Simplified Arabic" w:cs="Simplified Arabic"/>
          <w:color w:val="000000"/>
          <w:sz w:val="28"/>
          <w:szCs w:val="28"/>
          <w:lang w:val="en-US"/>
        </w:rPr>
        <w:t>Al-</w:t>
      </w:r>
      <w:proofErr w:type="spellStart"/>
      <w:r w:rsidRPr="0018645C">
        <w:rPr>
          <w:rFonts w:ascii="Simplified Arabic" w:hAnsi="Simplified Arabic" w:cs="Simplified Arabic"/>
          <w:color w:val="000000"/>
          <w:sz w:val="28"/>
          <w:szCs w:val="28"/>
          <w:lang w:val="en-US"/>
        </w:rPr>
        <w:t>Motamayez</w:t>
      </w:r>
      <w:proofErr w:type="spellEnd"/>
      <w:r w:rsidRPr="0018645C">
        <w:rPr>
          <w:rFonts w:ascii="Simplified Arabic" w:hAnsi="Simplified Arabic" w:cs="Simplified Arabic"/>
          <w:color w:val="000000"/>
          <w:sz w:val="28"/>
          <w:szCs w:val="28"/>
          <w:lang w:val="en-US"/>
        </w:rPr>
        <w:t xml:space="preserve"> Academy is a leading micro-economic enterprise and a startup established under Ministerial Decree 1275, specializing in private education and accelerated legal training within the Wilaya of </w:t>
      </w:r>
      <w:proofErr w:type="spellStart"/>
      <w:r w:rsidRPr="0018645C">
        <w:rPr>
          <w:rFonts w:ascii="Simplified Arabic" w:hAnsi="Simplified Arabic" w:cs="Simplified Arabic"/>
          <w:color w:val="000000"/>
          <w:sz w:val="28"/>
          <w:szCs w:val="28"/>
          <w:lang w:val="en-US"/>
        </w:rPr>
        <w:t>Laghouat</w:t>
      </w:r>
      <w:proofErr w:type="spellEnd"/>
      <w:r w:rsidRPr="0018645C">
        <w:rPr>
          <w:rFonts w:ascii="Simplified Arabic" w:hAnsi="Simplified Arabic" w:cs="Simplified Arabic"/>
          <w:color w:val="000000"/>
          <w:sz w:val="28"/>
          <w:szCs w:val="28"/>
          <w:lang w:val="en-US"/>
        </w:rPr>
        <w:t xml:space="preserve">. The academy primarily aims to enable students across all three educational levels to achieve high and outstanding academic results by providing comprehensive pedagogical support classes geared toward cognitive excellence. Concurrently, it fundamentally seeks to bridge the gap between theoretical and practical aspects in the field of law through unique pedagogical innovations, including the launching of a "Moot Court Simulation Room" and a "Virtual Legal Clinic." In its vision, the institution targets diverse social segments, including school </w:t>
      </w:r>
      <w:r w:rsidRPr="0018645C">
        <w:rPr>
          <w:rFonts w:ascii="Simplified Arabic" w:hAnsi="Simplified Arabic" w:cs="Simplified Arabic"/>
          <w:color w:val="000000"/>
          <w:sz w:val="28"/>
          <w:szCs w:val="28"/>
          <w:lang w:val="en-US"/>
        </w:rPr>
        <w:lastRenderedPageBreak/>
        <w:t xml:space="preserve">students, law students seeking to enhance their academic competence, and graduates wishing to rigorously prepare for judicial and bar examinations, extending to the general public to promote preventive legal literacy. The academy further expands its reach through an interactive digital platform that offers smart consultations, targeted education, and live-streamed lectures serving clients both within and outside the province. In its operations, the academy relies on specialized and qualified human resources; this ambitious project is managed by </w:t>
      </w:r>
      <w:proofErr w:type="spellStart"/>
      <w:r w:rsidRPr="0018645C">
        <w:rPr>
          <w:rFonts w:ascii="Simplified Arabic" w:hAnsi="Simplified Arabic" w:cs="Simplified Arabic"/>
          <w:color w:val="000000"/>
          <w:sz w:val="28"/>
          <w:szCs w:val="28"/>
          <w:lang w:val="en-US"/>
        </w:rPr>
        <w:t>Haneish</w:t>
      </w:r>
      <w:proofErr w:type="spellEnd"/>
      <w:r w:rsidRPr="0018645C">
        <w:rPr>
          <w:rFonts w:ascii="Simplified Arabic" w:hAnsi="Simplified Arabic" w:cs="Simplified Arabic"/>
          <w:color w:val="000000"/>
          <w:sz w:val="28"/>
          <w:szCs w:val="28"/>
          <w:lang w:val="en-US"/>
        </w:rPr>
        <w:t xml:space="preserve"> Shahrazad and </w:t>
      </w:r>
      <w:proofErr w:type="spellStart"/>
      <w:r w:rsidRPr="0018645C">
        <w:rPr>
          <w:rFonts w:ascii="Simplified Arabic" w:hAnsi="Simplified Arabic" w:cs="Simplified Arabic"/>
          <w:color w:val="000000"/>
          <w:sz w:val="28"/>
          <w:szCs w:val="28"/>
          <w:lang w:val="en-US"/>
        </w:rPr>
        <w:t>Zerouala</w:t>
      </w:r>
      <w:proofErr w:type="spellEnd"/>
      <w:r w:rsidRPr="0018645C">
        <w:rPr>
          <w:rFonts w:ascii="Simplified Arabic" w:hAnsi="Simplified Arabic" w:cs="Simplified Arabic"/>
          <w:color w:val="000000"/>
          <w:sz w:val="28"/>
          <w:szCs w:val="28"/>
          <w:lang w:val="en-US"/>
        </w:rPr>
        <w:t xml:space="preserve"> Mohamed Youcef, both highly proficient in administrative and criminal legislation, and is supported by a distinguished teaching staff comprising field practitioners including judges, lawyers, and university professors to ensure the highest standards of practical quality. Financially, the total investment for the project amounts to 2,700,000 DZD, with promising projections to achieve a turnover of 6,500,000 DZD and a net income of 1,766,000 DZD during its first year of operation. Consequently, the major strategic value of the project lies in its high capacity to combine economic profitability with social responsibility, contributing effectively to absorbing graduate unemployment and supporting the state's proactive criminal policy by fostering a legally conscious and educated generation that directly participates in reducing crime and judicial disputes.</w:t>
      </w:r>
    </w:p>
    <w:sectPr w:rsidR="00A11685" w:rsidRPr="0018645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Simplified Arabic Fixed">
    <w:panose1 w:val="02070309020205020404"/>
    <w:charset w:val="00"/>
    <w:family w:val="modern"/>
    <w:pitch w:val="fixed"/>
    <w:sig w:usb0="00002003" w:usb1="00000000" w:usb2="00000008" w:usb3="00000000" w:csb0="0000004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4B65EF"/>
    <w:multiLevelType w:val="hybridMultilevel"/>
    <w:tmpl w:val="8EF27B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504922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49AF"/>
    <w:rsid w:val="0018645C"/>
    <w:rsid w:val="001F49AF"/>
    <w:rsid w:val="002033A5"/>
    <w:rsid w:val="00371C21"/>
    <w:rsid w:val="00473B07"/>
    <w:rsid w:val="0060536C"/>
    <w:rsid w:val="008672C3"/>
    <w:rsid w:val="00A1168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ED3C5A"/>
  <w15:chartTrackingRefBased/>
  <w15:docId w15:val="{8F9451F8-6150-41DE-9475-FB3A04B95D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Char"/>
    <w:uiPriority w:val="9"/>
    <w:qFormat/>
    <w:rsid w:val="001F49A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Char"/>
    <w:uiPriority w:val="9"/>
    <w:semiHidden/>
    <w:unhideWhenUsed/>
    <w:qFormat/>
    <w:rsid w:val="001F49A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semiHidden/>
    <w:unhideWhenUsed/>
    <w:qFormat/>
    <w:rsid w:val="001F49AF"/>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Char"/>
    <w:uiPriority w:val="9"/>
    <w:semiHidden/>
    <w:unhideWhenUsed/>
    <w:qFormat/>
    <w:rsid w:val="001F49AF"/>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1F49AF"/>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1F49AF"/>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1F49AF"/>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1F49AF"/>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1F49AF"/>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1F49AF"/>
    <w:rPr>
      <w:rFonts w:asciiTheme="majorHAnsi" w:eastAsiaTheme="majorEastAsia" w:hAnsiTheme="majorHAnsi" w:cstheme="majorBidi"/>
      <w:color w:val="2F5496" w:themeColor="accent1" w:themeShade="BF"/>
      <w:sz w:val="40"/>
      <w:szCs w:val="40"/>
    </w:rPr>
  </w:style>
  <w:style w:type="character" w:customStyle="1" w:styleId="2Char">
    <w:name w:val="عنوان 2 Char"/>
    <w:basedOn w:val="a0"/>
    <w:link w:val="2"/>
    <w:uiPriority w:val="9"/>
    <w:semiHidden/>
    <w:rsid w:val="001F49AF"/>
    <w:rPr>
      <w:rFonts w:asciiTheme="majorHAnsi" w:eastAsiaTheme="majorEastAsia" w:hAnsiTheme="majorHAnsi" w:cstheme="majorBidi"/>
      <w:color w:val="2F5496" w:themeColor="accent1" w:themeShade="BF"/>
      <w:sz w:val="32"/>
      <w:szCs w:val="32"/>
    </w:rPr>
  </w:style>
  <w:style w:type="character" w:customStyle="1" w:styleId="3Char">
    <w:name w:val="عنوان 3 Char"/>
    <w:basedOn w:val="a0"/>
    <w:link w:val="3"/>
    <w:uiPriority w:val="9"/>
    <w:semiHidden/>
    <w:rsid w:val="001F49AF"/>
    <w:rPr>
      <w:rFonts w:eastAsiaTheme="majorEastAsia" w:cstheme="majorBidi"/>
      <w:color w:val="2F5496" w:themeColor="accent1" w:themeShade="BF"/>
      <w:sz w:val="28"/>
      <w:szCs w:val="28"/>
    </w:rPr>
  </w:style>
  <w:style w:type="character" w:customStyle="1" w:styleId="4Char">
    <w:name w:val="عنوان 4 Char"/>
    <w:basedOn w:val="a0"/>
    <w:link w:val="4"/>
    <w:uiPriority w:val="9"/>
    <w:semiHidden/>
    <w:rsid w:val="001F49AF"/>
    <w:rPr>
      <w:rFonts w:eastAsiaTheme="majorEastAsia" w:cstheme="majorBidi"/>
      <w:i/>
      <w:iCs/>
      <w:color w:val="2F5496" w:themeColor="accent1" w:themeShade="BF"/>
    </w:rPr>
  </w:style>
  <w:style w:type="character" w:customStyle="1" w:styleId="5Char">
    <w:name w:val="عنوان 5 Char"/>
    <w:basedOn w:val="a0"/>
    <w:link w:val="5"/>
    <w:uiPriority w:val="9"/>
    <w:semiHidden/>
    <w:rsid w:val="001F49AF"/>
    <w:rPr>
      <w:rFonts w:eastAsiaTheme="majorEastAsia" w:cstheme="majorBidi"/>
      <w:color w:val="2F5496" w:themeColor="accent1" w:themeShade="BF"/>
    </w:rPr>
  </w:style>
  <w:style w:type="character" w:customStyle="1" w:styleId="6Char">
    <w:name w:val="عنوان 6 Char"/>
    <w:basedOn w:val="a0"/>
    <w:link w:val="6"/>
    <w:uiPriority w:val="9"/>
    <w:semiHidden/>
    <w:rsid w:val="001F49AF"/>
    <w:rPr>
      <w:rFonts w:eastAsiaTheme="majorEastAsia" w:cstheme="majorBidi"/>
      <w:i/>
      <w:iCs/>
      <w:color w:val="595959" w:themeColor="text1" w:themeTint="A6"/>
    </w:rPr>
  </w:style>
  <w:style w:type="character" w:customStyle="1" w:styleId="7Char">
    <w:name w:val="عنوان 7 Char"/>
    <w:basedOn w:val="a0"/>
    <w:link w:val="7"/>
    <w:uiPriority w:val="9"/>
    <w:semiHidden/>
    <w:rsid w:val="001F49AF"/>
    <w:rPr>
      <w:rFonts w:eastAsiaTheme="majorEastAsia" w:cstheme="majorBidi"/>
      <w:color w:val="595959" w:themeColor="text1" w:themeTint="A6"/>
    </w:rPr>
  </w:style>
  <w:style w:type="character" w:customStyle="1" w:styleId="8Char">
    <w:name w:val="عنوان 8 Char"/>
    <w:basedOn w:val="a0"/>
    <w:link w:val="8"/>
    <w:uiPriority w:val="9"/>
    <w:semiHidden/>
    <w:rsid w:val="001F49AF"/>
    <w:rPr>
      <w:rFonts w:eastAsiaTheme="majorEastAsia" w:cstheme="majorBidi"/>
      <w:i/>
      <w:iCs/>
      <w:color w:val="272727" w:themeColor="text1" w:themeTint="D8"/>
    </w:rPr>
  </w:style>
  <w:style w:type="character" w:customStyle="1" w:styleId="9Char">
    <w:name w:val="عنوان 9 Char"/>
    <w:basedOn w:val="a0"/>
    <w:link w:val="9"/>
    <w:uiPriority w:val="9"/>
    <w:semiHidden/>
    <w:rsid w:val="001F49AF"/>
    <w:rPr>
      <w:rFonts w:eastAsiaTheme="majorEastAsia" w:cstheme="majorBidi"/>
      <w:color w:val="272727" w:themeColor="text1" w:themeTint="D8"/>
    </w:rPr>
  </w:style>
  <w:style w:type="paragraph" w:styleId="a3">
    <w:name w:val="Title"/>
    <w:basedOn w:val="a"/>
    <w:next w:val="a"/>
    <w:link w:val="Char"/>
    <w:uiPriority w:val="10"/>
    <w:qFormat/>
    <w:rsid w:val="001F49A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1F49AF"/>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1F49AF"/>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1F49AF"/>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1F49AF"/>
    <w:pPr>
      <w:spacing w:before="160"/>
      <w:jc w:val="center"/>
    </w:pPr>
    <w:rPr>
      <w:i/>
      <w:iCs/>
      <w:color w:val="404040" w:themeColor="text1" w:themeTint="BF"/>
    </w:rPr>
  </w:style>
  <w:style w:type="character" w:customStyle="1" w:styleId="Char1">
    <w:name w:val="اقتباس Char"/>
    <w:basedOn w:val="a0"/>
    <w:link w:val="a5"/>
    <w:uiPriority w:val="29"/>
    <w:rsid w:val="001F49AF"/>
    <w:rPr>
      <w:i/>
      <w:iCs/>
      <w:color w:val="404040" w:themeColor="text1" w:themeTint="BF"/>
    </w:rPr>
  </w:style>
  <w:style w:type="paragraph" w:styleId="a6">
    <w:name w:val="List Paragraph"/>
    <w:basedOn w:val="a"/>
    <w:uiPriority w:val="34"/>
    <w:qFormat/>
    <w:rsid w:val="001F49AF"/>
    <w:pPr>
      <w:ind w:left="720"/>
      <w:contextualSpacing/>
    </w:pPr>
  </w:style>
  <w:style w:type="character" w:styleId="a7">
    <w:name w:val="Intense Emphasis"/>
    <w:basedOn w:val="a0"/>
    <w:uiPriority w:val="21"/>
    <w:qFormat/>
    <w:rsid w:val="001F49AF"/>
    <w:rPr>
      <w:i/>
      <w:iCs/>
      <w:color w:val="2F5496" w:themeColor="accent1" w:themeShade="BF"/>
    </w:rPr>
  </w:style>
  <w:style w:type="paragraph" w:styleId="a8">
    <w:name w:val="Intense Quote"/>
    <w:basedOn w:val="a"/>
    <w:next w:val="a"/>
    <w:link w:val="Char2"/>
    <w:uiPriority w:val="30"/>
    <w:qFormat/>
    <w:rsid w:val="001F49A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اقتباس مكثف Char"/>
    <w:basedOn w:val="a0"/>
    <w:link w:val="a8"/>
    <w:uiPriority w:val="30"/>
    <w:rsid w:val="001F49AF"/>
    <w:rPr>
      <w:i/>
      <w:iCs/>
      <w:color w:val="2F5496" w:themeColor="accent1" w:themeShade="BF"/>
    </w:rPr>
  </w:style>
  <w:style w:type="character" w:styleId="a9">
    <w:name w:val="Intense Reference"/>
    <w:basedOn w:val="a0"/>
    <w:uiPriority w:val="32"/>
    <w:qFormat/>
    <w:rsid w:val="001F49AF"/>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6</Pages>
  <Words>1425</Words>
  <Characters>7843</Characters>
  <Application>Microsoft Office Word</Application>
  <DocSecurity>0</DocSecurity>
  <Lines>65</Lines>
  <Paragraphs>18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9250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Chahrazad Chouchou</dc:creator>
  <cp:keywords/>
  <dc:description/>
  <cp:lastModifiedBy>Chahrazad Chouchou</cp:lastModifiedBy>
  <cp:revision>1</cp:revision>
  <dcterms:created xsi:type="dcterms:W3CDTF">2026-07-08T10:13:00Z</dcterms:created>
  <dcterms:modified xsi:type="dcterms:W3CDTF">2026-07-08T19:56:00Z</dcterms:modified>
</cp:coreProperties>
</file>