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7553" w:rsidRPr="003C5DB3" w:rsidRDefault="000B7553" w:rsidP="000B7553">
      <w:pPr>
        <w:tabs>
          <w:tab w:val="right" w:pos="9923"/>
        </w:tabs>
        <w:bidi/>
        <w:jc w:val="both"/>
        <w:rPr>
          <w:rFonts w:ascii="Traditional Arabic" w:hAnsi="Traditional Arabic" w:cs="Traditional Arabic"/>
          <w:b/>
          <w:bCs/>
          <w:i/>
          <w:iCs/>
          <w:sz w:val="32"/>
          <w:szCs w:val="32"/>
          <w:rtl/>
          <w:lang w:bidi="ar-DZ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5BBF1878" wp14:editId="4D1A9347">
            <wp:simplePos x="0" y="0"/>
            <wp:positionH relativeFrom="margin">
              <wp:posOffset>4862195</wp:posOffset>
            </wp:positionH>
            <wp:positionV relativeFrom="margin">
              <wp:posOffset>144145</wp:posOffset>
            </wp:positionV>
            <wp:extent cx="883920" cy="883920"/>
            <wp:effectExtent l="0" t="0" r="0" b="0"/>
            <wp:wrapSquare wrapText="bothSides"/>
            <wp:docPr id="2" name="Picture 2" descr="C:\Users\محمد\Desktop\téléchargem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محمد\Desktop\téléchargement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392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0" locked="0" layoutInCell="1" allowOverlap="1" wp14:anchorId="0F90E2E9" wp14:editId="445DCF7F">
            <wp:simplePos x="0" y="0"/>
            <wp:positionH relativeFrom="margin">
              <wp:posOffset>236855</wp:posOffset>
            </wp:positionH>
            <wp:positionV relativeFrom="margin">
              <wp:posOffset>144145</wp:posOffset>
            </wp:positionV>
            <wp:extent cx="883920" cy="883920"/>
            <wp:effectExtent l="0" t="0" r="0" b="0"/>
            <wp:wrapSquare wrapText="bothSides"/>
            <wp:docPr id="1" name="Picture 1" descr="C:\Users\محمد\Desktop\téléchargem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محمد\Desktop\téléchargement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392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B7553" w:rsidRPr="003F6A21" w:rsidRDefault="000B7553" w:rsidP="000B7553">
      <w:pPr>
        <w:tabs>
          <w:tab w:val="right" w:pos="9923"/>
        </w:tabs>
        <w:bidi/>
        <w:jc w:val="center"/>
        <w:rPr>
          <w:rFonts w:ascii="Traditional Arabic" w:hAnsi="Traditional Arabic" w:cs="Traditional Arabic"/>
          <w:b/>
          <w:bCs/>
          <w:i/>
          <w:iCs/>
          <w:sz w:val="48"/>
          <w:szCs w:val="48"/>
          <w:rtl/>
          <w:lang w:bidi="ar-DZ"/>
        </w:rPr>
      </w:pPr>
      <w:r w:rsidRPr="003F6A21">
        <w:rPr>
          <w:rFonts w:ascii="Traditional Arabic" w:hAnsi="Traditional Arabic" w:cs="Traditional Arabic"/>
          <w:b/>
          <w:bCs/>
          <w:i/>
          <w:iCs/>
          <w:sz w:val="48"/>
          <w:szCs w:val="48"/>
          <w:rtl/>
          <w:lang w:bidi="ar-DZ"/>
        </w:rPr>
        <w:t>جامعة عمار ثليجي- الاغواط-</w:t>
      </w:r>
    </w:p>
    <w:p w:rsidR="000B7553" w:rsidRPr="003F6A21" w:rsidRDefault="000B7553" w:rsidP="000B7553">
      <w:pPr>
        <w:tabs>
          <w:tab w:val="right" w:pos="9923"/>
        </w:tabs>
        <w:bidi/>
        <w:jc w:val="center"/>
        <w:rPr>
          <w:rFonts w:ascii="Traditional Arabic" w:hAnsi="Traditional Arabic" w:cs="Traditional Arabic"/>
          <w:b/>
          <w:bCs/>
          <w:i/>
          <w:iCs/>
          <w:sz w:val="48"/>
          <w:szCs w:val="48"/>
          <w:rtl/>
          <w:lang w:bidi="ar-DZ"/>
        </w:rPr>
      </w:pPr>
      <w:r w:rsidRPr="003F6A21">
        <w:rPr>
          <w:rFonts w:ascii="Traditional Arabic" w:hAnsi="Traditional Arabic" w:cs="Traditional Arabic" w:hint="cs"/>
          <w:b/>
          <w:bCs/>
          <w:i/>
          <w:iCs/>
          <w:sz w:val="48"/>
          <w:szCs w:val="48"/>
          <w:rtl/>
          <w:lang w:bidi="ar-DZ"/>
        </w:rPr>
        <w:t>كلية</w:t>
      </w:r>
      <w:r w:rsidRPr="003F6A21">
        <w:rPr>
          <w:rFonts w:ascii="Traditional Arabic" w:hAnsi="Traditional Arabic" w:cs="Traditional Arabic"/>
          <w:b/>
          <w:bCs/>
          <w:i/>
          <w:iCs/>
          <w:sz w:val="48"/>
          <w:szCs w:val="48"/>
          <w:rtl/>
          <w:lang w:bidi="ar-DZ"/>
        </w:rPr>
        <w:t xml:space="preserve"> </w:t>
      </w:r>
      <w:r w:rsidRPr="003F6A21">
        <w:rPr>
          <w:rFonts w:ascii="Traditional Arabic" w:hAnsi="Traditional Arabic" w:cs="Traditional Arabic" w:hint="cs"/>
          <w:b/>
          <w:bCs/>
          <w:i/>
          <w:iCs/>
          <w:sz w:val="48"/>
          <w:szCs w:val="48"/>
          <w:rtl/>
          <w:lang w:bidi="ar-DZ"/>
        </w:rPr>
        <w:t>ال</w:t>
      </w:r>
      <w:r>
        <w:rPr>
          <w:rFonts w:ascii="Traditional Arabic" w:hAnsi="Traditional Arabic" w:cs="Traditional Arabic" w:hint="cs"/>
          <w:b/>
          <w:bCs/>
          <w:i/>
          <w:iCs/>
          <w:sz w:val="48"/>
          <w:szCs w:val="48"/>
          <w:rtl/>
          <w:lang w:bidi="ar-DZ"/>
        </w:rPr>
        <w:t>علوم الإقتصادية والتجارية و علوم التسيير</w:t>
      </w:r>
    </w:p>
    <w:p w:rsidR="000B7553" w:rsidRDefault="000B7553" w:rsidP="000B7553">
      <w:pPr>
        <w:tabs>
          <w:tab w:val="right" w:pos="9923"/>
        </w:tabs>
        <w:jc w:val="center"/>
        <w:rPr>
          <w:rFonts w:ascii="Traditional Arabic" w:hAnsi="Traditional Arabic" w:cs="Traditional Arabic"/>
          <w:b/>
          <w:bCs/>
          <w:i/>
          <w:iCs/>
          <w:sz w:val="48"/>
          <w:szCs w:val="48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i/>
          <w:iCs/>
          <w:sz w:val="48"/>
          <w:szCs w:val="48"/>
          <w:rtl/>
          <w:lang w:bidi="ar-DZ"/>
        </w:rPr>
        <w:t>قسم العلوم الإقتصادية</w:t>
      </w:r>
    </w:p>
    <w:p w:rsidR="000B7553" w:rsidRPr="005633DF" w:rsidRDefault="000B7553" w:rsidP="000B7553">
      <w:pPr>
        <w:rPr>
          <w:rFonts w:cs="Arial"/>
          <w:rtl/>
          <w:lang w:bidi="ar-DZ"/>
        </w:rPr>
      </w:pPr>
    </w:p>
    <w:p w:rsidR="000B7553" w:rsidRPr="005633DF" w:rsidRDefault="000B7553" w:rsidP="000B7553">
      <w:pPr>
        <w:tabs>
          <w:tab w:val="right" w:pos="9923"/>
        </w:tabs>
        <w:bidi/>
        <w:jc w:val="center"/>
        <w:rPr>
          <w:rFonts w:ascii="Traditional Arabic" w:hAnsi="Traditional Arabic" w:cs="Traditional Arabic"/>
          <w:b/>
          <w:bCs/>
          <w:i/>
          <w:iCs/>
          <w:sz w:val="32"/>
          <w:szCs w:val="32"/>
          <w:rtl/>
        </w:rPr>
      </w:pPr>
      <w:r w:rsidRPr="005633DF">
        <w:rPr>
          <w:rFonts w:ascii="Traditional Arabic" w:hAnsi="Traditional Arabic" w:cs="Traditional Arabic"/>
          <w:b/>
          <w:bCs/>
          <w:i/>
          <w:iCs/>
          <w:sz w:val="32"/>
          <w:szCs w:val="32"/>
          <w:rtl/>
        </w:rPr>
        <w:t>مذكرة لنيل شهادة الماستر</w:t>
      </w:r>
    </w:p>
    <w:p w:rsidR="000B7553" w:rsidRPr="005633DF" w:rsidRDefault="000B7553" w:rsidP="000B7553">
      <w:pPr>
        <w:tabs>
          <w:tab w:val="right" w:pos="9923"/>
        </w:tabs>
        <w:bidi/>
        <w:jc w:val="center"/>
        <w:rPr>
          <w:rFonts w:ascii="Traditional Arabic" w:hAnsi="Traditional Arabic" w:cs="Traditional Arabic"/>
          <w:b/>
          <w:bCs/>
          <w:i/>
          <w:iCs/>
          <w:sz w:val="32"/>
          <w:szCs w:val="32"/>
          <w:rtl/>
        </w:rPr>
      </w:pPr>
      <w:r w:rsidRPr="005633DF">
        <w:rPr>
          <w:rFonts w:ascii="Traditional Arabic" w:hAnsi="Traditional Arabic" w:cs="Traditional Arabic"/>
          <w:b/>
          <w:bCs/>
          <w:i/>
          <w:iCs/>
          <w:sz w:val="32"/>
          <w:szCs w:val="32"/>
          <w:rtl/>
        </w:rPr>
        <w:t>تخصص :</w:t>
      </w:r>
      <w:r>
        <w:rPr>
          <w:rFonts w:ascii="Traditional Arabic" w:hAnsi="Traditional Arabic" w:cs="Traditional Arabic" w:hint="cs"/>
          <w:b/>
          <w:bCs/>
          <w:i/>
          <w:iCs/>
          <w:sz w:val="32"/>
          <w:szCs w:val="32"/>
          <w:rtl/>
        </w:rPr>
        <w:t>اقتصاد كمي</w:t>
      </w:r>
      <w:r w:rsidRPr="005633DF">
        <w:rPr>
          <w:rFonts w:ascii="Traditional Arabic" w:hAnsi="Traditional Arabic" w:cs="Traditional Arabic"/>
          <w:b/>
          <w:bCs/>
          <w:i/>
          <w:iCs/>
          <w:sz w:val="32"/>
          <w:szCs w:val="32"/>
          <w:rtl/>
        </w:rPr>
        <w:t xml:space="preserve"> </w:t>
      </w:r>
    </w:p>
    <w:p w:rsidR="000B7553" w:rsidRPr="003C5DB3" w:rsidRDefault="000B7553" w:rsidP="000B7553">
      <w:pPr>
        <w:tabs>
          <w:tab w:val="right" w:pos="9923"/>
        </w:tabs>
        <w:bidi/>
        <w:rPr>
          <w:rFonts w:ascii="Traditional Arabic" w:hAnsi="Traditional Arabic" w:cs="Traditional Arabic"/>
          <w:b/>
          <w:bCs/>
          <w:i/>
          <w:iCs/>
          <w:sz w:val="32"/>
          <w:szCs w:val="32"/>
          <w:rtl/>
          <w:lang w:bidi="ar-DZ"/>
        </w:rPr>
      </w:pPr>
    </w:p>
    <w:p w:rsidR="000B7553" w:rsidRPr="003C5DB3" w:rsidRDefault="000B7553" w:rsidP="000B7553">
      <w:pPr>
        <w:tabs>
          <w:tab w:val="right" w:pos="9923"/>
        </w:tabs>
        <w:bidi/>
        <w:jc w:val="center"/>
        <w:rPr>
          <w:rFonts w:ascii="Traditional Arabic" w:hAnsi="Traditional Arabic" w:cs="Traditional Arabic"/>
          <w:b/>
          <w:bCs/>
          <w:i/>
          <w:iCs/>
          <w:sz w:val="32"/>
          <w:szCs w:val="32"/>
          <w:rtl/>
          <w:lang w:bidi="ar-DZ"/>
        </w:rPr>
      </w:pPr>
    </w:p>
    <w:p w:rsidR="000B7553" w:rsidRPr="003C5DB3" w:rsidRDefault="000B7553" w:rsidP="000B7553">
      <w:pPr>
        <w:tabs>
          <w:tab w:val="right" w:pos="9923"/>
        </w:tabs>
        <w:bidi/>
        <w:jc w:val="center"/>
        <w:rPr>
          <w:rFonts w:ascii="Traditional Arabic" w:hAnsi="Traditional Arabic" w:cs="Traditional Arabic"/>
          <w:b/>
          <w:bCs/>
          <w:i/>
          <w:iCs/>
          <w:sz w:val="32"/>
          <w:szCs w:val="32"/>
          <w:rtl/>
          <w:lang w:bidi="ar-DZ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EE2695" wp14:editId="144B0E1B">
                <wp:simplePos x="0" y="0"/>
                <wp:positionH relativeFrom="column">
                  <wp:posOffset>236855</wp:posOffset>
                </wp:positionH>
                <wp:positionV relativeFrom="paragraph">
                  <wp:posOffset>114300</wp:posOffset>
                </wp:positionV>
                <wp:extent cx="5688965" cy="1040765"/>
                <wp:effectExtent l="57150" t="38100" r="64135" b="83185"/>
                <wp:wrapNone/>
                <wp:docPr id="23" name="Rounded 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88965" cy="104076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1">
                          <a:gsLst>
                            <a:gs pos="0">
                              <a:srgbClr val="4472C4">
                                <a:satMod val="103000"/>
                                <a:lumMod val="102000"/>
                                <a:tint val="94000"/>
                              </a:srgbClr>
                            </a:gs>
                            <a:gs pos="50000">
                              <a:srgbClr val="4472C4">
                                <a:satMod val="110000"/>
                                <a:lumMod val="100000"/>
                                <a:shade val="100000"/>
                              </a:srgbClr>
                            </a:gs>
                            <a:gs pos="100000">
                              <a:srgbClr val="4472C4">
                                <a:lumMod val="99000"/>
                                <a:satMod val="120000"/>
                                <a:shade val="78000"/>
                              </a:srgbClr>
                            </a:gs>
                          </a:gsLst>
                          <a:lin ang="5400000" scaled="0"/>
                        </a:gradFill>
                        <a:ln>
                          <a:noFill/>
                          <a:headEnd/>
                          <a:tailEnd/>
                        </a:ln>
                        <a:effectLst>
                          <a:outerShdw blurRad="57150" dist="19050" dir="5400000" algn="ctr" rotWithShape="0">
                            <a:srgbClr val="000000">
                              <a:alpha val="63000"/>
                            </a:srgbClr>
                          </a:outerShdw>
                        </a:effectLst>
                      </wps:spPr>
                      <wps:txbx>
                        <w:txbxContent>
                          <w:p w:rsidR="000B7553" w:rsidRDefault="000B7553" w:rsidP="000B7553">
                            <w:pPr>
                              <w:bidi/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>أثر تطاير أسعار النفط على النمو الإقتصادي</w:t>
                            </w:r>
                          </w:p>
                          <w:p w:rsidR="000B7553" w:rsidRPr="0044302C" w:rsidRDefault="000B7553" w:rsidP="000B7553">
                            <w:pPr>
                              <w:bidi/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 xml:space="preserve"> في الجزائر خلال الفترة 1990-2021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DEE2695" id="Rounded Rectangle 23" o:spid="_x0000_s1026" style="position:absolute;left:0;text-align:left;margin-left:18.65pt;margin-top:9pt;width:447.95pt;height:81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" fillcolor="#6083cb" stroked="f">
                <v:fill color2="#2e61ba" rotate="t" colors="0 #6083cb;.5 #3e70ca;1 #2e61ba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:rsidR="000B7553" w:rsidRDefault="000B7553" w:rsidP="000B7553">
                      <w:pPr>
                        <w:bidi/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DZ"/>
                        </w:rPr>
                        <w:t xml:space="preserve"> </w:t>
                      </w:r>
                      <w:r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>أثر تطاير أسعار النفط على النمو الإقتصادي</w:t>
                      </w:r>
                    </w:p>
                    <w:p w:rsidR="000B7553" w:rsidRPr="0044302C" w:rsidRDefault="000B7553" w:rsidP="000B7553">
                      <w:pPr>
                        <w:bidi/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 xml:space="preserve"> في الجزائر خلال الفترة 1990-2021</w:t>
                      </w:r>
                    </w:p>
                  </w:txbxContent>
                </v:textbox>
              </v:roundrect>
            </w:pict>
          </mc:Fallback>
        </mc:AlternateContent>
      </w:r>
    </w:p>
    <w:p w:rsidR="000B7553" w:rsidRPr="003C5DB3" w:rsidRDefault="000B7553" w:rsidP="000B7553">
      <w:pPr>
        <w:tabs>
          <w:tab w:val="right" w:pos="9923"/>
        </w:tabs>
        <w:bidi/>
        <w:jc w:val="center"/>
        <w:rPr>
          <w:rFonts w:ascii="Traditional Arabic" w:hAnsi="Traditional Arabic" w:cs="Traditional Arabic"/>
          <w:b/>
          <w:bCs/>
          <w:i/>
          <w:iCs/>
          <w:sz w:val="32"/>
          <w:szCs w:val="32"/>
          <w:rtl/>
          <w:lang w:bidi="ar-DZ"/>
        </w:rPr>
      </w:pPr>
    </w:p>
    <w:p w:rsidR="000B7553" w:rsidRPr="003C5DB3" w:rsidRDefault="000B7553" w:rsidP="000B7553">
      <w:pPr>
        <w:tabs>
          <w:tab w:val="right" w:pos="9923"/>
        </w:tabs>
        <w:bidi/>
        <w:jc w:val="center"/>
        <w:rPr>
          <w:rFonts w:ascii="Traditional Arabic" w:hAnsi="Traditional Arabic" w:cs="Traditional Arabic"/>
          <w:noProof/>
          <w:sz w:val="32"/>
          <w:szCs w:val="32"/>
          <w:rtl/>
          <w:lang w:eastAsia="fr-FR"/>
        </w:rPr>
      </w:pPr>
    </w:p>
    <w:p w:rsidR="000B7553" w:rsidRPr="003C5DB3" w:rsidRDefault="000B7553" w:rsidP="000B7553">
      <w:pPr>
        <w:tabs>
          <w:tab w:val="right" w:pos="9923"/>
        </w:tabs>
        <w:bidi/>
        <w:jc w:val="center"/>
        <w:rPr>
          <w:rFonts w:ascii="Traditional Arabic" w:hAnsi="Traditional Arabic" w:cs="Traditional Arabic"/>
          <w:noProof/>
          <w:sz w:val="32"/>
          <w:szCs w:val="32"/>
          <w:rtl/>
          <w:lang w:eastAsia="fr-FR"/>
        </w:rPr>
      </w:pPr>
    </w:p>
    <w:p w:rsidR="000B7553" w:rsidRDefault="000B7553" w:rsidP="000B7553">
      <w:pPr>
        <w:tabs>
          <w:tab w:val="right" w:pos="9923"/>
        </w:tabs>
        <w:bidi/>
        <w:rPr>
          <w:rFonts w:ascii="Traditional Arabic" w:hAnsi="Traditional Arabic" w:cs="Traditional Arabic"/>
          <w:b/>
          <w:bCs/>
          <w:i/>
          <w:iCs/>
          <w:noProof/>
          <w:sz w:val="32"/>
          <w:szCs w:val="32"/>
          <w:rtl/>
          <w:lang w:eastAsia="fr-FR"/>
        </w:rPr>
      </w:pPr>
    </w:p>
    <w:p w:rsidR="000B7553" w:rsidRDefault="000B7553" w:rsidP="000B7553">
      <w:pPr>
        <w:tabs>
          <w:tab w:val="right" w:pos="9923"/>
        </w:tabs>
        <w:bidi/>
        <w:rPr>
          <w:rFonts w:ascii="Traditional Arabic" w:hAnsi="Traditional Arabic" w:cs="Traditional Arabic"/>
          <w:b/>
          <w:bCs/>
          <w:i/>
          <w:iCs/>
          <w:noProof/>
          <w:sz w:val="32"/>
          <w:szCs w:val="32"/>
          <w:rtl/>
          <w:lang w:eastAsia="fr-FR"/>
        </w:rPr>
      </w:pPr>
      <w:r w:rsidRPr="003C5DB3">
        <w:rPr>
          <w:rFonts w:ascii="Traditional Arabic" w:hAnsi="Traditional Arabic" w:cs="Traditional Arabic"/>
          <w:b/>
          <w:bCs/>
          <w:i/>
          <w:iCs/>
          <w:noProof/>
          <w:sz w:val="32"/>
          <w:szCs w:val="32"/>
          <w:rtl/>
          <w:lang w:eastAsia="fr-FR"/>
        </w:rPr>
        <w:t>اعداد الط</w:t>
      </w:r>
      <w:r w:rsidRPr="003C5DB3">
        <w:rPr>
          <w:rFonts w:ascii="Traditional Arabic" w:hAnsi="Traditional Arabic" w:cs="Traditional Arabic" w:hint="cs"/>
          <w:b/>
          <w:bCs/>
          <w:i/>
          <w:iCs/>
          <w:noProof/>
          <w:sz w:val="32"/>
          <w:szCs w:val="32"/>
          <w:rtl/>
          <w:lang w:eastAsia="fr-FR"/>
        </w:rPr>
        <w:t>لبة</w:t>
      </w:r>
      <w:r w:rsidRPr="003C5DB3">
        <w:rPr>
          <w:rFonts w:ascii="Traditional Arabic" w:hAnsi="Traditional Arabic" w:cs="Traditional Arabic"/>
          <w:b/>
          <w:bCs/>
          <w:i/>
          <w:iCs/>
          <w:noProof/>
          <w:sz w:val="32"/>
          <w:szCs w:val="32"/>
          <w:rtl/>
          <w:lang w:eastAsia="fr-FR"/>
        </w:rPr>
        <w:t xml:space="preserve"> :</w:t>
      </w:r>
      <w:r>
        <w:rPr>
          <w:rFonts w:ascii="Traditional Arabic" w:hAnsi="Traditional Arabic" w:cs="Traditional Arabic"/>
          <w:b/>
          <w:bCs/>
          <w:i/>
          <w:iCs/>
          <w:noProof/>
          <w:sz w:val="32"/>
          <w:szCs w:val="32"/>
          <w:rtl/>
          <w:lang w:eastAsia="fr-FR"/>
        </w:rPr>
        <w:t xml:space="preserve"> </w:t>
      </w:r>
      <w:r>
        <w:rPr>
          <w:rFonts w:ascii="Traditional Arabic" w:hAnsi="Traditional Arabic" w:cs="Traditional Arabic" w:hint="cs"/>
          <w:b/>
          <w:bCs/>
          <w:i/>
          <w:iCs/>
          <w:noProof/>
          <w:sz w:val="32"/>
          <w:szCs w:val="32"/>
          <w:rtl/>
          <w:lang w:eastAsia="fr-FR"/>
        </w:rPr>
        <w:t xml:space="preserve">  بومعزة فايزة</w:t>
      </w:r>
    </w:p>
    <w:p w:rsidR="000B7553" w:rsidRDefault="000B7553" w:rsidP="000B7553">
      <w:pPr>
        <w:tabs>
          <w:tab w:val="right" w:pos="9923"/>
        </w:tabs>
        <w:bidi/>
        <w:rPr>
          <w:rFonts w:ascii="Traditional Arabic" w:hAnsi="Traditional Arabic" w:cs="Traditional Arabic"/>
          <w:b/>
          <w:bCs/>
          <w:i/>
          <w:iCs/>
          <w:noProof/>
          <w:sz w:val="32"/>
          <w:szCs w:val="32"/>
          <w:rtl/>
          <w:lang w:eastAsia="fr-FR"/>
        </w:rPr>
      </w:pPr>
    </w:p>
    <w:p w:rsidR="000B7553" w:rsidRDefault="000B7553" w:rsidP="000B7553">
      <w:pPr>
        <w:tabs>
          <w:tab w:val="right" w:pos="9923"/>
        </w:tabs>
        <w:bidi/>
        <w:rPr>
          <w:rFonts w:ascii="Traditional Arabic" w:hAnsi="Traditional Arabic" w:cs="Traditional Arabic"/>
          <w:b/>
          <w:bCs/>
          <w:i/>
          <w:iCs/>
          <w:noProof/>
          <w:sz w:val="32"/>
          <w:szCs w:val="32"/>
          <w:rtl/>
          <w:lang w:eastAsia="fr-FR"/>
        </w:rPr>
      </w:pPr>
      <w:r>
        <w:rPr>
          <w:rFonts w:ascii="Traditional Arabic" w:hAnsi="Traditional Arabic" w:cs="Traditional Arabic" w:hint="cs"/>
          <w:b/>
          <w:bCs/>
          <w:i/>
          <w:iCs/>
          <w:noProof/>
          <w:sz w:val="32"/>
          <w:szCs w:val="32"/>
          <w:rtl/>
          <w:lang w:eastAsia="fr-FR"/>
        </w:rPr>
        <w:t xml:space="preserve">                                                                     </w:t>
      </w:r>
    </w:p>
    <w:tbl>
      <w:tblPr>
        <w:bidiVisual/>
        <w:tblW w:w="0" w:type="auto"/>
        <w:tblInd w:w="1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0"/>
        <w:gridCol w:w="2694"/>
      </w:tblGrid>
      <w:tr w:rsidR="000B7553" w:rsidRPr="006E7122" w:rsidTr="00CE06DF">
        <w:tc>
          <w:tcPr>
            <w:tcW w:w="2690" w:type="dxa"/>
            <w:shd w:val="clear" w:color="auto" w:fill="auto"/>
          </w:tcPr>
          <w:p w:rsidR="000B7553" w:rsidRPr="006E7122" w:rsidRDefault="000B7553" w:rsidP="00CE06DF">
            <w:pPr>
              <w:tabs>
                <w:tab w:val="right" w:pos="9923"/>
              </w:tabs>
              <w:bidi/>
              <w:jc w:val="center"/>
              <w:rPr>
                <w:rFonts w:ascii="Traditional Arabic" w:hAnsi="Traditional Arabic" w:cs="Traditional Arabic"/>
                <w:b/>
                <w:bCs/>
                <w:i/>
                <w:iCs/>
                <w:noProof/>
                <w:sz w:val="32"/>
                <w:szCs w:val="32"/>
                <w:rtl/>
                <w:lang w:eastAsia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i/>
                <w:iCs/>
                <w:noProof/>
                <w:sz w:val="32"/>
                <w:szCs w:val="32"/>
                <w:rtl/>
                <w:lang w:eastAsia="fr-FR"/>
              </w:rPr>
              <w:t>د.هيشر أحمد التجاني</w:t>
            </w:r>
          </w:p>
        </w:tc>
        <w:tc>
          <w:tcPr>
            <w:tcW w:w="2694" w:type="dxa"/>
            <w:shd w:val="clear" w:color="auto" w:fill="auto"/>
          </w:tcPr>
          <w:p w:rsidR="000B7553" w:rsidRPr="006E7122" w:rsidRDefault="000B7553" w:rsidP="00CE06DF">
            <w:pPr>
              <w:tabs>
                <w:tab w:val="right" w:pos="9923"/>
              </w:tabs>
              <w:bidi/>
              <w:jc w:val="center"/>
              <w:rPr>
                <w:rFonts w:ascii="Traditional Arabic" w:hAnsi="Traditional Arabic" w:cs="Traditional Arabic"/>
                <w:b/>
                <w:bCs/>
                <w:i/>
                <w:iCs/>
                <w:noProof/>
                <w:sz w:val="32"/>
                <w:szCs w:val="32"/>
                <w:rtl/>
                <w:lang w:eastAsia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i/>
                <w:iCs/>
                <w:noProof/>
                <w:sz w:val="32"/>
                <w:szCs w:val="32"/>
                <w:rtl/>
                <w:lang w:eastAsia="fr-FR"/>
              </w:rPr>
              <w:t>رئيسا</w:t>
            </w:r>
          </w:p>
        </w:tc>
      </w:tr>
      <w:tr w:rsidR="000B7553" w:rsidRPr="006E7122" w:rsidTr="00CE06DF">
        <w:tc>
          <w:tcPr>
            <w:tcW w:w="2690" w:type="dxa"/>
            <w:shd w:val="clear" w:color="auto" w:fill="auto"/>
          </w:tcPr>
          <w:p w:rsidR="000B7553" w:rsidRPr="006E7122" w:rsidRDefault="000B7553" w:rsidP="00CE06DF">
            <w:pPr>
              <w:tabs>
                <w:tab w:val="right" w:pos="9923"/>
              </w:tabs>
              <w:bidi/>
              <w:jc w:val="center"/>
              <w:rPr>
                <w:rFonts w:ascii="Traditional Arabic" w:hAnsi="Traditional Arabic" w:cs="Traditional Arabic"/>
                <w:b/>
                <w:bCs/>
                <w:i/>
                <w:iCs/>
                <w:noProof/>
                <w:sz w:val="32"/>
                <w:szCs w:val="32"/>
                <w:rtl/>
                <w:lang w:eastAsia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i/>
                <w:iCs/>
                <w:noProof/>
                <w:sz w:val="32"/>
                <w:szCs w:val="32"/>
                <w:rtl/>
                <w:lang w:eastAsia="fr-FR"/>
              </w:rPr>
              <w:t>د.بدرينة مراد</w:t>
            </w:r>
          </w:p>
        </w:tc>
        <w:tc>
          <w:tcPr>
            <w:tcW w:w="2694" w:type="dxa"/>
            <w:shd w:val="clear" w:color="auto" w:fill="auto"/>
          </w:tcPr>
          <w:p w:rsidR="000B7553" w:rsidRPr="006E7122" w:rsidRDefault="000B7553" w:rsidP="00CE06DF">
            <w:pPr>
              <w:tabs>
                <w:tab w:val="right" w:pos="9923"/>
              </w:tabs>
              <w:bidi/>
              <w:jc w:val="center"/>
              <w:rPr>
                <w:rFonts w:ascii="Traditional Arabic" w:hAnsi="Traditional Arabic" w:cs="Traditional Arabic"/>
                <w:b/>
                <w:bCs/>
                <w:i/>
                <w:iCs/>
                <w:noProof/>
                <w:sz w:val="32"/>
                <w:szCs w:val="32"/>
                <w:rtl/>
                <w:lang w:eastAsia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i/>
                <w:iCs/>
                <w:noProof/>
                <w:sz w:val="32"/>
                <w:szCs w:val="32"/>
                <w:rtl/>
                <w:lang w:eastAsia="fr-FR"/>
              </w:rPr>
              <w:t>ممتحنا</w:t>
            </w:r>
          </w:p>
        </w:tc>
      </w:tr>
      <w:tr w:rsidR="000B7553" w:rsidRPr="006E7122" w:rsidTr="00CE06DF">
        <w:tc>
          <w:tcPr>
            <w:tcW w:w="2690" w:type="dxa"/>
            <w:shd w:val="clear" w:color="auto" w:fill="auto"/>
          </w:tcPr>
          <w:p w:rsidR="000B7553" w:rsidRPr="006E7122" w:rsidRDefault="000B7553" w:rsidP="00CE06DF">
            <w:pPr>
              <w:tabs>
                <w:tab w:val="right" w:pos="9923"/>
              </w:tabs>
              <w:bidi/>
              <w:jc w:val="center"/>
              <w:rPr>
                <w:rFonts w:ascii="Traditional Arabic" w:hAnsi="Traditional Arabic" w:cs="Traditional Arabic"/>
                <w:b/>
                <w:bCs/>
                <w:i/>
                <w:iCs/>
                <w:noProof/>
                <w:sz w:val="32"/>
                <w:szCs w:val="32"/>
                <w:rtl/>
                <w:lang w:eastAsia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i/>
                <w:iCs/>
                <w:noProof/>
                <w:sz w:val="32"/>
                <w:szCs w:val="32"/>
                <w:rtl/>
                <w:lang w:eastAsia="fr-FR"/>
              </w:rPr>
              <w:t>د.الطاهر شرماط</w:t>
            </w:r>
          </w:p>
        </w:tc>
        <w:tc>
          <w:tcPr>
            <w:tcW w:w="2694" w:type="dxa"/>
            <w:shd w:val="clear" w:color="auto" w:fill="auto"/>
          </w:tcPr>
          <w:p w:rsidR="000B7553" w:rsidRPr="006E7122" w:rsidRDefault="000B7553" w:rsidP="00CE06DF">
            <w:pPr>
              <w:tabs>
                <w:tab w:val="right" w:pos="9923"/>
              </w:tabs>
              <w:bidi/>
              <w:jc w:val="center"/>
              <w:rPr>
                <w:rFonts w:ascii="Traditional Arabic" w:hAnsi="Traditional Arabic" w:cs="Traditional Arabic"/>
                <w:b/>
                <w:bCs/>
                <w:i/>
                <w:iCs/>
                <w:noProof/>
                <w:sz w:val="32"/>
                <w:szCs w:val="32"/>
                <w:rtl/>
                <w:lang w:eastAsia="fr-FR"/>
              </w:rPr>
            </w:pPr>
            <w:r>
              <w:rPr>
                <w:rFonts w:ascii="Traditional Arabic" w:hAnsi="Traditional Arabic" w:cs="Traditional Arabic" w:hint="cs"/>
                <w:b/>
                <w:bCs/>
                <w:i/>
                <w:iCs/>
                <w:noProof/>
                <w:sz w:val="32"/>
                <w:szCs w:val="32"/>
                <w:rtl/>
                <w:lang w:eastAsia="fr-FR"/>
              </w:rPr>
              <w:t>مشرفا</w:t>
            </w:r>
          </w:p>
        </w:tc>
      </w:tr>
    </w:tbl>
    <w:p w:rsidR="000B7553" w:rsidRDefault="000B7553" w:rsidP="000B7553">
      <w:pPr>
        <w:tabs>
          <w:tab w:val="right" w:pos="9923"/>
        </w:tabs>
        <w:bidi/>
        <w:rPr>
          <w:rFonts w:ascii="Traditional Arabic" w:hAnsi="Traditional Arabic" w:cs="Traditional Arabic"/>
          <w:b/>
          <w:bCs/>
          <w:i/>
          <w:iCs/>
          <w:noProof/>
          <w:sz w:val="32"/>
          <w:szCs w:val="32"/>
          <w:lang w:eastAsia="fr-FR"/>
        </w:rPr>
      </w:pPr>
      <w:r>
        <w:rPr>
          <w:rFonts w:ascii="Traditional Arabic" w:hAnsi="Traditional Arabic" w:cs="Traditional Arabic" w:hint="cs"/>
          <w:b/>
          <w:bCs/>
          <w:i/>
          <w:iCs/>
          <w:noProof/>
          <w:sz w:val="32"/>
          <w:szCs w:val="32"/>
          <w:rtl/>
          <w:lang w:eastAsia="fr-FR"/>
        </w:rPr>
        <w:t xml:space="preserve"> </w:t>
      </w:r>
    </w:p>
    <w:p w:rsidR="000B7553" w:rsidRDefault="000B7553" w:rsidP="000B7553">
      <w:pPr>
        <w:pStyle w:val="ListParagraph"/>
        <w:tabs>
          <w:tab w:val="right" w:pos="9923"/>
        </w:tabs>
        <w:bidi/>
        <w:ind w:left="0"/>
        <w:rPr>
          <w:rFonts w:ascii="Traditional Arabic" w:hAnsi="Traditional Arabic" w:cs="Traditional Arabic"/>
          <w:b/>
          <w:bCs/>
          <w:i/>
          <w:iCs/>
          <w:noProof/>
          <w:sz w:val="32"/>
          <w:szCs w:val="32"/>
          <w:rtl/>
          <w:lang w:eastAsia="fr-FR"/>
        </w:rPr>
      </w:pPr>
      <w:r>
        <w:rPr>
          <w:rFonts w:ascii="Traditional Arabic" w:hAnsi="Traditional Arabic" w:cs="Traditional Arabic" w:hint="cs"/>
          <w:b/>
          <w:bCs/>
          <w:i/>
          <w:iCs/>
          <w:noProof/>
          <w:sz w:val="32"/>
          <w:szCs w:val="32"/>
          <w:rtl/>
          <w:lang w:eastAsia="fr-FR"/>
        </w:rPr>
        <w:t xml:space="preserve">                                                                                                                            </w:t>
      </w:r>
    </w:p>
    <w:p w:rsidR="000B7553" w:rsidRDefault="000B7553" w:rsidP="000B7553">
      <w:pPr>
        <w:pStyle w:val="ListParagraph"/>
        <w:tabs>
          <w:tab w:val="right" w:pos="9923"/>
        </w:tabs>
        <w:bidi/>
        <w:ind w:left="0"/>
        <w:rPr>
          <w:rFonts w:ascii="Traditional Arabic" w:hAnsi="Traditional Arabic" w:cs="Traditional Arabic"/>
          <w:b/>
          <w:bCs/>
          <w:i/>
          <w:iCs/>
          <w:noProof/>
          <w:sz w:val="32"/>
          <w:szCs w:val="32"/>
          <w:rtl/>
          <w:lang w:eastAsia="fr-FR"/>
        </w:rPr>
      </w:pPr>
    </w:p>
    <w:p w:rsidR="000B7553" w:rsidRPr="00062C96" w:rsidRDefault="000B7553" w:rsidP="000B7553">
      <w:pPr>
        <w:pStyle w:val="ListParagraph"/>
        <w:tabs>
          <w:tab w:val="right" w:pos="9923"/>
        </w:tabs>
        <w:bidi/>
        <w:ind w:left="0"/>
        <w:rPr>
          <w:rFonts w:ascii="Traditional Arabic" w:hAnsi="Traditional Arabic" w:cs="Traditional Arabic"/>
          <w:b/>
          <w:bCs/>
          <w:i/>
          <w:iCs/>
          <w:noProof/>
          <w:sz w:val="32"/>
          <w:szCs w:val="32"/>
          <w:rtl/>
          <w:lang w:eastAsia="fr-FR"/>
        </w:rPr>
        <w:sectPr w:rsidR="000B7553" w:rsidRPr="00062C96">
          <w:footnotePr>
            <w:numRestart w:val="eachPage"/>
          </w:footnotePr>
          <w:pgSz w:w="11906" w:h="16838"/>
          <w:pgMar w:top="1417" w:right="1417" w:bottom="1417" w:left="1134" w:header="708" w:footer="708" w:gutter="0"/>
          <w:pgBorders w:display="firstPage" w:offsetFrom="page">
            <w:top w:val="confettiStreamers" w:sz="31" w:space="24" w:color="auto"/>
            <w:left w:val="confettiStreamers" w:sz="31" w:space="24" w:color="auto"/>
            <w:bottom w:val="confettiStreamers" w:sz="31" w:space="24" w:color="auto"/>
            <w:right w:val="confettiStreamers" w:sz="31" w:space="24" w:color="auto"/>
          </w:pgBorders>
          <w:cols w:space="708"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E68CB79" wp14:editId="35529422">
                <wp:simplePos x="0" y="0"/>
                <wp:positionH relativeFrom="margin">
                  <wp:posOffset>1960245</wp:posOffset>
                </wp:positionH>
                <wp:positionV relativeFrom="paragraph">
                  <wp:posOffset>206375</wp:posOffset>
                </wp:positionV>
                <wp:extent cx="2180590" cy="432435"/>
                <wp:effectExtent l="0" t="0" r="10160" b="24765"/>
                <wp:wrapNone/>
                <wp:docPr id="24" name="Double Wav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80590" cy="432435"/>
                        </a:xfrm>
                        <a:prstGeom prst="doubleWave">
                          <a:avLst>
                            <a:gd name="adj1" fmla="val 6500"/>
                            <a:gd name="adj2" fmla="val 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B7553" w:rsidRPr="00F061D6" w:rsidRDefault="000B7553" w:rsidP="000B7553">
                            <w:pPr>
                              <w:bidi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F061D6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السنة الجامعية : 20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22</w:t>
                            </w:r>
                            <w:r w:rsidRPr="00F061D6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/202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E68CB79" id="_x0000_t188" coordsize="21600,21600" o:spt="188" adj="1404,10800" path="m@43@0c@42@1@41@3@40@0@39@1@38@3@37@0l@30@4c@31@5@32@6@33@4@34@5@35@6@36@4xe">
                <v:stroke joinstyle="miter"/>
                <v:formulas>
                  <v:f eqn="val #0"/>
                  <v:f eqn="prod @0 41 9"/>
                  <v:f eqn="prod @0 23 9"/>
                  <v:f eqn="sum 0 0 @2"/>
                  <v:f eqn="sum 21600 0 #0"/>
                  <v:f eqn="sum 21600 0 @1"/>
                  <v:f eqn="sum 21600 0 @3"/>
                  <v:f eqn="sum #1 0 10800"/>
                  <v:f eqn="sum 21600 0 #1"/>
                  <v:f eqn="prod @8 1 3"/>
                  <v:f eqn="prod @8 2 3"/>
                  <v:f eqn="prod @8 4 3"/>
                  <v:f eqn="prod @8 5 3"/>
                  <v:f eqn="prod @8 2 1"/>
                  <v:f eqn="sum 21600 0 @9"/>
                  <v:f eqn="sum 21600 0 @10"/>
                  <v:f eqn="sum 21600 0 @8"/>
                  <v:f eqn="sum 21600 0 @11"/>
                  <v:f eqn="sum 21600 0 @12"/>
                  <v:f eqn="sum 21600 0 @13"/>
                  <v:f eqn="prod #1 1 3"/>
                  <v:f eqn="prod #1 2 3"/>
                  <v:f eqn="prod #1 4 3"/>
                  <v:f eqn="prod #1 5 3"/>
                  <v:f eqn="prod #1 2 1"/>
                  <v:f eqn="sum 21600 0 @20"/>
                  <v:f eqn="sum 21600 0 @21"/>
                  <v:f eqn="sum 21600 0 @22"/>
                  <v:f eqn="sum 21600 0 @23"/>
                  <v:f eqn="sum 21600 0 @24"/>
                  <v:f eqn="if @7 @19 0"/>
                  <v:f eqn="if @7 @18 @20"/>
                  <v:f eqn="if @7 @17 @21"/>
                  <v:f eqn="if @7 @16 #1"/>
                  <v:f eqn="if @7 @15 @22"/>
                  <v:f eqn="if @7 @14 @23"/>
                  <v:f eqn="if @7 21600 @24"/>
                  <v:f eqn="if @7 0 @29"/>
                  <v:f eqn="if @7 @9 @28"/>
                  <v:f eqn="if @7 @10 @27"/>
                  <v:f eqn="if @7 @8 @8"/>
                  <v:f eqn="if @7 @11 @26"/>
                  <v:f eqn="if @7 @12 @25"/>
                  <v:f eqn="if @7 @13 21600"/>
                  <v:f eqn="sum @36 0 @30"/>
                  <v:f eqn="sum @4 0 @0"/>
                  <v:f eqn="max @30 @37"/>
                  <v:f eqn="min @36 @43"/>
                  <v:f eqn="prod @0 2 1"/>
                  <v:f eqn="sum 21600 0 @48"/>
                  <v:f eqn="mid @36 @43"/>
                  <v:f eqn="mid @30 @37"/>
                </v:formulas>
                <v:path o:connecttype="custom" o:connectlocs="@40,@0;@51,10800;@33,@4;@50,10800" o:connectangles="270,180,90,0" textboxrect="@46,@48,@47,@49"/>
                <v:handles>
                  <v:h position="topLeft,#0" yrange="0,2229"/>
                  <v:h position="#1,bottomRight" xrange="8640,12960"/>
                </v:handles>
              </v:shapetype>
              <v:shape id="Double Wave 24" o:spid="_x0000_s1027" type="#_x0000_t188" style="position:absolute;left:0;text-align:left;margin-left:154.35pt;margin-top:16.25pt;width:171.7pt;height:34.0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">
                <v:textbox>
                  <w:txbxContent>
                    <w:p w:rsidR="000B7553" w:rsidRPr="00F061D6" w:rsidRDefault="000B7553" w:rsidP="000B7553">
                      <w:pPr>
                        <w:bidi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F061D6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السنة الجامعية : 20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22</w:t>
                      </w:r>
                      <w:r w:rsidRPr="00F061D6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/202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0B7553" w:rsidRPr="00360BBF" w:rsidRDefault="000B7553" w:rsidP="000B7553">
      <w:pPr>
        <w:bidi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360BBF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lastRenderedPageBreak/>
        <w:t>ملخص :</w:t>
      </w:r>
    </w:p>
    <w:p w:rsidR="000B7553" w:rsidRPr="00360BBF" w:rsidRDefault="000B7553" w:rsidP="000B7553">
      <w:pPr>
        <w:bidi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360BBF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تهدف هذه الدراسة الى قياس اثر تقلبات اسعار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النفط</w:t>
      </w:r>
      <w:r w:rsidRPr="00360BBF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على النمو الاقتصادي في الجزائر خلا</w:t>
      </w:r>
      <w:r>
        <w:rPr>
          <w:rFonts w:ascii="Traditional Arabic" w:hAnsi="Traditional Arabic" w:cs="Traditional Arabic"/>
          <w:sz w:val="32"/>
          <w:szCs w:val="32"/>
          <w:rtl/>
          <w:lang w:bidi="ar-DZ"/>
        </w:rPr>
        <w:t>ل الفترة الممتدة من (1990 – 202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1</w:t>
      </w:r>
      <w:r w:rsidRPr="00360BBF">
        <w:rPr>
          <w:rFonts w:ascii="Traditional Arabic" w:hAnsi="Traditional Arabic" w:cs="Traditional Arabic"/>
          <w:sz w:val="32"/>
          <w:szCs w:val="32"/>
          <w:rtl/>
          <w:lang w:bidi="ar-DZ"/>
        </w:rPr>
        <w:t>)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،حيث تبين ان</w:t>
      </w:r>
      <w:r w:rsidRPr="00360BBF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نموذج الانحدار الذاتي للفجوات الزمنية المتباطئة (</w:t>
      </w:r>
      <w:r w:rsidRPr="00360BBF">
        <w:rPr>
          <w:rFonts w:ascii="Traditional Arabic" w:hAnsi="Traditional Arabic" w:cs="Traditional Arabic"/>
          <w:sz w:val="32"/>
          <w:szCs w:val="32"/>
          <w:lang w:bidi="ar-DZ"/>
        </w:rPr>
        <w:t>ARDL</w:t>
      </w:r>
      <w:r w:rsidRPr="00360BBF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)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هو النموذج المناسب حسب منهج القياس الاقتصادي</w:t>
      </w:r>
      <w:r w:rsidRPr="00360BBF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،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كما توصلت الدراسات الى وجود اثر موجب لاسعار النفط على النمو الاقتصادي.</w:t>
      </w:r>
    </w:p>
    <w:p w:rsidR="000B7553" w:rsidRPr="00360BBF" w:rsidRDefault="000B7553" w:rsidP="000B7553">
      <w:pPr>
        <w:bidi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360BBF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الكلمات المفتاحية : </w:t>
      </w:r>
      <w:r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اسعار النفط ، </w:t>
      </w:r>
      <w:r w:rsidRPr="00360BBF">
        <w:rPr>
          <w:rFonts w:ascii="Traditional Arabic" w:hAnsi="Traditional Arabic" w:cs="Traditional Arabic"/>
          <w:sz w:val="32"/>
          <w:szCs w:val="32"/>
          <w:rtl/>
          <w:lang w:bidi="ar-DZ"/>
        </w:rPr>
        <w:t>نمو الاقتصادي ، نموذج الانحدار الذاتي للفجوات المتباطئة (</w:t>
      </w:r>
      <w:r w:rsidRPr="00360BBF">
        <w:rPr>
          <w:rFonts w:ascii="Traditional Arabic" w:hAnsi="Traditional Arabic" w:cs="Traditional Arabic"/>
          <w:sz w:val="32"/>
          <w:szCs w:val="32"/>
          <w:lang w:bidi="ar-DZ"/>
        </w:rPr>
        <w:t>ARDL</w:t>
      </w:r>
      <w:r w:rsidRPr="00360BBF">
        <w:rPr>
          <w:rFonts w:ascii="Traditional Arabic" w:hAnsi="Traditional Arabic" w:cs="Traditional Arabic"/>
          <w:sz w:val="32"/>
          <w:szCs w:val="32"/>
          <w:rtl/>
          <w:lang w:bidi="ar-DZ"/>
        </w:rPr>
        <w:t>) ، الاستثمار .</w:t>
      </w:r>
    </w:p>
    <w:p w:rsidR="000B7553" w:rsidRPr="00360BBF" w:rsidRDefault="000B7553" w:rsidP="000B7553">
      <w:pPr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proofErr w:type="gramStart"/>
      <w:r w:rsidRPr="00360BBF">
        <w:rPr>
          <w:rFonts w:ascii="Traditional Arabic" w:hAnsi="Traditional Arabic" w:cs="Traditional Arabic"/>
          <w:sz w:val="32"/>
          <w:szCs w:val="32"/>
          <w:lang w:bidi="ar-DZ"/>
        </w:rPr>
        <w:t xml:space="preserve">Abstract </w:t>
      </w:r>
      <w:r w:rsidRPr="00360BBF">
        <w:rPr>
          <w:rFonts w:ascii="Traditional Arabic" w:hAnsi="Traditional Arabic" w:cs="Traditional Arabic"/>
          <w:sz w:val="32"/>
          <w:szCs w:val="32"/>
          <w:rtl/>
          <w:lang w:bidi="ar-DZ"/>
        </w:rPr>
        <w:t>:</w:t>
      </w:r>
      <w:proofErr w:type="gramEnd"/>
    </w:p>
    <w:p w:rsidR="000B7553" w:rsidRPr="0078675E" w:rsidRDefault="000B7553" w:rsidP="000B7553">
      <w:pPr>
        <w:ind w:left="708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 xml:space="preserve">This study aims to measure the impact of oil price fluctuation on </w:t>
      </w:r>
      <w:proofErr w:type="spellStart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>iconomic</w:t>
      </w:r>
      <w:proofErr w:type="spellEnd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 xml:space="preserve"> growth in </w:t>
      </w:r>
      <w:proofErr w:type="spellStart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>algeria</w:t>
      </w:r>
      <w:proofErr w:type="spellEnd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 xml:space="preserve"> during the period from 1990 to </w:t>
      </w:r>
      <w:proofErr w:type="gramStart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>2020 ,using</w:t>
      </w:r>
      <w:proofErr w:type="gramEnd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 xml:space="preserve"> the autoregressive Delayed time lapse(ARDL) model ,</w:t>
      </w:r>
      <w:proofErr w:type="spellStart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>inorder</w:t>
      </w:r>
      <w:proofErr w:type="spellEnd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 xml:space="preserve"> to reveal a relationship between the variables . </w:t>
      </w:r>
      <w:proofErr w:type="gramStart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>the</w:t>
      </w:r>
      <w:proofErr w:type="gramEnd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 xml:space="preserve"> study </w:t>
      </w:r>
      <w:proofErr w:type="spellStart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>concluted</w:t>
      </w:r>
      <w:proofErr w:type="spellEnd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 xml:space="preserve"> that there is an indirect effect of oil prices on economic growth.</w:t>
      </w:r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br/>
      </w:r>
      <w:proofErr w:type="gramStart"/>
      <w:r w:rsidRPr="0078675E">
        <w:rPr>
          <w:rFonts w:ascii="Traditional Arabic" w:hAnsi="Traditional Arabic" w:cs="Traditional Arabic"/>
          <w:b/>
          <w:bCs/>
          <w:sz w:val="32"/>
          <w:szCs w:val="32"/>
          <w:lang w:bidi="ar-DZ"/>
        </w:rPr>
        <w:t>keywords :</w:t>
      </w:r>
      <w:proofErr w:type="gramEnd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 xml:space="preserve"> oil prices, </w:t>
      </w:r>
      <w:proofErr w:type="spellStart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>iconomic</w:t>
      </w:r>
      <w:proofErr w:type="spellEnd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 xml:space="preserve"> growth , time-gap autoregressive model, </w:t>
      </w:r>
      <w:proofErr w:type="spellStart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>decelating</w:t>
      </w:r>
      <w:proofErr w:type="spellEnd"/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t xml:space="preserve"> (ARDL), investment .</w:t>
      </w:r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br/>
      </w:r>
      <w:r w:rsidRPr="0078675E">
        <w:rPr>
          <w:rFonts w:ascii="Traditional Arabic" w:hAnsi="Traditional Arabic" w:cs="Traditional Arabic"/>
          <w:sz w:val="32"/>
          <w:szCs w:val="32"/>
          <w:lang w:bidi="ar-DZ"/>
        </w:rPr>
        <w:br/>
      </w:r>
    </w:p>
    <w:p w:rsidR="000B7553" w:rsidRPr="00360BBF" w:rsidRDefault="000B7553" w:rsidP="000B7553">
      <w:pPr>
        <w:bidi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0B7553" w:rsidRPr="00360BBF" w:rsidRDefault="000B7553" w:rsidP="000B7553">
      <w:pPr>
        <w:bidi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DE57D1" w:rsidRDefault="00DE57D1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p w:rsidR="000B7553" w:rsidRDefault="000B7553" w:rsidP="000B7553">
      <w:pPr>
        <w:bidi/>
        <w:rPr>
          <w:rtl/>
          <w:lang w:bidi="ar-DZ"/>
        </w:rPr>
      </w:pPr>
    </w:p>
    <w:tbl>
      <w:tblPr>
        <w:tblStyle w:val="LightShading1"/>
        <w:tblW w:w="0" w:type="auto"/>
        <w:jc w:val="right"/>
        <w:tblBorders>
          <w:left w:val="single" w:sz="8" w:space="0" w:color="000000"/>
          <w:right w:val="single" w:sz="8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012"/>
        <w:gridCol w:w="6964"/>
      </w:tblGrid>
      <w:tr w:rsidR="000B7553" w:rsidRPr="000B7553" w:rsidTr="000B755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  <w:lastRenderedPageBreak/>
              <w:t>الصفحة</w:t>
            </w:r>
          </w:p>
        </w:tc>
        <w:tc>
          <w:tcPr>
            <w:tcW w:w="696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0B7553" w:rsidRPr="000B7553" w:rsidRDefault="000B7553" w:rsidP="000B7553">
            <w:pPr>
              <w:bidi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المحتوى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6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الاهداء</w:t>
            </w:r>
          </w:p>
        </w:tc>
      </w:tr>
      <w:tr w:rsidR="000B7553" w:rsidRPr="000B7553" w:rsidTr="000B7553">
        <w:trPr>
          <w:trHeight w:val="151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كلمة الشكر</w:t>
            </w: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 xml:space="preserve"> </w:t>
            </w: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والتقدير 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الملخص 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الفهرس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قائمة الجداول والاشكال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المقدمة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76" w:type="dxa"/>
            <w:gridSpan w:val="2"/>
          </w:tcPr>
          <w:p w:rsidR="000B7553" w:rsidRPr="000B7553" w:rsidRDefault="000B7553" w:rsidP="000B7553">
            <w:pPr>
              <w:bidi/>
              <w:jc w:val="center"/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0B7553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الفصل الاول : الاطار النظري للنمو الاقتصادي </w:t>
            </w:r>
            <w:r w:rsidRPr="000B7553"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وأسعار</w:t>
            </w:r>
            <w:r w:rsidRPr="000B7553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 النفط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   2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تمهيد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22"/>
                <w:szCs w:val="22"/>
                <w:rtl/>
              </w:rPr>
              <w:t xml:space="preserve">      </w:t>
            </w: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>3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المبحث الاول : مفاهيم عامة حول النمو الاقتصادي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   3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المطلب </w:t>
            </w:r>
            <w:r w:rsidRPr="000B7553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الأول</w:t>
            </w: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ماهية النمو الاقتصادي 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   5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المطلب الثاني: خصائص النمو الاقتصادي 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   8 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الثالث: انواع النمو الاقتصادي وطرق قياسه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  11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المبحث الثاني : نظريات النمو الاقتصادي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  11 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المطلب </w:t>
            </w:r>
            <w:r w:rsidRPr="000B7553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الأول:</w:t>
            </w: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النظرية الكلاسيكية 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  13       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المطلب الثاني : النظرية الكنزية 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  14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المطلب الثالث : النظرية الحديثة 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  16 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المبحث الثالث : اسعار النفط والنمو الاقتصادي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  16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المطلب الاول : الاسس النظرية للنفط </w:t>
            </w:r>
            <w:r w:rsidRPr="000B7553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وأسعاره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  26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الثاني : علاقة تطاير</w:t>
            </w:r>
            <w:r w:rsidRPr="000B7553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 أ</w:t>
            </w: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سعار النفط بالنمو الاقتصادي </w:t>
            </w:r>
          </w:p>
        </w:tc>
      </w:tr>
      <w:tr w:rsidR="000B7553" w:rsidRPr="000B7553" w:rsidTr="000B7553">
        <w:trPr>
          <w:trHeight w:val="541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  27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الثالث : دراسة تطبيقية بين اسعار النفط والنمو الاقتصادي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9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  35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خلاصة الفصل</w:t>
            </w: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.</w:t>
            </w:r>
          </w:p>
        </w:tc>
      </w:tr>
      <w:tr w:rsidR="000B7553" w:rsidRPr="000B7553" w:rsidTr="000B7553">
        <w:trPr>
          <w:trHeight w:val="636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76" w:type="dxa"/>
            <w:gridSpan w:val="2"/>
          </w:tcPr>
          <w:p w:rsidR="000B7553" w:rsidRPr="000B7553" w:rsidRDefault="000B7553" w:rsidP="000B7553">
            <w:pPr>
              <w:bidi/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0B7553">
              <w:rPr>
                <w:rFonts w:ascii="Traditional Arabic" w:hAnsi="Traditional Arabic" w:cs="Traditional Arabic"/>
                <w:sz w:val="36"/>
                <w:szCs w:val="36"/>
                <w:rtl/>
              </w:rPr>
              <w:t>الفصل الثاني : دراسة قياسة لاثر تطاير اسعار النفط على النمو الاقتصادي</w:t>
            </w:r>
          </w:p>
          <w:p w:rsidR="000B7553" w:rsidRPr="000B7553" w:rsidRDefault="000B7553" w:rsidP="000B7553">
            <w:pPr>
              <w:bidi/>
              <w:jc w:val="center"/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0B7553">
              <w:rPr>
                <w:rFonts w:ascii="Traditional Arabic" w:hAnsi="Traditional Arabic" w:cs="Traditional Arabic"/>
                <w:sz w:val="36"/>
                <w:szCs w:val="36"/>
                <w:rtl/>
              </w:rPr>
              <w:t>خلال الفترة (1990-202</w:t>
            </w:r>
            <w:r w:rsidRPr="000B7553"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1</w:t>
            </w:r>
            <w:r w:rsidRPr="000B7553">
              <w:rPr>
                <w:rFonts w:ascii="Traditional Arabic" w:hAnsi="Traditional Arabic" w:cs="Traditional Arabic"/>
                <w:sz w:val="36"/>
                <w:szCs w:val="36"/>
                <w:rtl/>
              </w:rPr>
              <w:t>)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lastRenderedPageBreak/>
              <w:t>34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22"/>
                <w:szCs w:val="22"/>
                <w:rtl/>
              </w:rPr>
            </w:pPr>
          </w:p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تمهيد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35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المبحث الاول :عرض المتغيرات ودراسة الاستقرارية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35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المطلب الاول : عرض النموذج ومتغيرات الدراسة 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36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المطلب الثاني : عرض طريقة ديكي فولر لدراسة استقرارية السلاسل الزمنية       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37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المطلب الثالث : دراسة الاستقرارية 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50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المبحث الثاني : تقدير واختبار النموذج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50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الاول : اختبار علاقة التكامل المشترك باستعمال اختبار الحدود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51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المطلب الثاني : تقدير نموذج </w:t>
            </w:r>
            <w:r w:rsidRPr="000B7553">
              <w:rPr>
                <w:rFonts w:ascii="Traditional Arabic" w:hAnsi="Traditional Arabic" w:cs="Traditional Arabic"/>
                <w:sz w:val="32"/>
                <w:szCs w:val="32"/>
              </w:rPr>
              <w:t>ARDL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52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الثالث : تقدير وتحليل معامل تصحيح الخطأ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52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tabs>
                <w:tab w:val="left" w:pos="2868"/>
              </w:tabs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                    </w:t>
            </w: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المبحث الثالث : اختبار صلاحية النموذج</w:t>
            </w: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53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المطلب الاول : اختبار الارتباط الذاتي التسلسلي بين الاخطاء العشوائية 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54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الثاني : اختبار عدم تجانس تباين الاخطاء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55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الثالث : اختبار استقر</w:t>
            </w:r>
            <w:r w:rsidRPr="000B7553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ار الهيكلي لل</w:t>
            </w:r>
            <w:r w:rsidRPr="000B7553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نموذج 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60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خلاصة الفصل .</w:t>
            </w:r>
          </w:p>
        </w:tc>
      </w:tr>
      <w:tr w:rsidR="000B7553" w:rsidRPr="000B7553" w:rsidTr="000B7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61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الخاتمة </w:t>
            </w:r>
          </w:p>
        </w:tc>
      </w:tr>
      <w:tr w:rsidR="000B7553" w:rsidRPr="000B7553" w:rsidTr="000B7553">
        <w:trPr>
          <w:jc w:val="righ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2" w:type="dxa"/>
          </w:tcPr>
          <w:p w:rsidR="000B7553" w:rsidRPr="000B7553" w:rsidRDefault="000B7553" w:rsidP="000B7553">
            <w:pPr>
              <w:bidi/>
              <w:rPr>
                <w:rFonts w:ascii="Traditional Arabic" w:hAnsi="Traditional Arabic" w:cs="Traditional Arabic"/>
                <w:sz w:val="22"/>
                <w:szCs w:val="22"/>
              </w:rPr>
            </w:pPr>
            <w:r w:rsidRPr="000B7553">
              <w:rPr>
                <w:rFonts w:ascii="Traditional Arabic" w:hAnsi="Traditional Arabic" w:cs="Traditional Arabic" w:hint="cs"/>
                <w:sz w:val="22"/>
                <w:szCs w:val="22"/>
                <w:rtl/>
              </w:rPr>
              <w:t>63</w:t>
            </w:r>
          </w:p>
        </w:tc>
        <w:tc>
          <w:tcPr>
            <w:tcW w:w="6964" w:type="dxa"/>
          </w:tcPr>
          <w:p w:rsidR="000B7553" w:rsidRPr="000B7553" w:rsidRDefault="000B7553" w:rsidP="000B7553">
            <w:pPr>
              <w:bidi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0B7553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قائمة المصادر والمراجع .</w:t>
            </w:r>
          </w:p>
        </w:tc>
      </w:tr>
    </w:tbl>
    <w:p w:rsidR="000B7553" w:rsidRPr="000B7553" w:rsidRDefault="000B7553" w:rsidP="000B7553">
      <w:pPr>
        <w:spacing w:after="200" w:line="276" w:lineRule="auto"/>
        <w:rPr>
          <w:rFonts w:ascii="Traditional Arabic" w:hAnsi="Traditional Arabic" w:cs="Traditional Arabic"/>
          <w:sz w:val="22"/>
          <w:szCs w:val="22"/>
          <w:rtl/>
          <w:lang w:val="fr-FR" w:bidi="ar-DZ"/>
        </w:rPr>
      </w:pPr>
    </w:p>
    <w:p w:rsidR="000B7553" w:rsidRDefault="000B7553" w:rsidP="000B7553">
      <w:pPr>
        <w:bidi/>
        <w:rPr>
          <w:lang w:bidi="ar-DZ"/>
        </w:rPr>
      </w:pPr>
      <w:bookmarkStart w:id="0" w:name="_GoBack"/>
      <w:bookmarkEnd w:id="0"/>
    </w:p>
    <w:sectPr w:rsidR="000B7553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numRestart w:val="eachPage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BF7"/>
    <w:rsid w:val="00095BF7"/>
    <w:rsid w:val="000B7553"/>
    <w:rsid w:val="00DE5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91BAA5"/>
  <w15:chartTrackingRefBased/>
  <w15:docId w15:val="{24CDDB04-2AA3-4507-94BA-70F4A00D9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7553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0B7553"/>
    <w:pPr>
      <w:ind w:left="720"/>
      <w:contextualSpacing/>
    </w:pPr>
    <w:rPr>
      <w:rFonts w:cs="Arial"/>
    </w:rPr>
  </w:style>
  <w:style w:type="table" w:customStyle="1" w:styleId="LightShading1">
    <w:name w:val="Light Shading1"/>
    <w:basedOn w:val="TableNormal"/>
    <w:next w:val="LightShading"/>
    <w:uiPriority w:val="60"/>
    <w:rsid w:val="000B7553"/>
    <w:pPr>
      <w:spacing w:after="0" w:line="240" w:lineRule="auto"/>
    </w:pPr>
    <w:rPr>
      <w:color w:val="000000"/>
      <w:lang w:val="fr-FR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">
    <w:name w:val="Light Shading"/>
    <w:basedOn w:val="TableNormal"/>
    <w:uiPriority w:val="60"/>
    <w:semiHidden/>
    <w:unhideWhenUsed/>
    <w:rsid w:val="000B755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444</Words>
  <Characters>2535</Characters>
  <Application>Microsoft Office Word</Application>
  <DocSecurity>0</DocSecurity>
  <Lines>21</Lines>
  <Paragraphs>5</Paragraphs>
  <ScaleCrop>false</ScaleCrop>
  <Company/>
  <LinksUpToDate>false</LinksUpToDate>
  <CharactersWithSpaces>2974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2023-07-18T09:35:00Z</dcterms:created>
  <dcterms:modified xsi:type="dcterms:W3CDTF">2023-07-18T09:37:00Z</dcterms:modified>
</cp:coreProperties>
</file>